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2C23"/>
          <w:sz w:val="50"/>
        </w:rPr>
        <w:t>NOORSAFAR</w:t>
        <w:br/>
        <w:t>MASTER DESIGN &amp; BUILD GUIDELINE</w:t>
      </w:r>
    </w:p>
    <w:p>
      <w:pPr>
        <w:jc w:val="center"/>
      </w:pPr>
      <w:r>
        <w:rPr>
          <w:b/>
          <w:sz w:val="24"/>
        </w:rPr>
        <w:t>Single-Source Specification for One-Pass WordPress Design, Integration, QA &amp; ZIP Delivery</w:t>
      </w:r>
    </w:p>
    <w:p>
      <w:pPr>
        <w:jc w:val="center"/>
      </w:pPr>
      <w:r>
        <w:drawing>
          <wp:inline xmlns:a="http://schemas.openxmlformats.org/drawingml/2006/main" xmlns:pic="http://schemas.openxmlformats.org/drawingml/2006/picture">
            <wp:extent cx="6126480" cy="9189720"/>
            <wp:docPr id="1" name="Picture 1"/>
            <wp:cNvGraphicFramePr>
              <a:graphicFrameLocks noChangeAspect="1"/>
            </wp:cNvGraphicFramePr>
            <a:graphic>
              <a:graphicData uri="http://schemas.openxmlformats.org/drawingml/2006/picture">
                <pic:pic>
                  <pic:nvPicPr>
                    <pic:cNvPr id="0" name="NoorSafar_18_Assets_Contact_Sheet.jpg"/>
                    <pic:cNvPicPr/>
                  </pic:nvPicPr>
                  <pic:blipFill>
                    <a:blip r:embed="rId9"/>
                    <a:stretch>
                      <a:fillRect/>
                    </a:stretch>
                  </pic:blipFill>
                  <pic:spPr>
                    <a:xfrm>
                      <a:off x="0" y="0"/>
                      <a:ext cx="6126480" cy="9189720"/>
                    </a:xfrm>
                    <a:prstGeom prst="rect"/>
                  </pic:spPr>
                </pic:pic>
              </a:graphicData>
            </a:graphic>
          </wp:inline>
        </w:drawing>
      </w:r>
    </w:p>
    <w:p>
      <w:r>
        <w:t>Version 1.0 • 1 October 2026 • Prepared from the supplied noorsafar-theme.zip, New folder.zip, current master build specifications, the supplied homepage reference and the 18 numbered web-design assets.</w:t>
      </w:r>
    </w:p>
    <w:p>
      <w:pPr>
        <w:pStyle w:val="Heading1"/>
      </w:pPr>
      <w:r>
        <w:t>MASTER RULE</w:t>
      </w:r>
    </w:p>
    <w:p>
      <w:r>
        <w:t>This document is the single source of truth for the final visual and technical build. The designer/developer must not invent a competing layout, palette, navigation structure, component hierarchy or asset role. If a detail is not explicitly changed here, preserve the supplied reference design and existing approved theme structure.</w:t>
      </w:r>
    </w:p>
    <w:p>
      <w:pPr>
        <w:pStyle w:val="Heading1"/>
      </w:pPr>
      <w:r>
        <w:t>1. ONE-COMMAND HANDOFF</w:t>
      </w:r>
    </w:p>
    <w:p>
      <w:r>
        <w:t>Use the following command with the coding/design agent after placing this guideline, the supplied reference files and the 18-asset folder in the project root:</w:t>
      </w:r>
    </w:p>
    <w:p>
      <w:r>
        <w:t>READ /USE: NOORSAFAR-MASTER-BUILD-GUIDELINE-v1.0.docx (or the accompanying .md) AS THE SINGLE SOURCE OF TRUTH. BUILD THE COMPLETE NOORSAFAR WORDPRESS SITE EXACTLY TO THIS SPECIFICATION. Do not redesign, reinterpret, reorder sections, invent content, change the palette, replace the logo, remove required sections, or introduce duplicate business logic. Preserve the supplied visual reference while upgrading the hero to the specified lightweight 3D-depth animation. Consolidate the approved visual theme with noorsafar-core; Theme handles presentation, Core handles data/business logic. Use the 18 numbered assets only in their assigned roles, and request/produce high-resolution production derivatives where the supplied files are too small. Build clean noorsafar-theme.zip and noorsafar-core.zip, install them on a clean WordPress staging site, run every acceptance test in this document, fix confirmed defects, rebuild, and do not mark FINAL-UPLOAD until every P0/P1 acceptance test passes.</w:t>
      </w:r>
    </w:p>
    <w:p>
      <w:r>
        <w:t>The same command is supplied separately as NOORSAFAR-SINGLE-BUILD-COMMAND.txt.</w:t>
      </w:r>
    </w:p>
    <w:p>
      <w:pPr>
        <w:pStyle w:val="Heading1"/>
      </w:pPr>
      <w:r>
        <w:t>2. AUTHORITATIVE PROJECT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82C23"/>
          </w:tcPr>
          <w:p>
            <w:r>
              <w:rPr>
                <w:b/>
                <w:color w:val="FFFFFF"/>
              </w:rPr>
              <w:t>Layer</w:t>
            </w:r>
          </w:p>
        </w:tc>
        <w:tc>
          <w:tcPr>
            <w:tcW w:type="dxa" w:w="3456"/>
            <w:shd w:fill="082C23"/>
          </w:tcPr>
          <w:p>
            <w:r>
              <w:rPr>
                <w:b/>
                <w:color w:val="FFFFFF"/>
              </w:rPr>
              <w:t>Responsibility</w:t>
            </w:r>
          </w:p>
        </w:tc>
        <w:tc>
          <w:tcPr>
            <w:tcW w:type="dxa" w:w="3456"/>
            <w:shd w:fill="082C23"/>
          </w:tcPr>
          <w:p>
            <w:r>
              <w:rPr>
                <w:b/>
                <w:color w:val="FFFFFF"/>
              </w:rPr>
              <w:t>Rule</w:t>
            </w:r>
          </w:p>
        </w:tc>
      </w:tr>
      <w:tr>
        <w:tc>
          <w:tcPr>
            <w:tcW w:type="dxa" w:w="3456"/>
            <w:vAlign w:val="top"/>
          </w:tcPr>
          <w:p>
            <w:r>
              <w:t>NoorSafar Theme</w:t>
            </w:r>
          </w:p>
        </w:tc>
        <w:tc>
          <w:tcPr>
            <w:tcW w:type="dxa" w:w="3456"/>
            <w:vAlign w:val="top"/>
          </w:tcPr>
          <w:p>
            <w:r>
              <w:t>Visual design, templates, components, CSS, JS, responsive/RTL UI</w:t>
            </w:r>
          </w:p>
        </w:tc>
        <w:tc>
          <w:tcPr>
            <w:tcW w:type="dxa" w:w="3456"/>
            <w:vAlign w:val="top"/>
          </w:tcPr>
          <w:p>
            <w:r>
              <w:t>No booking/CPT business logic duplicated here</w:t>
            </w:r>
          </w:p>
        </w:tc>
      </w:tr>
      <w:tr>
        <w:tc>
          <w:tcPr>
            <w:tcW w:type="dxa" w:w="3456"/>
            <w:vAlign w:val="top"/>
          </w:tcPr>
          <w:p>
            <w:r>
              <w:t>NoorSafar Core</w:t>
            </w:r>
          </w:p>
        </w:tc>
        <w:tc>
          <w:tcPr>
            <w:tcW w:type="dxa" w:w="3456"/>
            <w:vAlign w:val="top"/>
          </w:tcPr>
          <w:p>
            <w:r>
              <w:t>CPTs, settings, booking, seat reservation, Islamic tools, AJAX, security, business rules</w:t>
            </w:r>
          </w:p>
        </w:tc>
        <w:tc>
          <w:tcPr>
            <w:tcW w:type="dxa" w:w="3456"/>
            <w:vAlign w:val="top"/>
          </w:tcPr>
          <w:p>
            <w:r>
              <w:t>Single source of truth for dynamic data</w:t>
            </w:r>
          </w:p>
        </w:tc>
      </w:tr>
      <w:tr>
        <w:tc>
          <w:tcPr>
            <w:tcW w:type="dxa" w:w="3456"/>
            <w:vAlign w:val="top"/>
          </w:tcPr>
          <w:p>
            <w:r>
              <w:t>WordPress Admin</w:t>
            </w:r>
          </w:p>
        </w:tc>
        <w:tc>
          <w:tcPr>
            <w:tcW w:type="dxa" w:w="3456"/>
            <w:vAlign w:val="top"/>
          </w:tcPr>
          <w:p>
            <w:r>
              <w:t>Content, package pricing/status, destinations, gallery, testimonials, audio, settings</w:t>
            </w:r>
          </w:p>
        </w:tc>
        <w:tc>
          <w:tcPr>
            <w:tcW w:type="dxa" w:w="3456"/>
            <w:vAlign w:val="top"/>
          </w:tcPr>
          <w:p>
            <w:r>
              <w:t>All public business content editable</w:t>
            </w:r>
          </w:p>
        </w:tc>
      </w:tr>
      <w:tr>
        <w:tc>
          <w:tcPr>
            <w:tcW w:type="dxa" w:w="3456"/>
            <w:vAlign w:val="top"/>
          </w:tcPr>
          <w:p>
            <w:r>
              <w:t>Assets</w:t>
            </w:r>
          </w:p>
        </w:tc>
        <w:tc>
          <w:tcPr>
            <w:tcW w:type="dxa" w:w="3456"/>
            <w:vAlign w:val="top"/>
          </w:tcPr>
          <w:p>
            <w:r>
              <w:t>Logo, 18 numbered reference assets, approved production derivatives</w:t>
            </w:r>
          </w:p>
        </w:tc>
        <w:tc>
          <w:tcPr>
            <w:tcW w:type="dxa" w:w="3456"/>
            <w:vAlign w:val="top"/>
          </w:tcPr>
          <w:p>
            <w:r>
              <w:t>No random replacements without approval</w:t>
            </w:r>
          </w:p>
        </w:tc>
      </w:tr>
      <w:tr>
        <w:tc>
          <w:tcPr>
            <w:tcW w:type="dxa" w:w="3456"/>
            <w:vAlign w:val="top"/>
          </w:tcPr>
          <w:p>
            <w:r>
              <w:t>Staging</w:t>
            </w:r>
          </w:p>
        </w:tc>
        <w:tc>
          <w:tcPr>
            <w:tcW w:type="dxa" w:w="3456"/>
            <w:vAlign w:val="top"/>
          </w:tcPr>
          <w:p>
            <w:r>
              <w:t>Runtime certification</w:t>
            </w:r>
          </w:p>
        </w:tc>
        <w:tc>
          <w:tcPr>
            <w:tcW w:type="dxa" w:w="3456"/>
            <w:vAlign w:val="top"/>
          </w:tcPr>
          <w:p>
            <w:r>
              <w:t>No production claim before full QA</w:t>
            </w:r>
          </w:p>
        </w:tc>
      </w:tr>
    </w:tbl>
    <w:p>
      <w:pPr>
        <w:pStyle w:val="Heading1"/>
      </w:pPr>
      <w:r>
        <w:t>3. LOCKED BRAND &amp; DESIGN TOKENS</w:t>
      </w:r>
    </w:p>
    <w:tbl>
      <w:tblPr>
        <w:tblStyle w:val="TableGrid"/>
        <w:tblW w:type="auto" w:w="0"/>
        <w:jc w:val="center"/>
        <w:tblLook w:firstColumn="1" w:firstRow="1" w:lastColumn="0" w:lastRow="0" w:noHBand="0" w:noVBand="1" w:val="04A0"/>
      </w:tblPr>
      <w:tblGrid>
        <w:gridCol w:w="5184"/>
        <w:gridCol w:w="5184"/>
      </w:tblGrid>
      <w:tr>
        <w:tc>
          <w:tcPr>
            <w:tcW w:type="dxa" w:w="5184"/>
            <w:shd w:fill="082C23"/>
          </w:tcPr>
          <w:p>
            <w:r>
              <w:rPr>
                <w:b/>
                <w:color w:val="FFFFFF"/>
              </w:rPr>
              <w:t>Token</w:t>
            </w:r>
          </w:p>
        </w:tc>
        <w:tc>
          <w:tcPr>
            <w:tcW w:type="dxa" w:w="5184"/>
            <w:shd w:fill="082C23"/>
          </w:tcPr>
          <w:p>
            <w:r>
              <w:rPr>
                <w:b/>
                <w:color w:val="FFFFFF"/>
              </w:rPr>
              <w:t>Locked value / instruction</w:t>
            </w:r>
          </w:p>
        </w:tc>
      </w:tr>
      <w:tr>
        <w:tc>
          <w:tcPr>
            <w:tcW w:type="dxa" w:w="5184"/>
            <w:vAlign w:val="top"/>
          </w:tcPr>
          <w:p>
            <w:r>
              <w:t>Primary Emerald</w:t>
            </w:r>
          </w:p>
        </w:tc>
        <w:tc>
          <w:tcPr>
            <w:tcW w:type="dxa" w:w="5184"/>
            <w:vAlign w:val="top"/>
          </w:tcPr>
          <w:p>
            <w:r>
              <w:t>#082C23</w:t>
            </w:r>
          </w:p>
        </w:tc>
      </w:tr>
      <w:tr>
        <w:tc>
          <w:tcPr>
            <w:tcW w:type="dxa" w:w="5184"/>
            <w:vAlign w:val="top"/>
          </w:tcPr>
          <w:p>
            <w:r>
              <w:t>Secondary Emerald</w:t>
            </w:r>
          </w:p>
        </w:tc>
        <w:tc>
          <w:tcPr>
            <w:tcW w:type="dxa" w:w="5184"/>
            <w:vAlign w:val="top"/>
          </w:tcPr>
          <w:p>
            <w:r>
              <w:t>#0D4538</w:t>
            </w:r>
          </w:p>
        </w:tc>
      </w:tr>
      <w:tr>
        <w:tc>
          <w:tcPr>
            <w:tcW w:type="dxa" w:w="5184"/>
            <w:vAlign w:val="top"/>
          </w:tcPr>
          <w:p>
            <w:r>
              <w:t>Gold</w:t>
            </w:r>
          </w:p>
        </w:tc>
        <w:tc>
          <w:tcPr>
            <w:tcW w:type="dxa" w:w="5184"/>
            <w:vAlign w:val="top"/>
          </w:tcPr>
          <w:p>
            <w:r>
              <w:t>#C29B48</w:t>
            </w:r>
          </w:p>
        </w:tc>
      </w:tr>
      <w:tr>
        <w:tc>
          <w:tcPr>
            <w:tcW w:type="dxa" w:w="5184"/>
            <w:vAlign w:val="top"/>
          </w:tcPr>
          <w:p>
            <w:r>
              <w:t>Light Gold</w:t>
            </w:r>
          </w:p>
        </w:tc>
        <w:tc>
          <w:tcPr>
            <w:tcW w:type="dxa" w:w="5184"/>
            <w:vAlign w:val="top"/>
          </w:tcPr>
          <w:p>
            <w:r>
              <w:t>#DFB76C</w:t>
            </w:r>
          </w:p>
        </w:tc>
      </w:tr>
      <w:tr>
        <w:tc>
          <w:tcPr>
            <w:tcW w:type="dxa" w:w="5184"/>
            <w:vAlign w:val="top"/>
          </w:tcPr>
          <w:p>
            <w:r>
              <w:t>Warm Ivory</w:t>
            </w:r>
          </w:p>
        </w:tc>
        <w:tc>
          <w:tcPr>
            <w:tcW w:type="dxa" w:w="5184"/>
            <w:vAlign w:val="top"/>
          </w:tcPr>
          <w:p>
            <w:r>
              <w:t>#F7F5F0</w:t>
            </w:r>
          </w:p>
        </w:tc>
      </w:tr>
      <w:tr>
        <w:tc>
          <w:tcPr>
            <w:tcW w:type="dxa" w:w="5184"/>
            <w:vAlign w:val="top"/>
          </w:tcPr>
          <w:p>
            <w:r>
              <w:t>White</w:t>
            </w:r>
          </w:p>
        </w:tc>
        <w:tc>
          <w:tcPr>
            <w:tcW w:type="dxa" w:w="5184"/>
            <w:vAlign w:val="top"/>
          </w:tcPr>
          <w:p>
            <w:r>
              <w:t>#FFFFFF</w:t>
            </w:r>
          </w:p>
        </w:tc>
      </w:tr>
      <w:tr>
        <w:tc>
          <w:tcPr>
            <w:tcW w:type="dxa" w:w="5184"/>
            <w:vAlign w:val="top"/>
          </w:tcPr>
          <w:p>
            <w:r>
              <w:t>Body text</w:t>
            </w:r>
          </w:p>
        </w:tc>
        <w:tc>
          <w:tcPr>
            <w:tcW w:type="dxa" w:w="5184"/>
            <w:vAlign w:val="top"/>
          </w:tcPr>
          <w:p>
            <w:r>
              <w:t>#082C23</w:t>
            </w:r>
          </w:p>
        </w:tc>
      </w:tr>
      <w:tr>
        <w:tc>
          <w:tcPr>
            <w:tcW w:type="dxa" w:w="5184"/>
            <w:vAlign w:val="top"/>
          </w:tcPr>
          <w:p>
            <w:r>
              <w:t>Secondary text</w:t>
            </w:r>
          </w:p>
        </w:tc>
        <w:tc>
          <w:tcPr>
            <w:tcW w:type="dxa" w:w="5184"/>
            <w:vAlign w:val="top"/>
          </w:tcPr>
          <w:p>
            <w:r>
              <w:t>#4A6B5F</w:t>
            </w:r>
          </w:p>
        </w:tc>
      </w:tr>
      <w:tr>
        <w:tc>
          <w:tcPr>
            <w:tcW w:type="dxa" w:w="5184"/>
            <w:vAlign w:val="top"/>
          </w:tcPr>
          <w:p>
            <w:r>
              <w:t>Border</w:t>
            </w:r>
          </w:p>
        </w:tc>
        <w:tc>
          <w:tcPr>
            <w:tcW w:type="dxa" w:w="5184"/>
            <w:vAlign w:val="top"/>
          </w:tcPr>
          <w:p>
            <w:r>
              <w:t>rgba(13,69,56,0.12)</w:t>
            </w:r>
          </w:p>
        </w:tc>
      </w:tr>
      <w:tr>
        <w:tc>
          <w:tcPr>
            <w:tcW w:type="dxa" w:w="5184"/>
            <w:vAlign w:val="top"/>
          </w:tcPr>
          <w:p>
            <w:r>
              <w:t>Display font</w:t>
            </w:r>
          </w:p>
        </w:tc>
        <w:tc>
          <w:tcPr>
            <w:tcW w:type="dxa" w:w="5184"/>
            <w:vAlign w:val="top"/>
          </w:tcPr>
          <w:p>
            <w:r>
              <w:t>Playfair Display</w:t>
            </w:r>
          </w:p>
        </w:tc>
      </w:tr>
      <w:tr>
        <w:tc>
          <w:tcPr>
            <w:tcW w:type="dxa" w:w="5184"/>
            <w:vAlign w:val="top"/>
          </w:tcPr>
          <w:p>
            <w:r>
              <w:t>Body font</w:t>
            </w:r>
          </w:p>
        </w:tc>
        <w:tc>
          <w:tcPr>
            <w:tcW w:type="dxa" w:w="5184"/>
            <w:vAlign w:val="top"/>
          </w:tcPr>
          <w:p>
            <w:r>
              <w:t>Plus Jakarta Sans</w:t>
            </w:r>
          </w:p>
        </w:tc>
      </w:tr>
      <w:tr>
        <w:tc>
          <w:tcPr>
            <w:tcW w:type="dxa" w:w="5184"/>
            <w:vAlign w:val="top"/>
          </w:tcPr>
          <w:p>
            <w:r>
              <w:t>Decorative font</w:t>
            </w:r>
          </w:p>
        </w:tc>
        <w:tc>
          <w:tcPr>
            <w:tcW w:type="dxa" w:w="5184"/>
            <w:vAlign w:val="top"/>
          </w:tcPr>
          <w:p>
            <w:r>
              <w:t>Cinzel</w:t>
            </w:r>
          </w:p>
        </w:tc>
      </w:tr>
      <w:tr>
        <w:tc>
          <w:tcPr>
            <w:tcW w:type="dxa" w:w="5184"/>
            <w:vAlign w:val="top"/>
          </w:tcPr>
          <w:p>
            <w:r>
              <w:t>Urdu</w:t>
            </w:r>
          </w:p>
        </w:tc>
        <w:tc>
          <w:tcPr>
            <w:tcW w:type="dxa" w:w="5184"/>
            <w:vAlign w:val="top"/>
          </w:tcPr>
          <w:p>
            <w:r>
              <w:t>Noto Nastaliq Urdu</w:t>
            </w:r>
          </w:p>
        </w:tc>
      </w:tr>
      <w:tr>
        <w:tc>
          <w:tcPr>
            <w:tcW w:type="dxa" w:w="5184"/>
            <w:vAlign w:val="top"/>
          </w:tcPr>
          <w:p>
            <w:r>
              <w:t>Arabic</w:t>
            </w:r>
          </w:p>
        </w:tc>
        <w:tc>
          <w:tcPr>
            <w:tcW w:type="dxa" w:w="5184"/>
            <w:vAlign w:val="top"/>
          </w:tcPr>
          <w:p>
            <w:r>
              <w:t>Amiri</w:t>
            </w:r>
          </w:p>
        </w:tc>
      </w:tr>
      <w:tr>
        <w:tc>
          <w:tcPr>
            <w:tcW w:type="dxa" w:w="5184"/>
            <w:vAlign w:val="top"/>
          </w:tcPr>
          <w:p>
            <w:r>
              <w:t>Radius</w:t>
            </w:r>
          </w:p>
        </w:tc>
        <w:tc>
          <w:tcPr>
            <w:tcW w:type="dxa" w:w="5184"/>
            <w:vAlign w:val="top"/>
          </w:tcPr>
          <w:p>
            <w:r>
              <w:t>16px primary / 12px small</w:t>
            </w:r>
          </w:p>
        </w:tc>
      </w:tr>
      <w:tr>
        <w:tc>
          <w:tcPr>
            <w:tcW w:type="dxa" w:w="5184"/>
            <w:vAlign w:val="top"/>
          </w:tcPr>
          <w:p>
            <w:r>
              <w:t>Style</w:t>
            </w:r>
          </w:p>
        </w:tc>
        <w:tc>
          <w:tcPr>
            <w:tcW w:type="dxa" w:w="5184"/>
            <w:vAlign w:val="top"/>
          </w:tcPr>
          <w:p>
            <w:r>
              <w:t>Cinematic grounded light, quiet luxury, Islamic geometric restraint, generous negative space</w:t>
            </w:r>
          </w:p>
        </w:tc>
      </w:tr>
    </w:tbl>
    <w:p>
      <w:pPr>
        <w:pStyle w:val="Heading1"/>
      </w:pPr>
      <w:r>
        <w:t>4. GLOBAL LAYOUT RULES</w:t>
      </w:r>
    </w:p>
    <w:p>
      <w:pPr>
        <w:pStyle w:val="ListBullet"/>
      </w:pPr>
      <w:r>
        <w:t>Desktop reference viewport: 1440px wide. Secondary certification viewport: 1280px. Mobile certification: 390px. Tablet: 768px.</w:t>
      </w:r>
    </w:p>
    <w:p>
      <w:pPr>
        <w:pStyle w:val="ListBullet"/>
      </w:pPr>
      <w:r>
        <w:t>Container max width: 1180–1240px; centered. Maintain consistent left/right alignment across sections.</w:t>
      </w:r>
    </w:p>
    <w:p>
      <w:pPr>
        <w:pStyle w:val="ListBullet"/>
      </w:pPr>
      <w:r>
        <w:t>Use warm ivory as the main page canvas; deep emerald as header/footer/dark bands; gold only for emphasis.</w:t>
      </w:r>
    </w:p>
    <w:p>
      <w:pPr>
        <w:pStyle w:val="ListBullet"/>
      </w:pPr>
      <w:r>
        <w:t>Do not use excessive gradients, glassmorphism, neon colors, oversized shadows, decorative clutter or unrelated stock imagery.</w:t>
      </w:r>
    </w:p>
    <w:p>
      <w:pPr>
        <w:pStyle w:val="ListBullet"/>
      </w:pPr>
      <w:r>
        <w:t>Use editorial serif headings with controlled line length. Body copy remains highly readable.</w:t>
      </w:r>
    </w:p>
    <w:p>
      <w:pPr>
        <w:pStyle w:val="ListBullet"/>
      </w:pPr>
      <w:r>
        <w:t>All images must have meaningful alt text. Decorative images use empty alt attributes.</w:t>
      </w:r>
    </w:p>
    <w:p>
      <w:pPr>
        <w:pStyle w:val="ListBullet"/>
      </w:pPr>
      <w:r>
        <w:t>All interactive controls require visible focus states and keyboard access.</w:t>
      </w:r>
    </w:p>
    <w:p>
      <w:pPr>
        <w:pStyle w:val="ListBullet"/>
      </w:pPr>
      <w:r>
        <w:t>Respect prefers-reduced-motion: disable zoom, parallax, tilt, scroll reveal and nonessential transitions.</w:t>
      </w:r>
    </w:p>
    <w:p>
      <w:pPr>
        <w:pStyle w:val="Heading1"/>
      </w:pPr>
      <w:r>
        <w:t>5. HERO — MANDATORY 3D CINEMATIC IMPLEMENTATION</w:t>
      </w:r>
    </w:p>
    <w:p>
      <w:r>
        <w:t>The supplied 02_hero_visual.png is the visual reference, not a sufficient production-resolution 3D scene. The final hero must preserve its composition while creating real depth through layered elements.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82C23"/>
          </w:tcPr>
          <w:p>
            <w:r>
              <w:rPr>
                <w:b/>
                <w:color w:val="FFFFFF"/>
              </w:rPr>
              <w:t>Layer</w:t>
            </w:r>
          </w:p>
        </w:tc>
        <w:tc>
          <w:tcPr>
            <w:tcW w:type="dxa" w:w="3456"/>
            <w:shd w:fill="082C23"/>
          </w:tcPr>
          <w:p>
            <w:r>
              <w:rPr>
                <w:b/>
                <w:color w:val="FFFFFF"/>
              </w:rPr>
              <w:t>Construction</w:t>
            </w:r>
          </w:p>
        </w:tc>
        <w:tc>
          <w:tcPr>
            <w:tcW w:type="dxa" w:w="3456"/>
            <w:shd w:fill="082C23"/>
          </w:tcPr>
          <w:p>
            <w:r>
              <w:rPr>
                <w:b/>
                <w:color w:val="FFFFFF"/>
              </w:rPr>
              <w:t>Motion</w:t>
            </w:r>
          </w:p>
        </w:tc>
      </w:tr>
      <w:tr>
        <w:tc>
          <w:tcPr>
            <w:tcW w:type="dxa" w:w="3456"/>
            <w:vAlign w:val="top"/>
          </w:tcPr>
          <w:p>
            <w:r>
              <w:t>L0 Background</w:t>
            </w:r>
          </w:p>
        </w:tc>
        <w:tc>
          <w:tcPr>
            <w:tcW w:type="dxa" w:w="3456"/>
            <w:vAlign w:val="top"/>
          </w:tcPr>
          <w:p>
            <w:r>
              <w:t>Wide sacred-architecture/sky background derived from approved hero artwork</w:t>
            </w:r>
          </w:p>
        </w:tc>
        <w:tc>
          <w:tcPr>
            <w:tcW w:type="dxa" w:w="3456"/>
            <w:vAlign w:val="top"/>
          </w:tcPr>
          <w:p>
            <w:r>
              <w:t>Very slow 1–3% camera/parallax drift</w:t>
            </w:r>
          </w:p>
        </w:tc>
      </w:tr>
      <w:tr>
        <w:tc>
          <w:tcPr>
            <w:tcW w:type="dxa" w:w="3456"/>
            <w:vAlign w:val="top"/>
          </w:tcPr>
          <w:p>
            <w:r>
              <w:t>L1 Atmospheric light</w:t>
            </w:r>
          </w:p>
        </w:tc>
        <w:tc>
          <w:tcPr>
            <w:tcW w:type="dxa" w:w="3456"/>
            <w:vAlign w:val="top"/>
          </w:tcPr>
          <w:p>
            <w:r>
              <w:t>Sun glow, haze, subtle vignette and controlled particles</w:t>
            </w:r>
          </w:p>
        </w:tc>
        <w:tc>
          <w:tcPr>
            <w:tcW w:type="dxa" w:w="3456"/>
            <w:vAlign w:val="top"/>
          </w:tcPr>
          <w:p>
            <w:r>
              <w:t>0.5–1% depth movement</w:t>
            </w:r>
          </w:p>
        </w:tc>
      </w:tr>
      <w:tr>
        <w:tc>
          <w:tcPr>
            <w:tcW w:type="dxa" w:w="3456"/>
            <w:vAlign w:val="top"/>
          </w:tcPr>
          <w:p>
            <w:r>
              <w:t>L2 Architectural midground</w:t>
            </w:r>
          </w:p>
        </w:tc>
        <w:tc>
          <w:tcPr>
            <w:tcW w:type="dxa" w:w="3456"/>
            <w:vAlign w:val="top"/>
          </w:tcPr>
          <w:p>
            <w:r>
              <w:t>Mosque/Kaaba/architecture cutout layer with transparent edges</w:t>
            </w:r>
          </w:p>
        </w:tc>
        <w:tc>
          <w:tcPr>
            <w:tcW w:type="dxa" w:w="3456"/>
            <w:vAlign w:val="top"/>
          </w:tcPr>
          <w:p>
            <w:r>
              <w:t>4–6px mouse/scroll parallax</w:t>
            </w:r>
          </w:p>
        </w:tc>
      </w:tr>
      <w:tr>
        <w:tc>
          <w:tcPr>
            <w:tcW w:type="dxa" w:w="3456"/>
            <w:vAlign w:val="top"/>
          </w:tcPr>
          <w:p>
            <w:r>
              <w:t>L3 Foreground framing</w:t>
            </w:r>
          </w:p>
        </w:tc>
        <w:tc>
          <w:tcPr>
            <w:tcW w:type="dxa" w:w="3456"/>
            <w:vAlign w:val="top"/>
          </w:tcPr>
          <w:p>
            <w:r>
              <w:t>Arch/Islamic geometric frame or subtle ornamental edge</w:t>
            </w:r>
          </w:p>
        </w:tc>
        <w:tc>
          <w:tcPr>
            <w:tcW w:type="dxa" w:w="3456"/>
            <w:vAlign w:val="top"/>
          </w:tcPr>
          <w:p>
            <w:r>
              <w:t>6–10px opposite-depth movement</w:t>
            </w:r>
          </w:p>
        </w:tc>
      </w:tr>
      <w:tr>
        <w:tc>
          <w:tcPr>
            <w:tcW w:type="dxa" w:w="3456"/>
            <w:vAlign w:val="top"/>
          </w:tcPr>
          <w:p>
            <w:r>
              <w:t>L4 UI plane</w:t>
            </w:r>
          </w:p>
        </w:tc>
        <w:tc>
          <w:tcPr>
            <w:tcW w:type="dxa" w:w="3456"/>
            <w:vAlign w:val="top"/>
          </w:tcPr>
          <w:p>
            <w:r>
              <w:t>Tagline, H1, subtitle, CTA buttons and optional Arabic badge</w:t>
            </w:r>
          </w:p>
        </w:tc>
        <w:tc>
          <w:tcPr>
            <w:tcW w:type="dxa" w:w="3456"/>
            <w:vAlign w:val="top"/>
          </w:tcPr>
          <w:p>
            <w:r>
              <w:t>Stable; slight depth transform only</w:t>
            </w:r>
          </w:p>
        </w:tc>
      </w:tr>
    </w:tbl>
    <w:p>
      <w:pPr>
        <w:pStyle w:val="ListBullet"/>
      </w:pPr>
      <w:r>
        <w:t>Implementation target: lightweight CSS 3D transform + layered parallax, with requestAnimationFrame for pointer/scroll interpolation. Do not require a heavy external 3D engine unless performance testing proves acceptable.</w:t>
      </w:r>
    </w:p>
    <w:p>
      <w:pPr>
        <w:pStyle w:val="ListBullet"/>
      </w:pPr>
      <w:r>
        <w:t>Hero entrance: 1.08 → 1.00 scale over 1.6s with a smooth cubic-bezier easing.</w:t>
      </w:r>
    </w:p>
    <w:p>
      <w:pPr>
        <w:pStyle w:val="ListBullet"/>
      </w:pPr>
      <w:r>
        <w:t>Pointer depth: maximum 2–3 degrees rotation on desktop; never on touch devices.</w:t>
      </w:r>
    </w:p>
    <w:p>
      <w:pPr>
        <w:pStyle w:val="ListBullet"/>
      </w:pPr>
      <w:r>
        <w:t>Scroll parallax: approximately 15% speed; disable on touch and reduced-motion.</w:t>
      </w:r>
    </w:p>
    <w:p>
      <w:pPr>
        <w:pStyle w:val="ListBullet"/>
      </w:pPr>
      <w:r>
        <w:t>Add subtle gold particle/light movement only if it remains below the visual noise threshold.</w:t>
      </w:r>
    </w:p>
    <w:p>
      <w:pPr>
        <w:pStyle w:val="ListBullet"/>
      </w:pPr>
      <w:r>
        <w:t>Hero height: approximately 600–640px desktop; 560px tablet; 600px-ish mobile with typography reflow and safe focal crop.</w:t>
      </w:r>
    </w:p>
    <w:p>
      <w:pPr>
        <w:pStyle w:val="ListBullet"/>
      </w:pPr>
      <w:r>
        <w:t>Never cover the primary H1 or CTA with animated objects.</w:t>
      </w:r>
    </w:p>
    <w:p>
      <w:pPr>
        <w:pStyle w:val="ListBullet"/>
      </w:pPr>
      <w:r>
        <w:t>Use a static fallback image identical in composition for devices where animation is disabled.</w:t>
      </w:r>
    </w:p>
    <w:p>
      <w:pPr>
        <w:pStyle w:val="ListBullet"/>
      </w:pPr>
      <w:r>
        <w:t>Do not alter faces, sacred architecture or religious imagery in a misleading manner. If imagery is AI-generated, treat it as design artwork rather than a claim of real photography.</w:t>
      </w:r>
    </w:p>
    <w:p>
      <w:r>
        <w:t>Hero copy lock: eyebrow “SPIRITUAL JOURNEYS • HALAL TRAVEL • LIFE ENRICHING EXPERIENCES”; H1 “Discover the Sacred with NoorSafar”; supporting line “Hajj, Umrah, Ziyarat and Islamic tours designed to bring you closer to Allah.”; primary CTA “Explore Our Journeys”; secondary CTA “Watch Our Story”.</w:t>
      </w:r>
    </w:p>
    <w:p>
      <w:r>
        <w:t>Header Book My Journey must route to /book-my-journey/ — not a homepage anchor.</w:t>
      </w:r>
    </w:p>
    <w:p>
      <w:pPr>
        <w:pStyle w:val="Heading1"/>
      </w:pPr>
      <w:r>
        <w:t>6. HOMEPAGE — EXACT SECTION-BY-SECTION BUILD</w:t>
      </w:r>
    </w:p>
    <w:tbl>
      <w:tblPr>
        <w:tblStyle w:val="TableGrid"/>
        <w:tblW w:type="auto" w:w="0"/>
        <w:jc w:val="center"/>
        <w:tblLook w:firstColumn="1" w:firstRow="1" w:lastColumn="0" w:lastRow="0" w:noHBand="0" w:noVBand="1" w:val="04A0"/>
      </w:tblPr>
      <w:tblGrid>
        <w:gridCol w:w="5184"/>
        <w:gridCol w:w="5184"/>
      </w:tblGrid>
      <w:tr>
        <w:tc>
          <w:tcPr>
            <w:tcW w:type="dxa" w:w="5184"/>
            <w:shd w:fill="082C23"/>
          </w:tcPr>
          <w:p>
            <w:r>
              <w:rPr>
                <w:b/>
                <w:color w:val="FFFFFF"/>
              </w:rPr>
              <w:t>Order / section</w:t>
            </w:r>
          </w:p>
        </w:tc>
        <w:tc>
          <w:tcPr>
            <w:tcW w:type="dxa" w:w="5184"/>
            <w:shd w:fill="082C23"/>
          </w:tcPr>
          <w:p>
            <w:r>
              <w:rPr>
                <w:b/>
                <w:color w:val="FFFFFF"/>
              </w:rPr>
              <w:t>Exact implementation</w:t>
            </w:r>
          </w:p>
        </w:tc>
      </w:tr>
      <w:tr>
        <w:tc>
          <w:tcPr>
            <w:tcW w:type="dxa" w:w="5184"/>
            <w:vAlign w:val="top"/>
          </w:tcPr>
          <w:p>
            <w:r>
              <w:t>01 Header</w:t>
            </w:r>
          </w:p>
        </w:tc>
        <w:tc>
          <w:tcPr>
            <w:tcW w:type="dxa" w:w="5184"/>
            <w:vAlign w:val="top"/>
          </w:tcPr>
          <w:p>
            <w:r>
              <w:t>Compact deep-emerald navigation. Official logo only. Menu: Home, Journey+, Destinations+, Gallery, Ziyarat, Blog, Contact. Right: language selector, search icon, gold Book My Journey button. No top utility bar.</w:t>
            </w:r>
          </w:p>
        </w:tc>
      </w:tr>
      <w:tr>
        <w:tc>
          <w:tcPr>
            <w:tcW w:type="dxa" w:w="5184"/>
            <w:vAlign w:val="top"/>
          </w:tcPr>
          <w:p>
            <w:r>
              <w:t>02 Hero</w:t>
            </w:r>
          </w:p>
        </w:tc>
        <w:tc>
          <w:tcPr>
            <w:tcW w:type="dxa" w:w="5184"/>
            <w:vAlign w:val="top"/>
          </w:tcPr>
          <w:p>
            <w:r>
              <w:t>3D cinematic layered hero described above. Keep text left-aligned over artwork. Do not add the old large search form.</w:t>
            </w:r>
          </w:p>
        </w:tc>
      </w:tr>
      <w:tr>
        <w:tc>
          <w:tcPr>
            <w:tcW w:type="dxa" w:w="5184"/>
            <w:vAlign w:val="top"/>
          </w:tcPr>
          <w:p>
            <w:r>
              <w:t>03 Feature Strip</w:t>
            </w:r>
          </w:p>
        </w:tc>
        <w:tc>
          <w:tcPr>
            <w:tcW w:type="dxa" w:w="5184"/>
            <w:vAlign w:val="top"/>
          </w:tcPr>
          <w:p>
            <w:r>
              <w:t>Five horizontal benefits: Hajj &amp; Umrah, Ziyarat, Islamic Tours, Custom Packages, 24/7 Support. Inline SVG line icons on small gold/ivory circles. Responsive stack/scroll on mobile.</w:t>
            </w:r>
          </w:p>
        </w:tc>
      </w:tr>
      <w:tr>
        <w:tc>
          <w:tcPr>
            <w:tcW w:type="dxa" w:w="5184"/>
            <w:vAlign w:val="top"/>
          </w:tcPr>
          <w:p>
            <w:r>
              <w:t>04 Featured Journeys</w:t>
            </w:r>
          </w:p>
        </w:tc>
        <w:tc>
          <w:tcPr>
            <w:tcW w:type="dxa" w:w="5184"/>
            <w:vAlign w:val="top"/>
          </w:tcPr>
          <w:p>
            <w:r>
              <w:t>Ivory section. Intro at left; three package cards at right/within responsive grid. Cards use real CPT data. Price is manual and status-controlled.</w:t>
            </w:r>
          </w:p>
        </w:tc>
      </w:tr>
      <w:tr>
        <w:tc>
          <w:tcPr>
            <w:tcW w:type="dxa" w:w="5184"/>
            <w:vAlign w:val="top"/>
          </w:tcPr>
          <w:p>
            <w:r>
              <w:t>05 Blessed Destinations</w:t>
            </w:r>
          </w:p>
        </w:tc>
        <w:tc>
          <w:tcPr>
            <w:tcW w:type="dxa" w:w="5184"/>
            <w:vAlign w:val="top"/>
          </w:tcPr>
          <w:p>
            <w:r>
              <w:t>Full-width deep-emerald band. Left editorial text, right four destination cards. Cards: Makkah, Madinah, Bait-ul-Muqaddas/Jerusalem, Karbala. Include accessible carousel arrows.</w:t>
            </w:r>
          </w:p>
        </w:tc>
      </w:tr>
      <w:tr>
        <w:tc>
          <w:tcPr>
            <w:tcW w:type="dxa" w:w="5184"/>
            <w:vAlign w:val="top"/>
          </w:tcPr>
          <w:p>
            <w:r>
              <w:t>06 Trusted Travel Partner</w:t>
            </w:r>
          </w:p>
        </w:tc>
        <w:tc>
          <w:tcPr>
            <w:tcW w:type="dxa" w:w="5184"/>
            <w:vAlign w:val="top"/>
          </w:tcPr>
          <w:p>
            <w:r>
              <w:t>Warm-ivory full-width three-part composition: left visual 10, centre heading/quote + six benefits, right Quran visual 11.</w:t>
            </w:r>
          </w:p>
        </w:tc>
      </w:tr>
      <w:tr>
        <w:tc>
          <w:tcPr>
            <w:tcW w:type="dxa" w:w="5184"/>
            <w:vAlign w:val="top"/>
          </w:tcPr>
          <w:p>
            <w:r>
              <w:t>07 Islamic Audio</w:t>
            </w:r>
          </w:p>
        </w:tc>
        <w:tc>
          <w:tcPr>
            <w:tcW w:type="dxa" w:w="5184"/>
            <w:vAlign w:val="top"/>
          </w:tcPr>
          <w:p>
            <w:r>
              <w:t>Three-column layout: intro/listen copy, featured player using asset 12, category list. Real audio files only; if absent, hide rather than ship broken players.</w:t>
            </w:r>
          </w:p>
        </w:tc>
      </w:tr>
      <w:tr>
        <w:tc>
          <w:tcPr>
            <w:tcW w:type="dxa" w:w="5184"/>
            <w:vAlign w:val="top"/>
          </w:tcPr>
          <w:p>
            <w:r>
              <w:t>08 Moments That Inspire</w:t>
            </w:r>
          </w:p>
        </w:tc>
        <w:tc>
          <w:tcPr>
            <w:tcW w:type="dxa" w:w="5184"/>
            <w:vAlign w:val="top"/>
          </w:tcPr>
          <w:p>
            <w:r>
              <w:t>Left intro; right five-image horizontal strip. Assets 13–17. Lightbox opens approved high-resolution originals, not thumbnails.</w:t>
            </w:r>
          </w:p>
        </w:tc>
      </w:tr>
      <w:tr>
        <w:tc>
          <w:tcPr>
            <w:tcW w:type="dxa" w:w="5184"/>
            <w:vAlign w:val="top"/>
          </w:tcPr>
          <w:p>
            <w:r>
              <w:t>09 Testimonials</w:t>
            </w:r>
          </w:p>
        </w:tc>
        <w:tc>
          <w:tcPr>
            <w:tcW w:type="dxa" w:w="5184"/>
            <w:vAlign w:val="top"/>
          </w:tcPr>
          <w:p>
            <w:r>
              <w:t>Dark-emerald band. Left intro, right three cards. Production uses real consented records only; no demo identities.</w:t>
            </w:r>
          </w:p>
        </w:tc>
      </w:tr>
      <w:tr>
        <w:tc>
          <w:tcPr>
            <w:tcW w:type="dxa" w:w="5184"/>
            <w:vAlign w:val="top"/>
          </w:tcPr>
          <w:p>
            <w:r>
              <w:t>10 CTA</w:t>
            </w:r>
          </w:p>
        </w:tc>
        <w:tc>
          <w:tcPr>
            <w:tcW w:type="dxa" w:w="5184"/>
            <w:vAlign w:val="top"/>
          </w:tcPr>
          <w:p>
            <w:r>
              <w:t>Thin full-width cinematic strip using asset 18 as visual base with emerald overlay and gold CTA.</w:t>
            </w:r>
          </w:p>
        </w:tc>
      </w:tr>
      <w:tr>
        <w:tc>
          <w:tcPr>
            <w:tcW w:type="dxa" w:w="5184"/>
            <w:vAlign w:val="top"/>
          </w:tcPr>
          <w:p>
            <w:r>
              <w:t>11 Footer</w:t>
            </w:r>
          </w:p>
        </w:tc>
        <w:tc>
          <w:tcPr>
            <w:tcW w:type="dxa" w:w="5184"/>
            <w:vAlign w:val="top"/>
          </w:tcPr>
          <w:p>
            <w:r>
              <w:t>Six columns: NoorSafar, Journeys, Destinations, Resources, Company, Contact. Legal links and social icons. Floating WhatsApp.</w:t>
            </w:r>
          </w:p>
        </w:tc>
      </w:tr>
    </w:tbl>
    <w:p>
      <w:pPr>
        <w:pStyle w:val="Heading1"/>
      </w:pPr>
      <w:r>
        <w:t>7. THE 18 SUPPLIED WEB-DESIGN ASSETS — MASTER PLACEMENT REGISTER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82C23"/>
          </w:tcPr>
          <w:p>
            <w:r>
              <w:rPr>
                <w:b/>
                <w:color w:val="FFFFFF"/>
              </w:rPr>
              <w:t>Asset</w:t>
            </w:r>
          </w:p>
        </w:tc>
        <w:tc>
          <w:tcPr>
            <w:tcW w:type="dxa" w:w="2074"/>
            <w:shd w:fill="082C23"/>
          </w:tcPr>
          <w:p>
            <w:r>
              <w:rPr>
                <w:b/>
                <w:color w:val="FFFFFF"/>
              </w:rPr>
              <w:t>Size</w:t>
            </w:r>
          </w:p>
        </w:tc>
        <w:tc>
          <w:tcPr>
            <w:tcW w:type="dxa" w:w="2074"/>
            <w:shd w:fill="082C23"/>
          </w:tcPr>
          <w:p>
            <w:r>
              <w:rPr>
                <w:b/>
                <w:color w:val="FFFFFF"/>
              </w:rPr>
              <w:t>Role</w:t>
            </w:r>
          </w:p>
        </w:tc>
        <w:tc>
          <w:tcPr>
            <w:tcW w:type="dxa" w:w="2074"/>
            <w:shd w:fill="082C23"/>
          </w:tcPr>
          <w:p>
            <w:r>
              <w:rPr>
                <w:b/>
                <w:color w:val="FFFFFF"/>
              </w:rPr>
              <w:t>Placement / treatment</w:t>
            </w:r>
          </w:p>
        </w:tc>
        <w:tc>
          <w:tcPr>
            <w:tcW w:type="dxa" w:w="2074"/>
            <w:shd w:fill="082C23"/>
          </w:tcPr>
          <w:p>
            <w:r>
              <w:rPr>
                <w:b/>
                <w:color w:val="FFFFFF"/>
              </w:rPr>
              <w:t>Production requirement</w:t>
            </w:r>
          </w:p>
        </w:tc>
      </w:tr>
      <w:tr>
        <w:tc>
          <w:tcPr>
            <w:tcW w:type="dxa" w:w="2074"/>
            <w:vAlign w:val="top"/>
          </w:tcPr>
          <w:p>
            <w:r>
              <w:t>01_header_logo.png</w:t>
            </w:r>
          </w:p>
        </w:tc>
        <w:tc>
          <w:tcPr>
            <w:tcW w:type="dxa" w:w="2074"/>
            <w:vAlign w:val="top"/>
          </w:tcPr>
          <w:p>
            <w:r>
              <w:t>180×55</w:t>
            </w:r>
          </w:p>
        </w:tc>
        <w:tc>
          <w:tcPr>
            <w:tcW w:type="dxa" w:w="2074"/>
            <w:vAlign w:val="top"/>
          </w:tcPr>
          <w:p>
            <w:r>
              <w:t>Header + footer brand</w:t>
            </w:r>
          </w:p>
        </w:tc>
        <w:tc>
          <w:tcPr>
            <w:tcW w:type="dxa" w:w="2074"/>
            <w:vAlign w:val="top"/>
          </w:tcPr>
          <w:p>
            <w:r>
              <w:t>Use as single complete logo; preserve proportions; never reconstruct text with HTML; desktop ~150–180px wide, mobile ~130–150px.</w:t>
            </w:r>
          </w:p>
        </w:tc>
        <w:tc>
          <w:tcPr>
            <w:tcW w:type="dxa" w:w="2074"/>
            <w:vAlign w:val="top"/>
          </w:tcPr>
          <w:p>
            <w:r>
              <w:t>Replace with higher-resolution SVG/PNG master before production if available.</w:t>
            </w:r>
          </w:p>
        </w:tc>
      </w:tr>
      <w:tr>
        <w:tc>
          <w:tcPr>
            <w:tcW w:type="dxa" w:w="2074"/>
            <w:vAlign w:val="top"/>
          </w:tcPr>
          <w:p>
            <w:r>
              <w:t>02_hero_visual.png</w:t>
            </w:r>
          </w:p>
        </w:tc>
        <w:tc>
          <w:tcPr>
            <w:tcW w:type="dxa" w:w="2074"/>
            <w:vAlign w:val="top"/>
          </w:tcPr>
          <w:p>
            <w:r>
              <w:t>749×249</w:t>
            </w:r>
          </w:p>
        </w:tc>
        <w:tc>
          <w:tcPr>
            <w:tcW w:type="dxa" w:w="2074"/>
            <w:vAlign w:val="top"/>
          </w:tcPr>
          <w:p>
            <w:r>
              <w:t>Hero visual</w:t>
            </w:r>
          </w:p>
        </w:tc>
        <w:tc>
          <w:tcPr>
            <w:tcW w:type="dxa" w:w="2074"/>
            <w:vAlign w:val="top"/>
          </w:tcPr>
          <w:p>
            <w:r>
              <w:t>Full-width background/reference. Desktop cover with focal point protected; mobile crop around sacred focal area.</w:t>
            </w:r>
          </w:p>
        </w:tc>
        <w:tc>
          <w:tcPr>
            <w:tcW w:type="dxa" w:w="2074"/>
            <w:vAlign w:val="top"/>
          </w:tcPr>
          <w:p>
            <w:r>
              <w:t>Current file is too small for a 1440px hero; create approved high-res production artwork and derive 3D layers.</w:t>
            </w:r>
          </w:p>
        </w:tc>
      </w:tr>
      <w:tr>
        <w:tc>
          <w:tcPr>
            <w:tcW w:type="dxa" w:w="2074"/>
            <w:vAlign w:val="top"/>
          </w:tcPr>
          <w:p>
            <w:r>
              <w:t>03_featured_classic_umrah.png</w:t>
            </w:r>
          </w:p>
        </w:tc>
        <w:tc>
          <w:tcPr>
            <w:tcW w:type="dxa" w:w="2074"/>
            <w:vAlign w:val="top"/>
          </w:tcPr>
          <w:p>
            <w:r>
              <w:t>175×94</w:t>
            </w:r>
          </w:p>
        </w:tc>
        <w:tc>
          <w:tcPr>
            <w:tcW w:type="dxa" w:w="2074"/>
            <w:vAlign w:val="top"/>
          </w:tcPr>
          <w:p>
            <w:r>
              <w:t>Featured Classic Umrah card</w:t>
            </w:r>
          </w:p>
        </w:tc>
        <w:tc>
          <w:tcPr>
            <w:tcW w:type="dxa" w:w="2074"/>
            <w:vAlign w:val="top"/>
          </w:tcPr>
          <w:p>
            <w:r>
              <w:t>Card image at top; use object-fit:cover; preserve rounded card corners.</w:t>
            </w:r>
          </w:p>
        </w:tc>
        <w:tc>
          <w:tcPr>
            <w:tcW w:type="dxa" w:w="2074"/>
            <w:vAlign w:val="top"/>
          </w:tcPr>
          <w:p>
            <w:r>
              <w:t>Demo-sized; replace with high-res source for production.</w:t>
            </w:r>
          </w:p>
        </w:tc>
      </w:tr>
      <w:tr>
        <w:tc>
          <w:tcPr>
            <w:tcW w:type="dxa" w:w="2074"/>
            <w:vAlign w:val="top"/>
          </w:tcPr>
          <w:p>
            <w:r>
              <w:t>04_featured_premium_umrah.png</w:t>
            </w:r>
          </w:p>
        </w:tc>
        <w:tc>
          <w:tcPr>
            <w:tcW w:type="dxa" w:w="2074"/>
            <w:vAlign w:val="top"/>
          </w:tcPr>
          <w:p>
            <w:r>
              <w:t>178×94</w:t>
            </w:r>
          </w:p>
        </w:tc>
        <w:tc>
          <w:tcPr>
            <w:tcW w:type="dxa" w:w="2074"/>
            <w:vAlign w:val="top"/>
          </w:tcPr>
          <w:p>
            <w:r>
              <w:t>Featured Premium Umrah card</w:t>
            </w:r>
          </w:p>
        </w:tc>
        <w:tc>
          <w:tcPr>
            <w:tcW w:type="dxa" w:w="2074"/>
            <w:vAlign w:val="top"/>
          </w:tcPr>
          <w:p>
            <w:r>
              <w:t>Second featured package image; same crop and aspect ratio as card 03.</w:t>
            </w:r>
          </w:p>
        </w:tc>
        <w:tc>
          <w:tcPr>
            <w:tcW w:type="dxa" w:w="2074"/>
            <w:vAlign w:val="top"/>
          </w:tcPr>
          <w:p>
            <w:r>
              <w:t>Demo-sized; replace with high-res source.</w:t>
            </w:r>
          </w:p>
        </w:tc>
      </w:tr>
      <w:tr>
        <w:tc>
          <w:tcPr>
            <w:tcW w:type="dxa" w:w="2074"/>
            <w:vAlign w:val="top"/>
          </w:tcPr>
          <w:p>
            <w:r>
              <w:t>05_featured_hajj.png</w:t>
            </w:r>
          </w:p>
        </w:tc>
        <w:tc>
          <w:tcPr>
            <w:tcW w:type="dxa" w:w="2074"/>
            <w:vAlign w:val="top"/>
          </w:tcPr>
          <w:p>
            <w:r>
              <w:t>179×94</w:t>
            </w:r>
          </w:p>
        </w:tc>
        <w:tc>
          <w:tcPr>
            <w:tcW w:type="dxa" w:w="2074"/>
            <w:vAlign w:val="top"/>
          </w:tcPr>
          <w:p>
            <w:r>
              <w:t>Featured Hajj card</w:t>
            </w:r>
          </w:p>
        </w:tc>
        <w:tc>
          <w:tcPr>
            <w:tcW w:type="dxa" w:w="2074"/>
            <w:vAlign w:val="top"/>
          </w:tcPr>
          <w:p>
            <w:r>
              <w:t>Third featured package image; same visual treatment as 03/04.</w:t>
            </w:r>
          </w:p>
        </w:tc>
        <w:tc>
          <w:tcPr>
            <w:tcW w:type="dxa" w:w="2074"/>
            <w:vAlign w:val="top"/>
          </w:tcPr>
          <w:p>
            <w:r>
              <w:t>Demo-sized; replace with high-res source.</w:t>
            </w:r>
          </w:p>
        </w:tc>
      </w:tr>
      <w:tr>
        <w:tc>
          <w:tcPr>
            <w:tcW w:type="dxa" w:w="2074"/>
            <w:vAlign w:val="top"/>
          </w:tcPr>
          <w:p>
            <w:r>
              <w:t>06_destination_makkah.png</w:t>
            </w:r>
          </w:p>
        </w:tc>
        <w:tc>
          <w:tcPr>
            <w:tcW w:type="dxa" w:w="2074"/>
            <w:vAlign w:val="top"/>
          </w:tcPr>
          <w:p>
            <w:r>
              <w:t>135×144</w:t>
            </w:r>
          </w:p>
        </w:tc>
        <w:tc>
          <w:tcPr>
            <w:tcW w:type="dxa" w:w="2074"/>
            <w:vAlign w:val="top"/>
          </w:tcPr>
          <w:p>
            <w:r>
              <w:t>Destination card 1</w:t>
            </w:r>
          </w:p>
        </w:tc>
        <w:tc>
          <w:tcPr>
            <w:tcW w:type="dxa" w:w="2074"/>
            <w:vAlign w:val="top"/>
          </w:tcPr>
          <w:p>
            <w:r>
              <w:t>Makkah card; square-ish portrait crop, image above/beside label depending responsive mode.</w:t>
            </w:r>
          </w:p>
        </w:tc>
        <w:tc>
          <w:tcPr>
            <w:tcW w:type="dxa" w:w="2074"/>
            <w:vAlign w:val="top"/>
          </w:tcPr>
          <w:p>
            <w:r>
              <w:t>Use high-res master; preserve Makkah label.</w:t>
            </w:r>
          </w:p>
        </w:tc>
      </w:tr>
      <w:tr>
        <w:tc>
          <w:tcPr>
            <w:tcW w:type="dxa" w:w="2074"/>
            <w:vAlign w:val="top"/>
          </w:tcPr>
          <w:p>
            <w:r>
              <w:t>07_destination_madinah.png</w:t>
            </w:r>
          </w:p>
        </w:tc>
        <w:tc>
          <w:tcPr>
            <w:tcW w:type="dxa" w:w="2074"/>
            <w:vAlign w:val="top"/>
          </w:tcPr>
          <w:p>
            <w:r>
              <w:t>135×144</w:t>
            </w:r>
          </w:p>
        </w:tc>
        <w:tc>
          <w:tcPr>
            <w:tcW w:type="dxa" w:w="2074"/>
            <w:vAlign w:val="top"/>
          </w:tcPr>
          <w:p>
            <w:r>
              <w:t>Destination card 2</w:t>
            </w:r>
          </w:p>
        </w:tc>
        <w:tc>
          <w:tcPr>
            <w:tcW w:type="dxa" w:w="2074"/>
            <w:vAlign w:val="top"/>
          </w:tcPr>
          <w:p>
            <w:r>
              <w:t>Madinah destination card; same dimensions/treatment as 06.</w:t>
            </w:r>
          </w:p>
        </w:tc>
        <w:tc>
          <w:tcPr>
            <w:tcW w:type="dxa" w:w="2074"/>
            <w:vAlign w:val="top"/>
          </w:tcPr>
          <w:p>
            <w:r>
              <w:t>Use high-res master.</w:t>
            </w:r>
          </w:p>
        </w:tc>
      </w:tr>
      <w:tr>
        <w:tc>
          <w:tcPr>
            <w:tcW w:type="dxa" w:w="2074"/>
            <w:vAlign w:val="top"/>
          </w:tcPr>
          <w:p>
            <w:r>
              <w:t>08_destination_jerusalem.png</w:t>
            </w:r>
          </w:p>
        </w:tc>
        <w:tc>
          <w:tcPr>
            <w:tcW w:type="dxa" w:w="2074"/>
            <w:vAlign w:val="top"/>
          </w:tcPr>
          <w:p>
            <w:r>
              <w:t>135×144</w:t>
            </w:r>
          </w:p>
        </w:tc>
        <w:tc>
          <w:tcPr>
            <w:tcW w:type="dxa" w:w="2074"/>
            <w:vAlign w:val="top"/>
          </w:tcPr>
          <w:p>
            <w:r>
              <w:t>Destination card 3</w:t>
            </w:r>
          </w:p>
        </w:tc>
        <w:tc>
          <w:tcPr>
            <w:tcW w:type="dxa" w:w="2074"/>
            <w:vAlign w:val="top"/>
          </w:tcPr>
          <w:p>
            <w:r>
              <w:t>Bait-ul-Muqaddas/Jerusalem card; same treatment.</w:t>
            </w:r>
          </w:p>
        </w:tc>
        <w:tc>
          <w:tcPr>
            <w:tcW w:type="dxa" w:w="2074"/>
            <w:vAlign w:val="top"/>
          </w:tcPr>
          <w:p>
            <w:r>
              <w:t>Use high-res master; wording should remain respectful/consistent.</w:t>
            </w:r>
          </w:p>
        </w:tc>
      </w:tr>
      <w:tr>
        <w:tc>
          <w:tcPr>
            <w:tcW w:type="dxa" w:w="2074"/>
            <w:vAlign w:val="top"/>
          </w:tcPr>
          <w:p>
            <w:r>
              <w:t>09_destination_karbala.png</w:t>
            </w:r>
          </w:p>
        </w:tc>
        <w:tc>
          <w:tcPr>
            <w:tcW w:type="dxa" w:w="2074"/>
            <w:vAlign w:val="top"/>
          </w:tcPr>
          <w:p>
            <w:r>
              <w:t>135×144</w:t>
            </w:r>
          </w:p>
        </w:tc>
        <w:tc>
          <w:tcPr>
            <w:tcW w:type="dxa" w:w="2074"/>
            <w:vAlign w:val="top"/>
          </w:tcPr>
          <w:p>
            <w:r>
              <w:t>Destination card 4</w:t>
            </w:r>
          </w:p>
        </w:tc>
        <w:tc>
          <w:tcPr>
            <w:tcW w:type="dxa" w:w="2074"/>
            <w:vAlign w:val="top"/>
          </w:tcPr>
          <w:p>
            <w:r>
              <w:t>Karbala card; same treatment.</w:t>
            </w:r>
          </w:p>
        </w:tc>
        <w:tc>
          <w:tcPr>
            <w:tcW w:type="dxa" w:w="2074"/>
            <w:vAlign w:val="top"/>
          </w:tcPr>
          <w:p>
            <w:r>
              <w:t>Use high-res master.</w:t>
            </w:r>
          </w:p>
        </w:tc>
      </w:tr>
      <w:tr>
        <w:tc>
          <w:tcPr>
            <w:tcW w:type="dxa" w:w="2074"/>
            <w:vAlign w:val="top"/>
          </w:tcPr>
          <w:p>
            <w:r>
              <w:t>10_trusted_partner_left_visual.png</w:t>
            </w:r>
          </w:p>
        </w:tc>
        <w:tc>
          <w:tcPr>
            <w:tcW w:type="dxa" w:w="2074"/>
            <w:vAlign w:val="top"/>
          </w:tcPr>
          <w:p>
            <w:r>
              <w:t>330×195</w:t>
            </w:r>
          </w:p>
        </w:tc>
        <w:tc>
          <w:tcPr>
            <w:tcW w:type="dxa" w:w="2074"/>
            <w:vAlign w:val="top"/>
          </w:tcPr>
          <w:p>
            <w:r>
              <w:t>Trusted Partner left visual</w:t>
            </w:r>
          </w:p>
        </w:tc>
        <w:tc>
          <w:tcPr>
            <w:tcW w:type="dxa" w:w="2074"/>
            <w:vAlign w:val="top"/>
          </w:tcPr>
          <w:p>
            <w:r>
              <w:t>Place at left of ivory 3-column section; preserve arch-framed editorial quote composition.</w:t>
            </w:r>
          </w:p>
        </w:tc>
        <w:tc>
          <w:tcPr>
            <w:tcW w:type="dxa" w:w="2074"/>
            <w:vAlign w:val="top"/>
          </w:tcPr>
          <w:p>
            <w:r>
              <w:t>Use high-res production asset; avoid text duplication if overlay text is also HTML.</w:t>
            </w:r>
          </w:p>
        </w:tc>
      </w:tr>
      <w:tr>
        <w:tc>
          <w:tcPr>
            <w:tcW w:type="dxa" w:w="2074"/>
            <w:vAlign w:val="top"/>
          </w:tcPr>
          <w:p>
            <w:r>
              <w:t>11_trusted_partner_right_visual.png</w:t>
            </w:r>
          </w:p>
        </w:tc>
        <w:tc>
          <w:tcPr>
            <w:tcW w:type="dxa" w:w="2074"/>
            <w:vAlign w:val="top"/>
          </w:tcPr>
          <w:p>
            <w:r>
              <w:t>219×195</w:t>
            </w:r>
          </w:p>
        </w:tc>
        <w:tc>
          <w:tcPr>
            <w:tcW w:type="dxa" w:w="2074"/>
            <w:vAlign w:val="top"/>
          </w:tcPr>
          <w:p>
            <w:r>
              <w:t>Trusted Partner right visual</w:t>
            </w:r>
          </w:p>
        </w:tc>
        <w:tc>
          <w:tcPr>
            <w:tcW w:type="dxa" w:w="2074"/>
            <w:vAlign w:val="top"/>
          </w:tcPr>
          <w:p>
            <w:r>
              <w:t>Place at right; Quran/rehal visual; align vertically with central content.</w:t>
            </w:r>
          </w:p>
        </w:tc>
        <w:tc>
          <w:tcPr>
            <w:tcW w:type="dxa" w:w="2074"/>
            <w:vAlign w:val="top"/>
          </w:tcPr>
          <w:p>
            <w:r>
              <w:t>Use high-res production asset.</w:t>
            </w:r>
          </w:p>
        </w:tc>
      </w:tr>
      <w:tr>
        <w:tc>
          <w:tcPr>
            <w:tcW w:type="dxa" w:w="2074"/>
            <w:vAlign w:val="top"/>
          </w:tcPr>
          <w:p>
            <w:r>
              <w:t>12_audio_thumbnail.png</w:t>
            </w:r>
          </w:p>
        </w:tc>
        <w:tc>
          <w:tcPr>
            <w:tcW w:type="dxa" w:w="2074"/>
            <w:vAlign w:val="top"/>
          </w:tcPr>
          <w:p>
            <w:r>
              <w:t>84×62</w:t>
            </w:r>
          </w:p>
        </w:tc>
        <w:tc>
          <w:tcPr>
            <w:tcW w:type="dxa" w:w="2074"/>
            <w:vAlign w:val="top"/>
          </w:tcPr>
          <w:p>
            <w:r>
              <w:t>Featured audio thumbnail</w:t>
            </w:r>
          </w:p>
        </w:tc>
        <w:tc>
          <w:tcPr>
            <w:tcW w:type="dxa" w:w="2074"/>
            <w:vAlign w:val="top"/>
          </w:tcPr>
          <w:p>
            <w:r>
              <w:t>Use in central player; 16:9-ish thumbnail; do not stretch.</w:t>
            </w:r>
          </w:p>
        </w:tc>
        <w:tc>
          <w:tcPr>
            <w:tcW w:type="dxa" w:w="2074"/>
            <w:vAlign w:val="top"/>
          </w:tcPr>
          <w:p>
            <w:r>
              <w:t>Replace with larger source but preserve crop.</w:t>
            </w:r>
          </w:p>
        </w:tc>
      </w:tr>
      <w:tr>
        <w:tc>
          <w:tcPr>
            <w:tcW w:type="dxa" w:w="2074"/>
            <w:vAlign w:val="top"/>
          </w:tcPr>
          <w:p>
            <w:r>
              <w:t>13_gallery_kaaba.png</w:t>
            </w:r>
          </w:p>
        </w:tc>
        <w:tc>
          <w:tcPr>
            <w:tcW w:type="dxa" w:w="2074"/>
            <w:vAlign w:val="top"/>
          </w:tcPr>
          <w:p>
            <w:r>
              <w:t>108×76</w:t>
            </w:r>
          </w:p>
        </w:tc>
        <w:tc>
          <w:tcPr>
            <w:tcW w:type="dxa" w:w="2074"/>
            <w:vAlign w:val="top"/>
          </w:tcPr>
          <w:p>
            <w:r>
              <w:t>Gallery item 1</w:t>
            </w:r>
          </w:p>
        </w:tc>
        <w:tc>
          <w:tcPr>
            <w:tcW w:type="dxa" w:w="2074"/>
            <w:vAlign w:val="top"/>
          </w:tcPr>
          <w:p>
            <w:r>
              <w:t>Horizontal gallery strip; rounded corners; click opens high-res full image.</w:t>
            </w:r>
          </w:p>
        </w:tc>
        <w:tc>
          <w:tcPr>
            <w:tcW w:type="dxa" w:w="2074"/>
            <w:vAlign w:val="top"/>
          </w:tcPr>
          <w:p>
            <w:r>
              <w:t>Thumbnail only; do not use as lightbox source.</w:t>
            </w:r>
          </w:p>
        </w:tc>
      </w:tr>
      <w:tr>
        <w:tc>
          <w:tcPr>
            <w:tcW w:type="dxa" w:w="2074"/>
            <w:vAlign w:val="top"/>
          </w:tcPr>
          <w:p>
            <w:r>
              <w:t>14_gallery_madinah.png</w:t>
            </w:r>
          </w:p>
        </w:tc>
        <w:tc>
          <w:tcPr>
            <w:tcW w:type="dxa" w:w="2074"/>
            <w:vAlign w:val="top"/>
          </w:tcPr>
          <w:p>
            <w:r>
              <w:t>108×76</w:t>
            </w:r>
          </w:p>
        </w:tc>
        <w:tc>
          <w:tcPr>
            <w:tcW w:type="dxa" w:w="2074"/>
            <w:vAlign w:val="top"/>
          </w:tcPr>
          <w:p>
            <w:r>
              <w:t>Gallery item 2</w:t>
            </w:r>
          </w:p>
        </w:tc>
        <w:tc>
          <w:tcPr>
            <w:tcW w:type="dxa" w:w="2074"/>
            <w:vAlign w:val="top"/>
          </w:tcPr>
          <w:p>
            <w:r>
              <w:t>Gallery item 2; same height and interaction as 13.</w:t>
            </w:r>
          </w:p>
        </w:tc>
        <w:tc>
          <w:tcPr>
            <w:tcW w:type="dxa" w:w="2074"/>
            <w:vAlign w:val="top"/>
          </w:tcPr>
          <w:p>
            <w:r>
              <w:t>Thumbnail only.</w:t>
            </w:r>
          </w:p>
        </w:tc>
      </w:tr>
      <w:tr>
        <w:tc>
          <w:tcPr>
            <w:tcW w:type="dxa" w:w="2074"/>
            <w:vAlign w:val="top"/>
          </w:tcPr>
          <w:p>
            <w:r>
              <w:t>15_gallery_desert.png</w:t>
            </w:r>
          </w:p>
        </w:tc>
        <w:tc>
          <w:tcPr>
            <w:tcW w:type="dxa" w:w="2074"/>
            <w:vAlign w:val="top"/>
          </w:tcPr>
          <w:p>
            <w:r>
              <w:t>135×76</w:t>
            </w:r>
          </w:p>
        </w:tc>
        <w:tc>
          <w:tcPr>
            <w:tcW w:type="dxa" w:w="2074"/>
            <w:vAlign w:val="top"/>
          </w:tcPr>
          <w:p>
            <w:r>
              <w:t>Gallery item 3</w:t>
            </w:r>
          </w:p>
        </w:tc>
        <w:tc>
          <w:tcPr>
            <w:tcW w:type="dxa" w:w="2074"/>
            <w:vAlign w:val="top"/>
          </w:tcPr>
          <w:p>
            <w:r>
              <w:t>Gallery item 3; same strip height; object-fit cover.</w:t>
            </w:r>
          </w:p>
        </w:tc>
        <w:tc>
          <w:tcPr>
            <w:tcW w:type="dxa" w:w="2074"/>
            <w:vAlign w:val="top"/>
          </w:tcPr>
          <w:p>
            <w:r>
              <w:t>Thumbnail only.</w:t>
            </w:r>
          </w:p>
        </w:tc>
      </w:tr>
      <w:tr>
        <w:tc>
          <w:tcPr>
            <w:tcW w:type="dxa" w:w="2074"/>
            <w:vAlign w:val="top"/>
          </w:tcPr>
          <w:p>
            <w:r>
              <w:t>16_gallery_architecture.png</w:t>
            </w:r>
          </w:p>
        </w:tc>
        <w:tc>
          <w:tcPr>
            <w:tcW w:type="dxa" w:w="2074"/>
            <w:vAlign w:val="top"/>
          </w:tcPr>
          <w:p>
            <w:r>
              <w:t>105×76</w:t>
            </w:r>
          </w:p>
        </w:tc>
        <w:tc>
          <w:tcPr>
            <w:tcW w:type="dxa" w:w="2074"/>
            <w:vAlign w:val="top"/>
          </w:tcPr>
          <w:p>
            <w:r>
              <w:t>Gallery item 4</w:t>
            </w:r>
          </w:p>
        </w:tc>
        <w:tc>
          <w:tcPr>
            <w:tcW w:type="dxa" w:w="2074"/>
            <w:vAlign w:val="top"/>
          </w:tcPr>
          <w:p>
            <w:r>
              <w:t>Gallery item 4; Islamic architecture visual.</w:t>
            </w:r>
          </w:p>
        </w:tc>
        <w:tc>
          <w:tcPr>
            <w:tcW w:type="dxa" w:w="2074"/>
            <w:vAlign w:val="top"/>
          </w:tcPr>
          <w:p>
            <w:r>
              <w:t>Thumbnail only.</w:t>
            </w:r>
          </w:p>
        </w:tc>
      </w:tr>
      <w:tr>
        <w:tc>
          <w:tcPr>
            <w:tcW w:type="dxa" w:w="2074"/>
            <w:vAlign w:val="top"/>
          </w:tcPr>
          <w:p>
            <w:r>
              <w:t>17_gallery_mosque.png</w:t>
            </w:r>
          </w:p>
        </w:tc>
        <w:tc>
          <w:tcPr>
            <w:tcW w:type="dxa" w:w="2074"/>
            <w:vAlign w:val="top"/>
          </w:tcPr>
          <w:p>
            <w:r>
              <w:t>107×76</w:t>
            </w:r>
          </w:p>
        </w:tc>
        <w:tc>
          <w:tcPr>
            <w:tcW w:type="dxa" w:w="2074"/>
            <w:vAlign w:val="top"/>
          </w:tcPr>
          <w:p>
            <w:r>
              <w:t>Gallery item 5</w:t>
            </w:r>
          </w:p>
        </w:tc>
        <w:tc>
          <w:tcPr>
            <w:tcW w:type="dxa" w:w="2074"/>
            <w:vAlign w:val="top"/>
          </w:tcPr>
          <w:p>
            <w:r>
              <w:t>Gallery item 5; mosque visual.</w:t>
            </w:r>
          </w:p>
        </w:tc>
        <w:tc>
          <w:tcPr>
            <w:tcW w:type="dxa" w:w="2074"/>
            <w:vAlign w:val="top"/>
          </w:tcPr>
          <w:p>
            <w:r>
              <w:t>Thumbnail only.</w:t>
            </w:r>
          </w:p>
        </w:tc>
      </w:tr>
      <w:tr>
        <w:tc>
          <w:tcPr>
            <w:tcW w:type="dxa" w:w="2074"/>
            <w:vAlign w:val="top"/>
          </w:tcPr>
          <w:p>
            <w:r>
              <w:t>18_cta_background.png</w:t>
            </w:r>
          </w:p>
        </w:tc>
        <w:tc>
          <w:tcPr>
            <w:tcW w:type="dxa" w:w="2074"/>
            <w:vAlign w:val="top"/>
          </w:tcPr>
          <w:p>
            <w:r>
              <w:t>1024×54</w:t>
            </w:r>
          </w:p>
        </w:tc>
        <w:tc>
          <w:tcPr>
            <w:tcW w:type="dxa" w:w="2074"/>
            <w:vAlign w:val="top"/>
          </w:tcPr>
          <w:p>
            <w:r>
              <w:t>Final CTA strip</w:t>
            </w:r>
          </w:p>
        </w:tc>
        <w:tc>
          <w:tcPr>
            <w:tcW w:type="dxa" w:w="2074"/>
            <w:vAlign w:val="top"/>
          </w:tcPr>
          <w:p>
            <w:r>
              <w:t>Full-width thin background; cover/center crop; emerald overlay to ensure text contrast.</w:t>
            </w:r>
          </w:p>
        </w:tc>
        <w:tc>
          <w:tcPr>
            <w:tcW w:type="dxa" w:w="2074"/>
            <w:vAlign w:val="top"/>
          </w:tcPr>
          <w:p>
            <w:r>
              <w:t>Current dimensions are extremely small; create a high-res wide derivative while preserving composition.</w:t>
            </w:r>
          </w:p>
        </w:tc>
      </w:tr>
    </w:tbl>
    <w:p>
      <w:pPr>
        <w:pStyle w:val="Heading1"/>
      </w:pPr>
      <w:r>
        <w:t>8. IMAGE PRODUCTION RULES</w:t>
      </w:r>
    </w:p>
    <w:p>
      <w:pPr>
        <w:pStyle w:val="ListBullet"/>
      </w:pPr>
      <w:r>
        <w:t>The numbered 18 files are design-reference assets. Their present pixel dimensions are too small for many production placements; do not simply upscale them and call them production-ready.</w:t>
      </w:r>
    </w:p>
    <w:p>
      <w:pPr>
        <w:pStyle w:val="ListBullet"/>
      </w:pPr>
      <w:r>
        <w:t>Create high-resolution derivatives from approved source artwork. Recommended hero: at least 2400×1000px; package cards: at least 1200×675px; destination cards: at least 900×900px; trust visuals: at least 1400px on the long edge; gallery: at least 1600px wide; CTA: at least 2400×400px.</w:t>
      </w:r>
    </w:p>
    <w:p>
      <w:pPr>
        <w:pStyle w:val="ListBullet"/>
      </w:pPr>
      <w:r>
        <w:t>Export optimized WebP/AVIF where WordPress supports it, retain JPEG/PNG fallback when necessary, and never serve oversized originals unnecessarily.</w:t>
      </w:r>
    </w:p>
    <w:p>
      <w:pPr>
        <w:pStyle w:val="ListBullet"/>
      </w:pPr>
      <w:r>
        <w:t>Keep a safe focal zone in every crop. Do not crop sacred subjects, faces or important architectural elements.</w:t>
      </w:r>
    </w:p>
    <w:p>
      <w:pPr>
        <w:pStyle w:val="ListBullet"/>
      </w:pPr>
      <w:r>
        <w:t>Do not apply face modification, identity changes or retouching to supplied people/saint imagery.</w:t>
      </w:r>
    </w:p>
    <w:p>
      <w:pPr>
        <w:pStyle w:val="ListBullet"/>
      </w:pPr>
      <w:r>
        <w:t>Keep text that belongs to the website as HTML, not baked into images, unless the reference asset intentionally contains a decorative quotation/artwork.</w:t>
      </w:r>
    </w:p>
    <w:p>
      <w:pPr>
        <w:pStyle w:val="Heading1"/>
      </w:pPr>
      <w:r>
        <w:t>9. INNER PAGE MASTER SYSTEM</w:t>
      </w:r>
    </w:p>
    <w:tbl>
      <w:tblPr>
        <w:tblStyle w:val="TableGrid"/>
        <w:tblW w:type="auto" w:w="0"/>
        <w:jc w:val="center"/>
        <w:tblLook w:firstColumn="1" w:firstRow="1" w:lastColumn="0" w:lastRow="0" w:noHBand="0" w:noVBand="1" w:val="04A0"/>
      </w:tblPr>
      <w:tblGrid>
        <w:gridCol w:w="5184"/>
        <w:gridCol w:w="5184"/>
      </w:tblGrid>
      <w:tr>
        <w:tc>
          <w:tcPr>
            <w:tcW w:type="dxa" w:w="5184"/>
            <w:shd w:fill="082C23"/>
          </w:tcPr>
          <w:p>
            <w:r>
              <w:rPr>
                <w:b/>
                <w:color w:val="FFFFFF"/>
              </w:rPr>
              <w:t>Page</w:t>
            </w:r>
          </w:p>
        </w:tc>
        <w:tc>
          <w:tcPr>
            <w:tcW w:type="dxa" w:w="5184"/>
            <w:shd w:fill="082C23"/>
          </w:tcPr>
          <w:p>
            <w:r>
              <w:rPr>
                <w:b/>
                <w:color w:val="FFFFFF"/>
              </w:rPr>
              <w:t>Required composition</w:t>
            </w:r>
          </w:p>
        </w:tc>
      </w:tr>
      <w:tr>
        <w:tc>
          <w:tcPr>
            <w:tcW w:type="dxa" w:w="5184"/>
            <w:vAlign w:val="top"/>
          </w:tcPr>
          <w:p>
            <w:r>
              <w:t>About</w:t>
            </w:r>
          </w:p>
        </w:tc>
        <w:tc>
          <w:tcPr>
            <w:tcW w:type="dxa" w:w="5184"/>
            <w:vAlign w:val="top"/>
          </w:tcPr>
          <w:p>
            <w:r>
              <w:t>Hero + story + mission + trust/values + team/credentials + CTA. No unverified years/ratings/claims.</w:t>
            </w:r>
          </w:p>
        </w:tc>
      </w:tr>
      <w:tr>
        <w:tc>
          <w:tcPr>
            <w:tcW w:type="dxa" w:w="5184"/>
            <w:vAlign w:val="top"/>
          </w:tcPr>
          <w:p>
            <w:r>
              <w:t>Journeys</w:t>
            </w:r>
          </w:p>
        </w:tc>
        <w:tc>
          <w:tcPr>
            <w:tcW w:type="dxa" w:w="5184"/>
            <w:vAlign w:val="top"/>
          </w:tcPr>
          <w:p>
            <w:r>
              <w:t>Filterable CPT archive with Hajj, Umrah, Ziyarat, Pakistan Tours, Programs. Cards share one component system.</w:t>
            </w:r>
          </w:p>
        </w:tc>
      </w:tr>
      <w:tr>
        <w:tc>
          <w:tcPr>
            <w:tcW w:type="dxa" w:w="5184"/>
            <w:vAlign w:val="top"/>
          </w:tcPr>
          <w:p>
            <w:r>
              <w:t>Single Package</w:t>
            </w:r>
          </w:p>
        </w:tc>
        <w:tc>
          <w:tcPr>
            <w:tcW w:type="dxa" w:w="5184"/>
            <w:vAlign w:val="top"/>
          </w:tcPr>
          <w:p>
            <w:r>
              <w:t>Hero image, title, duration, destinations, dates, inclusions/exclusions, manual price/status, seats, itinerary, FAQ, booking CTA and WhatsApp.</w:t>
            </w:r>
          </w:p>
        </w:tc>
      </w:tr>
      <w:tr>
        <w:tc>
          <w:tcPr>
            <w:tcW w:type="dxa" w:w="5184"/>
            <w:vAlign w:val="top"/>
          </w:tcPr>
          <w:p>
            <w:r>
              <w:t>Destinations</w:t>
            </w:r>
          </w:p>
        </w:tc>
        <w:tc>
          <w:tcPr>
            <w:tcW w:type="dxa" w:w="5184"/>
            <w:vAlign w:val="top"/>
          </w:tcPr>
          <w:p>
            <w:r>
              <w:t>Grid/index of four sacred destinations plus future destinations. Single destination pages show history, practical information and related packages.</w:t>
            </w:r>
          </w:p>
        </w:tc>
      </w:tr>
      <w:tr>
        <w:tc>
          <w:tcPr>
            <w:tcW w:type="dxa" w:w="5184"/>
            <w:vAlign w:val="top"/>
          </w:tcPr>
          <w:p>
            <w:r>
              <w:t>Ziyarat</w:t>
            </w:r>
          </w:p>
        </w:tc>
        <w:tc>
          <w:tcPr>
            <w:tcW w:type="dxa" w:w="5184"/>
            <w:vAlign w:val="top"/>
          </w:tcPr>
          <w:p>
            <w:r>
              <w:t>Dedicated archive/detail templates, including event/program dates and itinerary.</w:t>
            </w:r>
          </w:p>
        </w:tc>
      </w:tr>
      <w:tr>
        <w:tc>
          <w:tcPr>
            <w:tcW w:type="dxa" w:w="5184"/>
            <w:vAlign w:val="top"/>
          </w:tcPr>
          <w:p>
            <w:r>
              <w:t>Gallery</w:t>
            </w:r>
          </w:p>
        </w:tc>
        <w:tc>
          <w:tcPr>
            <w:tcW w:type="dxa" w:w="5184"/>
            <w:vAlign w:val="top"/>
          </w:tcPr>
          <w:p>
            <w:r>
              <w:t>Filterable grid/strip with accessible lightbox and high-resolution originals.</w:t>
            </w:r>
          </w:p>
        </w:tc>
      </w:tr>
      <w:tr>
        <w:tc>
          <w:tcPr>
            <w:tcW w:type="dxa" w:w="5184"/>
            <w:vAlign w:val="top"/>
          </w:tcPr>
          <w:p>
            <w:r>
              <w:t>Blog</w:t>
            </w:r>
          </w:p>
        </w:tc>
        <w:tc>
          <w:tcPr>
            <w:tcW w:type="dxa" w:w="5184"/>
            <w:vAlign w:val="top"/>
          </w:tcPr>
          <w:p>
            <w:r>
              <w:t>Archive, category, single post, related posts, search and SEO metadata.</w:t>
            </w:r>
          </w:p>
        </w:tc>
      </w:tr>
      <w:tr>
        <w:tc>
          <w:tcPr>
            <w:tcW w:type="dxa" w:w="5184"/>
            <w:vAlign w:val="top"/>
          </w:tcPr>
          <w:p>
            <w:r>
              <w:t>Islamic Tools</w:t>
            </w:r>
          </w:p>
        </w:tc>
        <w:tc>
          <w:tcPr>
            <w:tcW w:type="dxa" w:w="5184"/>
            <w:vAlign w:val="top"/>
          </w:tcPr>
          <w:p>
            <w:r>
              <w:t>Prayer times, Qibla, Hijri calendar and digital Tasbih, subject to provider/API availability.</w:t>
            </w:r>
          </w:p>
        </w:tc>
      </w:tr>
      <w:tr>
        <w:tc>
          <w:tcPr>
            <w:tcW w:type="dxa" w:w="5184"/>
            <w:vAlign w:val="top"/>
          </w:tcPr>
          <w:p>
            <w:r>
              <w:t>Booking</w:t>
            </w:r>
          </w:p>
        </w:tc>
        <w:tc>
          <w:tcPr>
            <w:tcW w:type="dxa" w:w="5184"/>
            <w:vAlign w:val="top"/>
          </w:tcPr>
          <w:p>
            <w:r>
              <w:t>Dedicated /book-my-journey/ page; shortcode/Core-powered booking form; confirmation and admin workflow.</w:t>
            </w:r>
          </w:p>
        </w:tc>
      </w:tr>
      <w:tr>
        <w:tc>
          <w:tcPr>
            <w:tcW w:type="dxa" w:w="5184"/>
            <w:vAlign w:val="top"/>
          </w:tcPr>
          <w:p>
            <w:r>
              <w:t>Contact</w:t>
            </w:r>
          </w:p>
        </w:tc>
        <w:tc>
          <w:tcPr>
            <w:tcW w:type="dxa" w:w="5184"/>
            <w:vAlign w:val="top"/>
          </w:tcPr>
          <w:p>
            <w:r>
              <w:t>Contact form, canonical phone/WhatsApp/email, office location, map and social links.</w:t>
            </w:r>
          </w:p>
        </w:tc>
      </w:tr>
      <w:tr>
        <w:tc>
          <w:tcPr>
            <w:tcW w:type="dxa" w:w="5184"/>
            <w:vAlign w:val="top"/>
          </w:tcPr>
          <w:p>
            <w:r>
              <w:t>FAQ / Legal</w:t>
            </w:r>
          </w:p>
        </w:tc>
        <w:tc>
          <w:tcPr>
            <w:tcW w:type="dxa" w:w="5184"/>
            <w:vAlign w:val="top"/>
          </w:tcPr>
          <w:p>
            <w:r>
              <w:t>FAQ plus Privacy, Terms and Cancellation pages; legal copy must be owner-reviewed before launch.</w:t>
            </w:r>
          </w:p>
        </w:tc>
      </w:tr>
    </w:tbl>
    <w:p>
      <w:pPr>
        <w:pStyle w:val="Heading1"/>
      </w:pPr>
      <w:r>
        <w:t>10. CONTENT / DATA RULES</w:t>
      </w:r>
    </w:p>
    <w:tbl>
      <w:tblPr>
        <w:tblStyle w:val="TableGrid"/>
        <w:tblW w:type="auto" w:w="0"/>
        <w:jc w:val="center"/>
        <w:tblLook w:firstColumn="1" w:firstRow="1" w:lastColumn="0" w:lastRow="0" w:noHBand="0" w:noVBand="1" w:val="04A0"/>
      </w:tblPr>
      <w:tblGrid>
        <w:gridCol w:w="5184"/>
        <w:gridCol w:w="5184"/>
      </w:tblGrid>
      <w:tr>
        <w:tc>
          <w:tcPr>
            <w:tcW w:type="dxa" w:w="5184"/>
            <w:shd w:fill="082C23"/>
          </w:tcPr>
          <w:p>
            <w:r>
              <w:rPr>
                <w:b/>
                <w:color w:val="FFFFFF"/>
              </w:rPr>
              <w:t>Data</w:t>
            </w:r>
          </w:p>
        </w:tc>
        <w:tc>
          <w:tcPr>
            <w:tcW w:type="dxa" w:w="5184"/>
            <w:shd w:fill="082C23"/>
          </w:tcPr>
          <w:p>
            <w:r>
              <w:rPr>
                <w:b/>
                <w:color w:val="FFFFFF"/>
              </w:rPr>
              <w:t>Rule</w:t>
            </w:r>
          </w:p>
        </w:tc>
      </w:tr>
      <w:tr>
        <w:tc>
          <w:tcPr>
            <w:tcW w:type="dxa" w:w="5184"/>
            <w:vAlign w:val="top"/>
          </w:tcPr>
          <w:p>
            <w:r>
              <w:t>Package price</w:t>
            </w:r>
          </w:p>
        </w:tc>
        <w:tc>
          <w:tcPr>
            <w:tcW w:type="dxa" w:w="5184"/>
            <w:vAlign w:val="top"/>
          </w:tcPr>
          <w:p>
            <w:r>
              <w:t>Manual only. Never auto-calculate selling price.</w:t>
            </w:r>
          </w:p>
        </w:tc>
      </w:tr>
      <w:tr>
        <w:tc>
          <w:tcPr>
            <w:tcW w:type="dxa" w:w="5184"/>
            <w:vAlign w:val="top"/>
          </w:tcPr>
          <w:p>
            <w:r>
              <w:t>Price statuses</w:t>
            </w:r>
          </w:p>
        </w:tc>
        <w:tc>
          <w:tcPr>
            <w:tcW w:type="dxa" w:w="5184"/>
            <w:vAlign w:val="top"/>
          </w:tcPr>
          <w:p>
            <w:r>
              <w:t>Draft, Coming Soon, Price Not Set, Contact for Price, Available, Sold Out.</w:t>
            </w:r>
          </w:p>
        </w:tc>
      </w:tr>
      <w:tr>
        <w:tc>
          <w:tcPr>
            <w:tcW w:type="dxa" w:w="5184"/>
            <w:vAlign w:val="top"/>
          </w:tcPr>
          <w:p>
            <w:r>
              <w:t>Currency</w:t>
            </w:r>
          </w:p>
        </w:tc>
        <w:tc>
          <w:tcPr>
            <w:tcW w:type="dxa" w:w="5184"/>
            <w:vAlign w:val="top"/>
          </w:tcPr>
          <w:p>
            <w:r>
              <w:t>Language/context controlled: Urdu PKR; English USD presentation where configured; Arabic configured Arabic-market currency. No silent exchange-rate conversion.</w:t>
            </w:r>
          </w:p>
        </w:tc>
      </w:tr>
      <w:tr>
        <w:tc>
          <w:tcPr>
            <w:tcW w:type="dxa" w:w="5184"/>
            <w:vAlign w:val="top"/>
          </w:tcPr>
          <w:p>
            <w:r>
              <w:t>Booking</w:t>
            </w:r>
          </w:p>
        </w:tc>
        <w:tc>
          <w:tcPr>
            <w:tcW w:type="dxa" w:w="5184"/>
            <w:vAlign w:val="top"/>
          </w:tcPr>
          <w:p>
            <w:r>
              <w:t>Core plugin owns booking record, nonce, honeypot, rate limiting and seat reservation.</w:t>
            </w:r>
          </w:p>
        </w:tc>
      </w:tr>
      <w:tr>
        <w:tc>
          <w:tcPr>
            <w:tcW w:type="dxa" w:w="5184"/>
            <w:vAlign w:val="top"/>
          </w:tcPr>
          <w:p>
            <w:r>
              <w:t>Contact</w:t>
            </w:r>
          </w:p>
        </w:tc>
        <w:tc>
          <w:tcPr>
            <w:tcW w:type="dxa" w:w="5184"/>
            <w:vAlign w:val="top"/>
          </w:tcPr>
          <w:p>
            <w:r>
              <w:t>Single source in Core settings; no duplicated literals in templates.</w:t>
            </w:r>
          </w:p>
        </w:tc>
      </w:tr>
      <w:tr>
        <w:tc>
          <w:tcPr>
            <w:tcW w:type="dxa" w:w="5184"/>
            <w:vAlign w:val="top"/>
          </w:tcPr>
          <w:p>
            <w:r>
              <w:t>Testimonials</w:t>
            </w:r>
          </w:p>
        </w:tc>
        <w:tc>
          <w:tcPr>
            <w:tcW w:type="dxa" w:w="5184"/>
            <w:vAlign w:val="top"/>
          </w:tcPr>
          <w:p>
            <w:r>
              <w:t>Only real, approved, consented entries in production.</w:t>
            </w:r>
          </w:p>
        </w:tc>
      </w:tr>
      <w:tr>
        <w:tc>
          <w:tcPr>
            <w:tcW w:type="dxa" w:w="5184"/>
            <w:vAlign w:val="top"/>
          </w:tcPr>
          <w:p>
            <w:r>
              <w:t>Audio</w:t>
            </w:r>
          </w:p>
        </w:tc>
        <w:tc>
          <w:tcPr>
            <w:tcW w:type="dxa" w:w="5184"/>
            <w:vAlign w:val="top"/>
          </w:tcPr>
          <w:p>
            <w:r>
              <w:t>Rights-cleared files only.</w:t>
            </w:r>
          </w:p>
        </w:tc>
      </w:tr>
      <w:tr>
        <w:tc>
          <w:tcPr>
            <w:tcW w:type="dxa" w:w="5184"/>
            <w:vAlign w:val="top"/>
          </w:tcPr>
          <w:p>
            <w:r>
              <w:t>Legal</w:t>
            </w:r>
          </w:p>
        </w:tc>
        <w:tc>
          <w:tcPr>
            <w:tcW w:type="dxa" w:w="5184"/>
            <w:vAlign w:val="top"/>
          </w:tcPr>
          <w:p>
            <w:r>
              <w:t>Owner/legal review mandatory.</w:t>
            </w:r>
          </w:p>
        </w:tc>
      </w:tr>
    </w:tbl>
    <w:p>
      <w:pPr>
        <w:pStyle w:val="Heading1"/>
      </w:pPr>
      <w:r>
        <w:t>11. NAVIGATION &amp; URL CONTRACT</w:t>
      </w:r>
    </w:p>
    <w:tbl>
      <w:tblPr>
        <w:tblStyle w:val="TableGrid"/>
        <w:tblW w:type="auto" w:w="0"/>
        <w:jc w:val="center"/>
        <w:tblLook w:firstColumn="1" w:firstRow="1" w:lastColumn="0" w:lastRow="0" w:noHBand="0" w:noVBand="1" w:val="04A0"/>
      </w:tblPr>
      <w:tblGrid>
        <w:gridCol w:w="5184"/>
        <w:gridCol w:w="5184"/>
      </w:tblGrid>
      <w:tr>
        <w:tc>
          <w:tcPr>
            <w:tcW w:type="dxa" w:w="5184"/>
            <w:shd w:fill="082C23"/>
          </w:tcPr>
          <w:p>
            <w:r>
              <w:rPr>
                <w:b/>
                <w:color w:val="FFFFFF"/>
              </w:rPr>
              <w:t>Menu</w:t>
            </w:r>
          </w:p>
        </w:tc>
        <w:tc>
          <w:tcPr>
            <w:tcW w:type="dxa" w:w="5184"/>
            <w:shd w:fill="082C23"/>
          </w:tcPr>
          <w:p>
            <w:r>
              <w:rPr>
                <w:b/>
                <w:color w:val="FFFFFF"/>
              </w:rPr>
              <w:t>Route</w:t>
            </w:r>
          </w:p>
        </w:tc>
      </w:tr>
      <w:tr>
        <w:tc>
          <w:tcPr>
            <w:tcW w:type="dxa" w:w="5184"/>
            <w:vAlign w:val="top"/>
          </w:tcPr>
          <w:p>
            <w:r>
              <w:t>Home</w:t>
            </w:r>
          </w:p>
        </w:tc>
        <w:tc>
          <w:tcPr>
            <w:tcW w:type="dxa" w:w="5184"/>
            <w:vAlign w:val="top"/>
          </w:tcPr>
          <w:p>
            <w:r>
              <w:t>/</w:t>
            </w:r>
          </w:p>
        </w:tc>
      </w:tr>
      <w:tr>
        <w:tc>
          <w:tcPr>
            <w:tcW w:type="dxa" w:w="5184"/>
            <w:vAlign w:val="top"/>
          </w:tcPr>
          <w:p>
            <w:r>
              <w:t>Journey</w:t>
            </w:r>
          </w:p>
        </w:tc>
        <w:tc>
          <w:tcPr>
            <w:tcW w:type="dxa" w:w="5184"/>
            <w:vAlign w:val="top"/>
          </w:tcPr>
          <w:p>
            <w:r>
              <w:t>/tours/</w:t>
            </w:r>
          </w:p>
        </w:tc>
      </w:tr>
      <w:tr>
        <w:tc>
          <w:tcPr>
            <w:tcW w:type="dxa" w:w="5184"/>
            <w:vAlign w:val="top"/>
          </w:tcPr>
          <w:p>
            <w:r>
              <w:t>Hajj</w:t>
            </w:r>
          </w:p>
        </w:tc>
        <w:tc>
          <w:tcPr>
            <w:tcW w:type="dxa" w:w="5184"/>
            <w:vAlign w:val="top"/>
          </w:tcPr>
          <w:p>
            <w:r>
              <w:t>/hajj-packages/</w:t>
            </w:r>
          </w:p>
        </w:tc>
      </w:tr>
      <w:tr>
        <w:tc>
          <w:tcPr>
            <w:tcW w:type="dxa" w:w="5184"/>
            <w:vAlign w:val="top"/>
          </w:tcPr>
          <w:p>
            <w:r>
              <w:t>Umrah</w:t>
            </w:r>
          </w:p>
        </w:tc>
        <w:tc>
          <w:tcPr>
            <w:tcW w:type="dxa" w:w="5184"/>
            <w:vAlign w:val="top"/>
          </w:tcPr>
          <w:p>
            <w:r>
              <w:t>/umrah-packages/</w:t>
            </w:r>
          </w:p>
        </w:tc>
      </w:tr>
      <w:tr>
        <w:tc>
          <w:tcPr>
            <w:tcW w:type="dxa" w:w="5184"/>
            <w:vAlign w:val="top"/>
          </w:tcPr>
          <w:p>
            <w:r>
              <w:t>Northern Pakistan Tours</w:t>
            </w:r>
          </w:p>
        </w:tc>
        <w:tc>
          <w:tcPr>
            <w:tcW w:type="dxa" w:w="5184"/>
            <w:vAlign w:val="top"/>
          </w:tcPr>
          <w:p>
            <w:r>
              <w:t>/pakistan-tours/</w:t>
            </w:r>
          </w:p>
        </w:tc>
      </w:tr>
      <w:tr>
        <w:tc>
          <w:tcPr>
            <w:tcW w:type="dxa" w:w="5184"/>
            <w:vAlign w:val="top"/>
          </w:tcPr>
          <w:p>
            <w:r>
              <w:t>Programs</w:t>
            </w:r>
          </w:p>
        </w:tc>
        <w:tc>
          <w:tcPr>
            <w:tcW w:type="dxa" w:w="5184"/>
            <w:vAlign w:val="top"/>
          </w:tcPr>
          <w:p>
            <w:r>
              <w:t>/programs/</w:t>
            </w:r>
          </w:p>
        </w:tc>
      </w:tr>
      <w:tr>
        <w:tc>
          <w:tcPr>
            <w:tcW w:type="dxa" w:w="5184"/>
            <w:vAlign w:val="top"/>
          </w:tcPr>
          <w:p>
            <w:r>
              <w:t>Destinations</w:t>
            </w:r>
          </w:p>
        </w:tc>
        <w:tc>
          <w:tcPr>
            <w:tcW w:type="dxa" w:w="5184"/>
            <w:vAlign w:val="top"/>
          </w:tcPr>
          <w:p>
            <w:r>
              <w:t>/destinations/</w:t>
            </w:r>
          </w:p>
        </w:tc>
      </w:tr>
      <w:tr>
        <w:tc>
          <w:tcPr>
            <w:tcW w:type="dxa" w:w="5184"/>
            <w:vAlign w:val="top"/>
          </w:tcPr>
          <w:p>
            <w:r>
              <w:t>Makkah</w:t>
            </w:r>
          </w:p>
        </w:tc>
        <w:tc>
          <w:tcPr>
            <w:tcW w:type="dxa" w:w="5184"/>
            <w:vAlign w:val="top"/>
          </w:tcPr>
          <w:p>
            <w:r>
              <w:t>/destinations/makkah/</w:t>
            </w:r>
          </w:p>
        </w:tc>
      </w:tr>
      <w:tr>
        <w:tc>
          <w:tcPr>
            <w:tcW w:type="dxa" w:w="5184"/>
            <w:vAlign w:val="top"/>
          </w:tcPr>
          <w:p>
            <w:r>
              <w:t>Madinah</w:t>
            </w:r>
          </w:p>
        </w:tc>
        <w:tc>
          <w:tcPr>
            <w:tcW w:type="dxa" w:w="5184"/>
            <w:vAlign w:val="top"/>
          </w:tcPr>
          <w:p>
            <w:r>
              <w:t>/destinations/madinah/</w:t>
            </w:r>
          </w:p>
        </w:tc>
      </w:tr>
      <w:tr>
        <w:tc>
          <w:tcPr>
            <w:tcW w:type="dxa" w:w="5184"/>
            <w:vAlign w:val="top"/>
          </w:tcPr>
          <w:p>
            <w:r>
              <w:t>Jerusalem</w:t>
            </w:r>
          </w:p>
        </w:tc>
        <w:tc>
          <w:tcPr>
            <w:tcW w:type="dxa" w:w="5184"/>
            <w:vAlign w:val="top"/>
          </w:tcPr>
          <w:p>
            <w:r>
              <w:t>/destinations/jerusalem/</w:t>
            </w:r>
          </w:p>
        </w:tc>
      </w:tr>
      <w:tr>
        <w:tc>
          <w:tcPr>
            <w:tcW w:type="dxa" w:w="5184"/>
            <w:vAlign w:val="top"/>
          </w:tcPr>
          <w:p>
            <w:r>
              <w:t>Karbala</w:t>
            </w:r>
          </w:p>
        </w:tc>
        <w:tc>
          <w:tcPr>
            <w:tcW w:type="dxa" w:w="5184"/>
            <w:vAlign w:val="top"/>
          </w:tcPr>
          <w:p>
            <w:r>
              <w:t>/destinations/karbala/</w:t>
            </w:r>
          </w:p>
        </w:tc>
      </w:tr>
      <w:tr>
        <w:tc>
          <w:tcPr>
            <w:tcW w:type="dxa" w:w="5184"/>
            <w:vAlign w:val="top"/>
          </w:tcPr>
          <w:p>
            <w:r>
              <w:t>Gallery</w:t>
            </w:r>
          </w:p>
        </w:tc>
        <w:tc>
          <w:tcPr>
            <w:tcW w:type="dxa" w:w="5184"/>
            <w:vAlign w:val="top"/>
          </w:tcPr>
          <w:p>
            <w:r>
              <w:t>/gallery/</w:t>
            </w:r>
          </w:p>
        </w:tc>
      </w:tr>
      <w:tr>
        <w:tc>
          <w:tcPr>
            <w:tcW w:type="dxa" w:w="5184"/>
            <w:vAlign w:val="top"/>
          </w:tcPr>
          <w:p>
            <w:r>
              <w:t>Ziyarat</w:t>
            </w:r>
          </w:p>
        </w:tc>
        <w:tc>
          <w:tcPr>
            <w:tcW w:type="dxa" w:w="5184"/>
            <w:vAlign w:val="top"/>
          </w:tcPr>
          <w:p>
            <w:r>
              <w:t>/ziarat/</w:t>
            </w:r>
          </w:p>
        </w:tc>
      </w:tr>
      <w:tr>
        <w:tc>
          <w:tcPr>
            <w:tcW w:type="dxa" w:w="5184"/>
            <w:vAlign w:val="top"/>
          </w:tcPr>
          <w:p>
            <w:r>
              <w:t>Blog</w:t>
            </w:r>
          </w:p>
        </w:tc>
        <w:tc>
          <w:tcPr>
            <w:tcW w:type="dxa" w:w="5184"/>
            <w:vAlign w:val="top"/>
          </w:tcPr>
          <w:p>
            <w:r>
              <w:t>/blog/</w:t>
            </w:r>
          </w:p>
        </w:tc>
      </w:tr>
      <w:tr>
        <w:tc>
          <w:tcPr>
            <w:tcW w:type="dxa" w:w="5184"/>
            <w:vAlign w:val="top"/>
          </w:tcPr>
          <w:p>
            <w:r>
              <w:t>Contact</w:t>
            </w:r>
          </w:p>
        </w:tc>
        <w:tc>
          <w:tcPr>
            <w:tcW w:type="dxa" w:w="5184"/>
            <w:vAlign w:val="top"/>
          </w:tcPr>
          <w:p>
            <w:r>
              <w:t>/contact/</w:t>
            </w:r>
          </w:p>
        </w:tc>
      </w:tr>
      <w:tr>
        <w:tc>
          <w:tcPr>
            <w:tcW w:type="dxa" w:w="5184"/>
            <w:vAlign w:val="top"/>
          </w:tcPr>
          <w:p>
            <w:r>
              <w:t>Book My Journey</w:t>
            </w:r>
          </w:p>
        </w:tc>
        <w:tc>
          <w:tcPr>
            <w:tcW w:type="dxa" w:w="5184"/>
            <w:vAlign w:val="top"/>
          </w:tcPr>
          <w:p>
            <w:r>
              <w:t>/book-my-journey/</w:t>
            </w:r>
          </w:p>
        </w:tc>
      </w:tr>
    </w:tbl>
    <w:p>
      <w:pPr>
        <w:pStyle w:val="Heading1"/>
      </w:pPr>
      <w:r>
        <w:t>12. RESPONSIVE &amp; RTL SPECIFICATION</w:t>
      </w:r>
    </w:p>
    <w:p>
      <w:pPr>
        <w:pStyle w:val="ListBullet"/>
      </w:pPr>
      <w:r>
        <w:t>1440px: full desktop composition, 1180–1240px content container.</w:t>
      </w:r>
    </w:p>
    <w:p>
      <w:pPr>
        <w:pStyle w:val="ListBullet"/>
      </w:pPr>
      <w:r>
        <w:t>1024px: tighten navigation and card gaps; destinations remain visually balanced.</w:t>
      </w:r>
    </w:p>
    <w:p>
      <w:pPr>
        <w:pStyle w:val="ListBullet"/>
      </w:pPr>
      <w:r>
        <w:t>768px: switch complex multi-column sections to 2-column or stacked layout as appropriate.</w:t>
      </w:r>
    </w:p>
    <w:p>
      <w:pPr>
        <w:pStyle w:val="ListBullet"/>
      </w:pPr>
      <w:r>
        <w:t>390px: single-column content, horizontal gallery scroll, compact header/menu, hero text remains readable with no overlap.</w:t>
      </w:r>
    </w:p>
    <w:p>
      <w:pPr>
        <w:pStyle w:val="ListBullet"/>
      </w:pPr>
      <w:r>
        <w:t>RTL: mirror navigation and content alignment where culturally appropriate; retain icon direction where it represents an action; use Noto Nastaliq Urdu and Amiri Arabic.</w:t>
      </w:r>
    </w:p>
    <w:p>
      <w:pPr>
        <w:pStyle w:val="ListBullet"/>
      </w:pPr>
      <w:r>
        <w:t>Never let Urdu/Arabic headings overflow; use explicit max-widths and responsive font sizes.</w:t>
      </w:r>
    </w:p>
    <w:p>
      <w:pPr>
        <w:pStyle w:val="ListBullet"/>
      </w:pPr>
      <w:r>
        <w:t>3D pointer effects are disabled on touch. Reduced-motion disables all decorative motion.</w:t>
      </w:r>
    </w:p>
    <w:p>
      <w:pPr>
        <w:pStyle w:val="Heading1"/>
      </w:pPr>
      <w:r>
        <w:t>13. ACCESSIBILITY / PERFORMANCE</w:t>
      </w:r>
    </w:p>
    <w:p>
      <w:pPr>
        <w:pStyle w:val="ListBullet"/>
      </w:pPr>
      <w:r>
        <w:t>Semantic headings in one logical hierarchy; only one H1 per page.</w:t>
      </w:r>
    </w:p>
    <w:p>
      <w:pPr>
        <w:pStyle w:val="ListBullet"/>
      </w:pPr>
      <w:r>
        <w:t>Keyboard access for dropdowns, search, language selector, carousel, lightbox and audio controls.</w:t>
      </w:r>
    </w:p>
    <w:p>
      <w:pPr>
        <w:pStyle w:val="ListBullet"/>
      </w:pPr>
      <w:r>
        <w:t>Visible :focus-visible states.</w:t>
      </w:r>
    </w:p>
    <w:p>
      <w:pPr>
        <w:pStyle w:val="ListBullet"/>
      </w:pPr>
      <w:r>
        <w:t>ARIA labels only where native semantics are insufficient.</w:t>
      </w:r>
    </w:p>
    <w:p>
      <w:pPr>
        <w:pStyle w:val="ListBullet"/>
      </w:pPr>
      <w:r>
        <w:t>Lazy-load below-fold imagery; prioritize hero image.</w:t>
      </w:r>
    </w:p>
    <w:p>
      <w:pPr>
        <w:pStyle w:val="ListBullet"/>
      </w:pPr>
      <w:r>
        <w:t>Use width/height attributes or aspect-ratio boxes to prevent layout shift.</w:t>
      </w:r>
    </w:p>
    <w:p>
      <w:pPr>
        <w:pStyle w:val="ListBullet"/>
      </w:pPr>
      <w:r>
        <w:t>Target fast mobile loading; avoid giant JavaScript bundles and unnecessary libraries.</w:t>
      </w:r>
    </w:p>
    <w:p>
      <w:pPr>
        <w:pStyle w:val="ListBullet"/>
      </w:pPr>
      <w:r>
        <w:t>3D hero must have a static fallback and must not block page interaction while initializing.</w:t>
      </w:r>
    </w:p>
    <w:p>
      <w:pPr>
        <w:pStyle w:val="Heading1"/>
      </w:pPr>
      <w:r>
        <w:t>14. KNOWN CORRECTIONS THAT MUST BE APPLIED</w:t>
      </w:r>
    </w:p>
    <w:p>
      <w:pPr>
        <w:pStyle w:val="ListBullet"/>
      </w:pPr>
      <w:r>
        <w:t>Change header label “Ziyaret” to “Ziyarat”.</w:t>
      </w:r>
    </w:p>
    <w:p>
      <w:pPr>
        <w:pStyle w:val="ListBullet"/>
      </w:pPr>
      <w:r>
        <w:t>Change header Book My Journey from #nsBookingSection to /book-my-journey/.</w:t>
      </w:r>
    </w:p>
    <w:p>
      <w:pPr>
        <w:pStyle w:val="ListBullet"/>
      </w:pPr>
      <w:r>
        <w:t>Replace emoji search control with an accessible SVG icon.</w:t>
      </w:r>
    </w:p>
    <w:p>
      <w:pPr>
        <w:pStyle w:val="ListBullet"/>
      </w:pPr>
      <w:r>
        <w:t>Align minimum PHP/WordPress versions across theme and Core; target PHP 8.1 and a current supported WordPress release for the deployment environment.</w:t>
      </w:r>
    </w:p>
    <w:p>
      <w:pPr>
        <w:pStyle w:val="ListBullet"/>
      </w:pPr>
      <w:r>
        <w:t>Wire language selector to real WPML or Polylang behavior; never ship an inert selector.</w:t>
      </w:r>
    </w:p>
    <w:p>
      <w:pPr>
        <w:pStyle w:val="ListBullet"/>
      </w:pPr>
      <w:r>
        <w:t>Resolve audio source ownership: CPT or settings, not two competing systems.</w:t>
      </w:r>
    </w:p>
    <w:p>
      <w:pPr>
        <w:pStyle w:val="ListBullet"/>
      </w:pPr>
      <w:r>
        <w:t>Add Template Name headers where appropriate rather than relying only on page slugs.</w:t>
      </w:r>
    </w:p>
    <w:p>
      <w:pPr>
        <w:pStyle w:val="ListBullet"/>
      </w:pPr>
      <w:r>
        <w:t>Add theme screenshot.png for Appearance &gt; Themes preview.</w:t>
      </w:r>
    </w:p>
    <w:p>
      <w:pPr>
        <w:pStyle w:val="ListBullet"/>
      </w:pPr>
      <w:r>
        <w:t>Remove obsolete/dead CSS and invalid RTL custom-property declarations.</w:t>
      </w:r>
    </w:p>
    <w:p>
      <w:pPr>
        <w:pStyle w:val="ListBullet"/>
      </w:pPr>
      <w:r>
        <w:t>Remove demo testimonials and placeholder audio from production.</w:t>
      </w:r>
    </w:p>
    <w:p>
      <w:pPr>
        <w:pStyle w:val="ListBullet"/>
      </w:pPr>
      <w:r>
        <w:t>Consolidate contact settings so templates consume Core settings only.</w:t>
      </w:r>
    </w:p>
    <w:p>
      <w:pPr>
        <w:pStyle w:val="Heading1"/>
      </w:pPr>
      <w:r>
        <w:t>15. WORDPRESS PACKAGE STRUCTURE</w:t>
      </w:r>
    </w:p>
    <w:p>
      <w:r>
        <w:t>Final upload directory must contain exactly two installable ZIPs:</w:t>
      </w:r>
    </w:p>
    <w:p>
      <w:r>
        <w:t>FINAL-UPLOAD/noorsafar-theme.zip</w:t>
      </w:r>
    </w:p>
    <w:p>
      <w:r>
        <w:t>FINAL-UPLOAD/noorsafar-core.zip</w:t>
      </w:r>
    </w:p>
    <w:p>
      <w:r>
        <w:t>Each ZIP must contain one clean top-level directory. The development workspace, reference images, QA notes and duplicate themes remain outside the installable packages.</w:t>
      </w:r>
    </w:p>
    <w:p>
      <w:pPr>
        <w:pStyle w:val="Heading1"/>
      </w:pPr>
      <w:r>
        <w:t>16. STAGING QA — NON-NEGOTIABLE ACCEPTANCE GATE</w:t>
      </w:r>
    </w:p>
    <w:p>
      <w:pPr>
        <w:pStyle w:val="ListNumber"/>
      </w:pPr>
      <w:r>
        <w:t>Clean WordPress staging installation.</w:t>
      </w:r>
    </w:p>
    <w:p>
      <w:pPr>
        <w:pStyle w:val="ListNumber"/>
      </w:pPr>
      <w:r>
        <w:t>Install noorsafar-core first; activate; save Settings.</w:t>
      </w:r>
    </w:p>
    <w:p>
      <w:pPr>
        <w:pStyle w:val="ListNumber"/>
      </w:pPr>
      <w:r>
        <w:t>Install noorsafar-theme second; activate.</w:t>
      </w:r>
    </w:p>
    <w:p>
      <w:pPr>
        <w:pStyle w:val="ListNumber"/>
      </w:pPr>
      <w:r>
        <w:t>Save Settings → Permalinks.</w:t>
      </w:r>
    </w:p>
    <w:p>
      <w:pPr>
        <w:pStyle w:val="ListNumber"/>
      </w:pPr>
      <w:r>
        <w:t>Confirm no PHP fatal errors, warnings or notices with WP_DEBUG.</w:t>
      </w:r>
    </w:p>
    <w:p>
      <w:pPr>
        <w:pStyle w:val="ListNumber"/>
      </w:pPr>
      <w:r>
        <w:t>Run PHP syntax checks on every PHP file.</w:t>
      </w:r>
    </w:p>
    <w:p>
      <w:pPr>
        <w:pStyle w:val="ListNumber"/>
      </w:pPr>
      <w:r>
        <w:t>Verify all CPTs/taxonomies and admin editing.</w:t>
      </w:r>
    </w:p>
    <w:p>
      <w:pPr>
        <w:pStyle w:val="ListNumber"/>
      </w:pPr>
      <w:r>
        <w:t>Verify homepage against reference at 1440px and 390px.</w:t>
      </w:r>
    </w:p>
    <w:p>
      <w:pPr>
        <w:pStyle w:val="ListNumber"/>
      </w:pPr>
      <w:r>
        <w:t>Verify 3D hero animation, fallback and reduced-motion mode.</w:t>
      </w:r>
    </w:p>
    <w:p>
      <w:pPr>
        <w:pStyle w:val="ListNumber"/>
      </w:pPr>
      <w:r>
        <w:t>Verify all 18 asset references resolve; no broken images.</w:t>
      </w:r>
    </w:p>
    <w:p>
      <w:pPr>
        <w:pStyle w:val="ListNumber"/>
      </w:pPr>
      <w:r>
        <w:t>Verify gallery opens high-resolution sources.</w:t>
      </w:r>
    </w:p>
    <w:p>
      <w:pPr>
        <w:pStyle w:val="ListNumber"/>
      </w:pPr>
      <w:r>
        <w:t>Verify package pricing/status workflow.</w:t>
      </w:r>
    </w:p>
    <w:p>
      <w:pPr>
        <w:pStyle w:val="ListNumber"/>
      </w:pPr>
      <w:r>
        <w:t>Verify booking database write, email delivery through real SMTP, WhatsApp handoff and seat reservation.</w:t>
      </w:r>
    </w:p>
    <w:p>
      <w:pPr>
        <w:pStyle w:val="ListNumber"/>
      </w:pPr>
      <w:r>
        <w:t>Verify prayer provider/API configuration and fallback.</w:t>
      </w:r>
    </w:p>
    <w:p>
      <w:pPr>
        <w:pStyle w:val="ListNumber"/>
      </w:pPr>
      <w:r>
        <w:t>Verify language switch and Urdu/Arabic RTL.</w:t>
      </w:r>
    </w:p>
    <w:p>
      <w:pPr>
        <w:pStyle w:val="ListNumber"/>
      </w:pPr>
      <w:r>
        <w:t>Verify search, dropdowns, carousel, lightbox and audio.</w:t>
      </w:r>
    </w:p>
    <w:p>
      <w:pPr>
        <w:pStyle w:val="ListNumber"/>
      </w:pPr>
      <w:r>
        <w:t>Verify SEO titles, canonical, sitemap, schema and Open Graph.</w:t>
      </w:r>
    </w:p>
    <w:p>
      <w:pPr>
        <w:pStyle w:val="ListNumber"/>
      </w:pPr>
      <w:r>
        <w:t>Verify accessibility keyboard/focus/contrast/alt text.</w:t>
      </w:r>
    </w:p>
    <w:p>
      <w:pPr>
        <w:pStyle w:val="ListNumber"/>
      </w:pPr>
      <w:r>
        <w:t>Verify performance, lazy loading and mobile behavior.</w:t>
      </w:r>
    </w:p>
    <w:p>
      <w:pPr>
        <w:pStyle w:val="ListNumber"/>
      </w:pPr>
      <w:r>
        <w:t>Backup/restore test.</w:t>
      </w:r>
    </w:p>
    <w:p>
      <w:pPr>
        <w:pStyle w:val="ListNumber"/>
      </w:pPr>
      <w:r>
        <w:t>Security test.</w:t>
      </w:r>
    </w:p>
    <w:p>
      <w:pPr>
        <w:pStyle w:val="ListNumber"/>
      </w:pPr>
      <w:r>
        <w:t>Final production smoke test after deployment.</w:t>
      </w:r>
    </w:p>
    <w:p>
      <w:pPr>
        <w:pStyle w:val="Heading1"/>
      </w:pPr>
      <w:r>
        <w:t>17. FINAL ACCEPTANCE CHECKLIST</w:t>
      </w:r>
    </w:p>
    <w:tbl>
      <w:tblPr>
        <w:tblStyle w:val="TableGrid"/>
        <w:tblW w:type="auto" w:w="0"/>
        <w:jc w:val="center"/>
        <w:tblLook w:firstColumn="1" w:firstRow="1" w:lastColumn="0" w:lastRow="0" w:noHBand="0" w:noVBand="1" w:val="04A0"/>
      </w:tblPr>
      <w:tblGrid>
        <w:gridCol w:w="5184"/>
        <w:gridCol w:w="5184"/>
      </w:tblGrid>
      <w:tr>
        <w:tc>
          <w:tcPr>
            <w:tcW w:type="dxa" w:w="5184"/>
            <w:shd w:fill="082C23"/>
          </w:tcPr>
          <w:p>
            <w:r>
              <w:rPr>
                <w:b/>
                <w:color w:val="FFFFFF"/>
              </w:rPr>
              <w:t>Gate</w:t>
            </w:r>
          </w:p>
        </w:tc>
        <w:tc>
          <w:tcPr>
            <w:tcW w:type="dxa" w:w="5184"/>
            <w:shd w:fill="082C23"/>
          </w:tcPr>
          <w:p>
            <w:r>
              <w:rPr>
                <w:b/>
                <w:color w:val="FFFFFF"/>
              </w:rPr>
              <w:t>Pass condition</w:t>
            </w:r>
          </w:p>
        </w:tc>
      </w:tr>
      <w:tr>
        <w:tc>
          <w:tcPr>
            <w:tcW w:type="dxa" w:w="5184"/>
            <w:vAlign w:val="top"/>
          </w:tcPr>
          <w:p>
            <w:r>
              <w:t>Visual fidelity</w:t>
            </w:r>
          </w:p>
        </w:tc>
        <w:tc>
          <w:tcPr>
            <w:tcW w:type="dxa" w:w="5184"/>
            <w:vAlign w:val="top"/>
          </w:tcPr>
          <w:p>
            <w:r>
              <w:t>Homepage matches the supplied reference composition without unauthorized redesign.</w:t>
            </w:r>
          </w:p>
        </w:tc>
      </w:tr>
      <w:tr>
        <w:tc>
          <w:tcPr>
            <w:tcW w:type="dxa" w:w="5184"/>
            <w:vAlign w:val="top"/>
          </w:tcPr>
          <w:p>
            <w:r>
              <w:t>3D hero</w:t>
            </w:r>
          </w:p>
        </w:tc>
        <w:tc>
          <w:tcPr>
            <w:tcW w:type="dxa" w:w="5184"/>
            <w:vAlign w:val="top"/>
          </w:tcPr>
          <w:p>
            <w:r>
              <w:t>Depth, movement, fallback and reduced-motion all work without layout breakage.</w:t>
            </w:r>
          </w:p>
        </w:tc>
      </w:tr>
      <w:tr>
        <w:tc>
          <w:tcPr>
            <w:tcW w:type="dxa" w:w="5184"/>
            <w:vAlign w:val="top"/>
          </w:tcPr>
          <w:p>
            <w:r>
              <w:t>Assets</w:t>
            </w:r>
          </w:p>
        </w:tc>
        <w:tc>
          <w:tcPr>
            <w:tcW w:type="dxa" w:w="5184"/>
            <w:vAlign w:val="top"/>
          </w:tcPr>
          <w:p>
            <w:r>
              <w:t>All 18 assets are assigned exactly; production derivatives are approved and optimized.</w:t>
            </w:r>
          </w:p>
        </w:tc>
      </w:tr>
      <w:tr>
        <w:tc>
          <w:tcPr>
            <w:tcW w:type="dxa" w:w="5184"/>
            <w:vAlign w:val="top"/>
          </w:tcPr>
          <w:p>
            <w:r>
              <w:t>Content</w:t>
            </w:r>
          </w:p>
        </w:tc>
        <w:tc>
          <w:tcPr>
            <w:tcW w:type="dxa" w:w="5184"/>
            <w:vAlign w:val="top"/>
          </w:tcPr>
          <w:p>
            <w:r>
              <w:t>No demo/placeholder business claims remain.</w:t>
            </w:r>
          </w:p>
        </w:tc>
      </w:tr>
      <w:tr>
        <w:tc>
          <w:tcPr>
            <w:tcW w:type="dxa" w:w="5184"/>
            <w:vAlign w:val="top"/>
          </w:tcPr>
          <w:p>
            <w:r>
              <w:t>Dynamic data</w:t>
            </w:r>
          </w:p>
        </w:tc>
        <w:tc>
          <w:tcPr>
            <w:tcW w:type="dxa" w:w="5184"/>
            <w:vAlign w:val="top"/>
          </w:tcPr>
          <w:p>
            <w:r>
              <w:t>Packages, destinations, testimonials, gallery, audio and settings are editable.</w:t>
            </w:r>
          </w:p>
        </w:tc>
      </w:tr>
      <w:tr>
        <w:tc>
          <w:tcPr>
            <w:tcW w:type="dxa" w:w="5184"/>
            <w:vAlign w:val="top"/>
          </w:tcPr>
          <w:p>
            <w:r>
              <w:t>Booking</w:t>
            </w:r>
          </w:p>
        </w:tc>
        <w:tc>
          <w:tcPr>
            <w:tcW w:type="dxa" w:w="5184"/>
            <w:vAlign w:val="top"/>
          </w:tcPr>
          <w:p>
            <w:r>
              <w:t>End-to-end workflow works in staging with real email delivery.</w:t>
            </w:r>
          </w:p>
        </w:tc>
      </w:tr>
      <w:tr>
        <w:tc>
          <w:tcPr>
            <w:tcW w:type="dxa" w:w="5184"/>
            <w:vAlign w:val="top"/>
          </w:tcPr>
          <w:p>
            <w:r>
              <w:t>RTL</w:t>
            </w:r>
          </w:p>
        </w:tc>
        <w:tc>
          <w:tcPr>
            <w:tcW w:type="dxa" w:w="5184"/>
            <w:vAlign w:val="top"/>
          </w:tcPr>
          <w:p>
            <w:r>
              <w:t>Urdu and Arabic layouts are usable and visually controlled.</w:t>
            </w:r>
          </w:p>
        </w:tc>
      </w:tr>
      <w:tr>
        <w:tc>
          <w:tcPr>
            <w:tcW w:type="dxa" w:w="5184"/>
            <w:vAlign w:val="top"/>
          </w:tcPr>
          <w:p>
            <w:r>
              <w:t>Accessibility</w:t>
            </w:r>
          </w:p>
        </w:tc>
        <w:tc>
          <w:tcPr>
            <w:tcW w:type="dxa" w:w="5184"/>
            <w:vAlign w:val="top"/>
          </w:tcPr>
          <w:p>
            <w:r>
              <w:t>Keyboard/focus/contrast/alt-text requirements pass.</w:t>
            </w:r>
          </w:p>
        </w:tc>
      </w:tr>
      <w:tr>
        <w:tc>
          <w:tcPr>
            <w:tcW w:type="dxa" w:w="5184"/>
            <w:vAlign w:val="top"/>
          </w:tcPr>
          <w:p>
            <w:r>
              <w:t>Security</w:t>
            </w:r>
          </w:p>
        </w:tc>
        <w:tc>
          <w:tcPr>
            <w:tcW w:type="dxa" w:w="5184"/>
            <w:vAlign w:val="top"/>
          </w:tcPr>
          <w:p>
            <w:r>
              <w:t>Nonce, sanitization, escaping and rate limits verified.</w:t>
            </w:r>
          </w:p>
        </w:tc>
      </w:tr>
      <w:tr>
        <w:tc>
          <w:tcPr>
            <w:tcW w:type="dxa" w:w="5184"/>
            <w:vAlign w:val="top"/>
          </w:tcPr>
          <w:p>
            <w:r>
              <w:t>Performance</w:t>
            </w:r>
          </w:p>
        </w:tc>
        <w:tc>
          <w:tcPr>
            <w:tcW w:type="dxa" w:w="5184"/>
            <w:vAlign w:val="top"/>
          </w:tcPr>
          <w:p>
            <w:r>
              <w:t>No unnecessary heavy dependencies; mobile remains responsive.</w:t>
            </w:r>
          </w:p>
        </w:tc>
      </w:tr>
      <w:tr>
        <w:tc>
          <w:tcPr>
            <w:tcW w:type="dxa" w:w="5184"/>
            <w:vAlign w:val="top"/>
          </w:tcPr>
          <w:p>
            <w:r>
              <w:t>Packaging</w:t>
            </w:r>
          </w:p>
        </w:tc>
        <w:tc>
          <w:tcPr>
            <w:tcW w:type="dxa" w:w="5184"/>
            <w:vAlign w:val="top"/>
          </w:tcPr>
          <w:p>
            <w:r>
              <w:t>Theme and Core are separate clean installable ZIPs.</w:t>
            </w:r>
          </w:p>
        </w:tc>
      </w:tr>
      <w:tr>
        <w:tc>
          <w:tcPr>
            <w:tcW w:type="dxa" w:w="5184"/>
            <w:vAlign w:val="top"/>
          </w:tcPr>
          <w:p>
            <w:r>
              <w:t>Certification</w:t>
            </w:r>
          </w:p>
        </w:tc>
        <w:tc>
          <w:tcPr>
            <w:tcW w:type="dxa" w:w="5184"/>
            <w:vAlign w:val="top"/>
          </w:tcPr>
          <w:p>
            <w:r>
              <w:t>Only after all gates pass is the package marked FINAL-UPLOAD.</w:t>
            </w:r>
          </w:p>
        </w:tc>
      </w:tr>
    </w:tbl>
    <w:p>
      <w:pPr>
        <w:pStyle w:val="Heading1"/>
      </w:pPr>
      <w:r>
        <w:t>18. OWNER-SUPPLIED MATERIAL REQUIRED BEFORE THE ONE-PASS FINAL BUILD</w:t>
      </w:r>
    </w:p>
    <w:p>
      <w:pPr>
        <w:pStyle w:val="ListBullet"/>
      </w:pPr>
      <w:r>
        <w:t>Final high-resolution official logo (SVG preferred).</w:t>
      </w:r>
    </w:p>
    <w:p>
      <w:pPr>
        <w:pStyle w:val="ListBullet"/>
      </w:pPr>
      <w:r>
        <w:t>Owner-approved high-resolution hero artwork or approval to create derivative layers from the supplied hero reference.</w:t>
      </w:r>
    </w:p>
    <w:p>
      <w:pPr>
        <w:pStyle w:val="ListBullet"/>
      </w:pPr>
      <w:r>
        <w:t>High-resolution source versions of the 18 numbered images where available.</w:t>
      </w:r>
    </w:p>
    <w:p>
      <w:pPr>
        <w:pStyle w:val="ListBullet"/>
      </w:pPr>
      <w:r>
        <w:t>Final package information, dates, itinerary, inclusions/exclusions, seat limits and manual prices/statuses.</w:t>
      </w:r>
    </w:p>
    <w:p>
      <w:pPr>
        <w:pStyle w:val="ListBullet"/>
      </w:pPr>
      <w:r>
        <w:t>Real testimonials and consent.</w:t>
      </w:r>
    </w:p>
    <w:p>
      <w:pPr>
        <w:pStyle w:val="ListBullet"/>
      </w:pPr>
      <w:r>
        <w:t>Rights-cleared audio files.</w:t>
      </w:r>
    </w:p>
    <w:p>
      <w:pPr>
        <w:pStyle w:val="ListBullet"/>
      </w:pPr>
      <w:r>
        <w:t>Approved About/Company copy.</w:t>
      </w:r>
    </w:p>
    <w:p>
      <w:pPr>
        <w:pStyle w:val="ListBullet"/>
      </w:pPr>
      <w:r>
        <w:t>Owner-approved contact/social/business details.</w:t>
      </w:r>
    </w:p>
    <w:p>
      <w:pPr>
        <w:pStyle w:val="ListBullet"/>
      </w:pPr>
      <w:r>
        <w:t>Legal-reviewed privacy, terms and cancellation text.</w:t>
      </w:r>
    </w:p>
    <w:p>
      <w:pPr>
        <w:pStyle w:val="ListBullet"/>
      </w:pPr>
      <w:r>
        <w:t>SMTP credentials/configuration and production hosting details.</w:t>
      </w:r>
    </w:p>
    <w:p>
      <w:pPr>
        <w:pStyle w:val="ListBullet"/>
      </w:pPr>
      <w:r>
        <w:t>Final English/Urdu/Arabic translations.</w:t>
      </w:r>
    </w:p>
    <w:p>
      <w:pPr>
        <w:pStyle w:val="Heading1"/>
      </w:pPr>
      <w:r>
        <w:t>19. FINAL BUILD PRINCIPLE</w:t>
      </w:r>
    </w:p>
    <w:p>
      <w:r>
        <w:t>The objective is not merely to create a visually similar homepage. The objective is a single coherent NoorSafar product in which the supplied design, 18 assets, 3D hero, WordPress templates, Core plugin, booking workflow, pricing rules, multilingual/RTL support, SEO, accessibility, performance and staging QA all agree. No new design direction should be introduced after this specification is approved; subsequent work should be defect correction or owner-approved content updates only.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