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A2517"/>
          <w:sz w:val="30"/>
        </w:rPr>
        <w:t>BÁO CÁO KIẾN TRÚC HỆ THỐNG VẬN HÀNH &amp; KINH TẾ HỌC NỀN TẢNG CLOOP</w:t>
      </w:r>
    </w:p>
    <w:p>
      <w:pPr>
        <w:keepNext/>
        <w:spacing w:before="280" w:after="80"/>
      </w:pPr>
      <w:r>
        <w:rPr>
          <w:rFonts w:ascii="Times New Roman" w:hAnsi="Times New Roman"/>
          <w:b/>
          <w:color w:val="0F4A34"/>
          <w:sz w:val="27"/>
        </w:rPr>
        <w:t>I. KIẾN TRÚC HỆ THỐNG THỜI GIAN THỰC</w:t>
      </w:r>
    </w:p>
    <w:p>
      <w:pPr>
        <w:spacing w:after="80"/>
        <w:jc w:val="both"/>
      </w:pPr>
      <w:r>
        <w:rPr>
          <w:rFonts w:ascii="Times New Roman" w:hAnsi="Times New Roman"/>
          <w:sz w:val="26"/>
        </w:rPr>
        <w:t>Nền tảng vận hành trên cơ sở hạ tầng API trực tiếp, đảm bảo tính tự động hóa và toàn vẹn dữ liệu:</w:t>
      </w:r>
    </w:p>
    <w:p>
      <w:pPr>
        <w:pStyle w:val="ListBullet"/>
        <w:spacing w:after="60"/>
        <w:jc w:val="both"/>
      </w:pPr>
      <w:r>
        <w:rPr>
          <w:rFonts w:ascii="Times New Roman" w:hAnsi="Times New Roman"/>
          <w:b/>
          <w:sz w:val="26"/>
        </w:rPr>
        <w:t xml:space="preserve">Logistics Động (GHN Gateway): </w:t>
      </w:r>
      <w:r>
        <w:rPr>
          <w:rFonts w:ascii="Times New Roman" w:hAnsi="Times New Roman"/>
          <w:sz w:val="26"/>
        </w:rPr>
        <w:t>Tích hợp máy chủ Giao Hàng Nhanh (online-gateway.ghn.vn). Hệ thống tự động truy xuất bản đồ hành chính, đo khoảng cách thực tế giữa Tủ đồ (Người gửi) và Khách thuê (Người nhận) để định tuyến và áp biểu phí thời gian thực.</w:t>
      </w:r>
    </w:p>
    <w:p>
      <w:pPr>
        <w:pStyle w:val="ListBullet"/>
        <w:spacing w:after="60"/>
        <w:jc w:val="both"/>
      </w:pPr>
      <w:r>
        <w:rPr>
          <w:rFonts w:ascii="Times New Roman" w:hAnsi="Times New Roman"/>
          <w:b/>
          <w:sz w:val="26"/>
        </w:rPr>
        <w:t xml:space="preserve">Thanh toán &amp; Két Escrow (PayOS): </w:t>
      </w:r>
      <w:r>
        <w:rPr>
          <w:rFonts w:ascii="Times New Roman" w:hAnsi="Times New Roman"/>
          <w:sz w:val="26"/>
        </w:rPr>
        <w:t>Tích hợp cổng thanh toán trực tuyến. Mỗi đơn hàng sinh một mã VietQR động định danh chính xác số tiền lẻ đến từng đồng, khóa an toàn dòng tiền trong Két Escrow cho đến khi đơn hàng hoàn tất.</w:t>
      </w:r>
    </w:p>
    <w:p>
      <w:pPr>
        <w:pStyle w:val="ListBullet"/>
        <w:spacing w:after="60"/>
        <w:jc w:val="both"/>
      </w:pPr>
      <w:r>
        <w:rPr>
          <w:rFonts w:ascii="Times New Roman" w:hAnsi="Times New Roman"/>
          <w:b/>
          <w:sz w:val="26"/>
        </w:rPr>
        <w:t xml:space="preserve">Quản trị Dữ liệu (Supabase / PostgreSQL): </w:t>
      </w:r>
      <w:r>
        <w:rPr>
          <w:rFonts w:ascii="Times New Roman" w:hAnsi="Times New Roman"/>
          <w:sz w:val="26"/>
        </w:rPr>
        <w:t>Sử dụng cơ chế Khóa bi quan (Pessimistic Locking) ở cấp độ hàng (row-level) để loại bỏ 100% rủi ro đụng lịch thuê.</w:t>
      </w:r>
    </w:p>
    <w:p>
      <w:pPr>
        <w:pStyle w:val="ListBullet"/>
        <w:spacing w:after="60"/>
        <w:jc w:val="both"/>
      </w:pPr>
      <w:r>
        <w:rPr>
          <w:rFonts w:ascii="Times New Roman" w:hAnsi="Times New Roman"/>
          <w:b/>
          <w:sz w:val="26"/>
        </w:rPr>
        <w:t xml:space="preserve">Tối ưu Hóa Hình ảnh (Cloudinary CDN): </w:t>
      </w:r>
      <w:r>
        <w:rPr>
          <w:rFonts w:ascii="Times New Roman" w:hAnsi="Times New Roman"/>
          <w:sz w:val="26"/>
        </w:rPr>
        <w:t>Tự động nén và phân phối dữ liệu trang phục qua mạng lưới CDN, duy trì tốc độ tải trang dưới 1 giây.</w:t>
      </w:r>
    </w:p>
    <w:p>
      <w:pPr>
        <w:keepNext/>
        <w:spacing w:before="280" w:after="80"/>
      </w:pPr>
      <w:r>
        <w:rPr>
          <w:rFonts w:ascii="Times New Roman" w:hAnsi="Times New Roman"/>
          <w:b/>
          <w:color w:val="0F4A34"/>
          <w:sz w:val="27"/>
        </w:rPr>
        <w:t>II. THUẬT TOÁN LOGISTICS SAN SẺ 50/50 &amp; ĐỆM RỦI RO BLOCK 5K</w:t>
      </w:r>
    </w:p>
    <w:p>
      <w:pPr>
        <w:spacing w:after="80"/>
        <w:jc w:val="both"/>
      </w:pPr>
      <w:r>
        <w:rPr>
          <w:rFonts w:ascii="Times New Roman" w:hAnsi="Times New Roman"/>
          <w:sz w:val="26"/>
        </w:rPr>
        <w:t>Nhằm tối ưu hóa tỷ lệ chuyển đổi (CRO), hạ thấp rào cản chi phí cho khách hàng và bảo toàn nguồn vốn, CLOOP áp dụng mô hình San sẻ trách nhiệm vận chuyển (Co-sharing Logistics) kết hợp Thuật toán Đệm Block 5K (Safety Buffer):</w:t>
      </w:r>
    </w:p>
    <w:p>
      <w:pPr>
        <w:keepNext/>
        <w:spacing w:before="160" w:after="60"/>
      </w:pPr>
      <w:r>
        <w:rPr>
          <w:rFonts w:ascii="Times New Roman" w:hAnsi="Times New Roman"/>
          <w:b/>
          <w:color w:val="183A2D"/>
          <w:sz w:val="26"/>
        </w:rPr>
        <w:t>1. Thuật toán Làm tròn Block 5K</w:t>
      </w:r>
    </w:p>
    <w:p>
      <w:pPr>
        <w:spacing w:after="80"/>
        <w:jc w:val="both"/>
      </w:pPr>
      <w:r>
        <w:rPr>
          <w:rFonts w:ascii="Times New Roman" w:hAnsi="Times New Roman"/>
          <w:sz w:val="26"/>
        </w:rPr>
        <w:t>Mọi mức cước phát sinh từ API GHN đều được chuẩn hóa qua hàm trần (Ceil) lên mốc 5.000đ gần nhất:</w:t>
      </w:r>
    </w:p>
    <w:p>
      <w:pPr>
        <w:spacing w:before="60" w:after="120"/>
        <w:jc w:val="center"/>
      </w:pPr>
      <w:r>
        <w:rPr>
          <w:rFonts w:ascii="Times New Roman" w:hAnsi="Times New Roman"/>
          <w:b/>
          <w:color w:val="0F4A34"/>
          <w:sz w:val="26"/>
        </w:rPr>
        <w:t>Cước niêm yết = ⌈ Cước thực tế / 5.000 ⌉ × 5.000</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2268"/>
            <w:shd w:fill="E6F4EA"/>
            <w:tcMar>
              <w:top w:w="120" w:type="dxa"/>
              <w:bottom w:w="120" w:type="dxa"/>
              <w:left w:w="150" w:type="dxa"/>
              <w:right w:w="150" w:type="dxa"/>
            </w:tcMar>
          </w:tcPr>
          <w:p>
            <w:pPr>
              <w:jc w:val="center"/>
            </w:pPr>
            <w:r>
              <w:rPr>
                <w:rFonts w:ascii="Times New Roman" w:hAnsi="Times New Roman"/>
                <w:b/>
                <w:color w:val="0A2517"/>
                <w:sz w:val="24"/>
              </w:rPr>
              <w:t>Tuyến vận chuyển</w:t>
            </w:r>
          </w:p>
        </w:tc>
        <w:tc>
          <w:tcPr>
            <w:tcW w:type="dxa" w:w="2268"/>
            <w:shd w:fill="E6F4EA"/>
            <w:tcMar>
              <w:top w:w="120" w:type="dxa"/>
              <w:bottom w:w="120" w:type="dxa"/>
              <w:left w:w="150" w:type="dxa"/>
              <w:right w:w="150" w:type="dxa"/>
            </w:tcMar>
          </w:tcPr>
          <w:p>
            <w:pPr>
              <w:jc w:val="center"/>
            </w:pPr>
            <w:r>
              <w:rPr>
                <w:rFonts w:ascii="Times New Roman" w:hAnsi="Times New Roman"/>
                <w:b/>
                <w:color w:val="0A2517"/>
                <w:sz w:val="24"/>
              </w:rPr>
              <w:t>Cước thực tế GHN</w:t>
            </w:r>
          </w:p>
        </w:tc>
        <w:tc>
          <w:tcPr>
            <w:tcW w:type="dxa" w:w="2268"/>
            <w:shd w:fill="E6F4EA"/>
            <w:tcMar>
              <w:top w:w="120" w:type="dxa"/>
              <w:bottom w:w="120" w:type="dxa"/>
              <w:left w:w="150" w:type="dxa"/>
              <w:right w:w="150" w:type="dxa"/>
            </w:tcMar>
          </w:tcPr>
          <w:p>
            <w:pPr>
              <w:jc w:val="center"/>
            </w:pPr>
            <w:r>
              <w:rPr>
                <w:rFonts w:ascii="Times New Roman" w:hAnsi="Times New Roman"/>
                <w:b/>
                <w:color w:val="0A2517"/>
                <w:sz w:val="24"/>
              </w:rPr>
              <w:t>Cước niêm yết Block 5K</w:t>
            </w:r>
          </w:p>
        </w:tc>
        <w:tc>
          <w:tcPr>
            <w:tcW w:type="dxa" w:w="2268"/>
            <w:shd w:fill="E6F4EA"/>
            <w:tcMar>
              <w:top w:w="120" w:type="dxa"/>
              <w:bottom w:w="120" w:type="dxa"/>
              <w:left w:w="150" w:type="dxa"/>
              <w:right w:w="150" w:type="dxa"/>
            </w:tcMar>
          </w:tcPr>
          <w:p>
            <w:pPr>
              <w:jc w:val="center"/>
            </w:pPr>
            <w:r>
              <w:rPr>
                <w:rFonts w:ascii="Times New Roman" w:hAnsi="Times New Roman"/>
                <w:b/>
                <w:color w:val="0A2517"/>
                <w:sz w:val="24"/>
              </w:rPr>
              <w:t>Khoản đệm &amp; Ý nghĩa vận hành</w:t>
            </w:r>
          </w:p>
        </w:tc>
      </w:tr>
      <w:tr>
        <w:tc>
          <w:tcPr>
            <w:tcW w:type="dxa" w:w="2268"/>
            <w:shd w:fill="FFFFFF"/>
            <w:tcMar>
              <w:top w:w="100" w:type="dxa"/>
              <w:bottom w:w="100" w:type="dxa"/>
              <w:left w:w="150" w:type="dxa"/>
              <w:right w:w="150" w:type="dxa"/>
            </w:tcMar>
          </w:tcPr>
          <w:p>
            <w:pPr>
              <w:jc w:val="left"/>
            </w:pPr>
            <w:r>
              <w:rPr>
                <w:rFonts w:ascii="Times New Roman" w:hAnsi="Times New Roman"/>
                <w:sz w:val="24"/>
              </w:rPr>
              <w:t>Nội thành tiêu chuẩn</w:t>
            </w:r>
          </w:p>
        </w:tc>
        <w:tc>
          <w:tcPr>
            <w:tcW w:type="dxa" w:w="2268"/>
            <w:shd w:fill="FFFFFF"/>
            <w:tcMar>
              <w:top w:w="100" w:type="dxa"/>
              <w:bottom w:w="100" w:type="dxa"/>
              <w:left w:w="150" w:type="dxa"/>
              <w:right w:w="150" w:type="dxa"/>
            </w:tcMar>
          </w:tcPr>
          <w:p>
            <w:pPr>
              <w:jc w:val="center"/>
            </w:pPr>
            <w:r>
              <w:rPr>
                <w:rFonts w:ascii="Times New Roman" w:hAnsi="Times New Roman"/>
                <w:sz w:val="24"/>
              </w:rPr>
              <w:t>18.000₫</w:t>
            </w:r>
          </w:p>
        </w:tc>
        <w:tc>
          <w:tcPr>
            <w:tcW w:type="dxa" w:w="2268"/>
            <w:shd w:fill="FFFFFF"/>
            <w:tcMar>
              <w:top w:w="100" w:type="dxa"/>
              <w:bottom w:w="100" w:type="dxa"/>
              <w:left w:w="150" w:type="dxa"/>
              <w:right w:w="150" w:type="dxa"/>
            </w:tcMar>
          </w:tcPr>
          <w:p>
            <w:pPr>
              <w:jc w:val="center"/>
            </w:pPr>
            <w:r>
              <w:rPr>
                <w:rFonts w:ascii="Times New Roman" w:hAnsi="Times New Roman"/>
                <w:sz w:val="24"/>
              </w:rPr>
              <w:t>20.000₫</w:t>
            </w:r>
          </w:p>
        </w:tc>
        <w:tc>
          <w:tcPr>
            <w:tcW w:type="dxa" w:w="2268"/>
            <w:shd w:fill="FFFFFF"/>
            <w:tcMar>
              <w:top w:w="100" w:type="dxa"/>
              <w:bottom w:w="100" w:type="dxa"/>
              <w:left w:w="150" w:type="dxa"/>
              <w:right w:w="150" w:type="dxa"/>
            </w:tcMar>
          </w:tcPr>
          <w:p>
            <w:pPr>
              <w:jc w:val="left"/>
            </w:pPr>
            <w:r>
              <w:rPr>
                <w:rFonts w:ascii="Times New Roman" w:hAnsi="Times New Roman"/>
                <w:sz w:val="24"/>
              </w:rPr>
              <w:t>+2.000₫ (Bù hao hụt tuyến ngắn)</w:t>
            </w:r>
          </w:p>
        </w:tc>
      </w:tr>
      <w:tr>
        <w:tc>
          <w:tcPr>
            <w:tcW w:type="dxa" w:w="2268"/>
            <w:shd w:fill="F9FBF9"/>
            <w:tcMar>
              <w:top w:w="100" w:type="dxa"/>
              <w:bottom w:w="100" w:type="dxa"/>
              <w:left w:w="150" w:type="dxa"/>
              <w:right w:w="150" w:type="dxa"/>
            </w:tcMar>
          </w:tcPr>
          <w:p>
            <w:pPr>
              <w:jc w:val="left"/>
            </w:pPr>
            <w:r>
              <w:rPr>
                <w:rFonts w:ascii="Times New Roman" w:hAnsi="Times New Roman"/>
                <w:sz w:val="24"/>
              </w:rPr>
              <w:t>Liên tỉnh nhẹ (&lt;500g)</w:t>
            </w:r>
          </w:p>
        </w:tc>
        <w:tc>
          <w:tcPr>
            <w:tcW w:type="dxa" w:w="2268"/>
            <w:shd w:fill="F9FBF9"/>
            <w:tcMar>
              <w:top w:w="100" w:type="dxa"/>
              <w:bottom w:w="100" w:type="dxa"/>
              <w:left w:w="150" w:type="dxa"/>
              <w:right w:w="150" w:type="dxa"/>
            </w:tcMar>
          </w:tcPr>
          <w:p>
            <w:pPr>
              <w:jc w:val="center"/>
            </w:pPr>
            <w:r>
              <w:rPr>
                <w:rFonts w:ascii="Times New Roman" w:hAnsi="Times New Roman"/>
                <w:sz w:val="24"/>
              </w:rPr>
              <w:t>21.000₫</w:t>
            </w:r>
          </w:p>
        </w:tc>
        <w:tc>
          <w:tcPr>
            <w:tcW w:type="dxa" w:w="2268"/>
            <w:shd w:fill="F9FBF9"/>
            <w:tcMar>
              <w:top w:w="100" w:type="dxa"/>
              <w:bottom w:w="100" w:type="dxa"/>
              <w:left w:w="150" w:type="dxa"/>
              <w:right w:w="150" w:type="dxa"/>
            </w:tcMar>
          </w:tcPr>
          <w:p>
            <w:pPr>
              <w:jc w:val="center"/>
            </w:pPr>
            <w:r>
              <w:rPr>
                <w:rFonts w:ascii="Times New Roman" w:hAnsi="Times New Roman"/>
                <w:sz w:val="24"/>
              </w:rPr>
              <w:t>25.000₫</w:t>
            </w:r>
          </w:p>
        </w:tc>
        <w:tc>
          <w:tcPr>
            <w:tcW w:type="dxa" w:w="2268"/>
            <w:shd w:fill="F9FBF9"/>
            <w:tcMar>
              <w:top w:w="100" w:type="dxa"/>
              <w:bottom w:w="100" w:type="dxa"/>
              <w:left w:w="150" w:type="dxa"/>
              <w:right w:w="150" w:type="dxa"/>
            </w:tcMar>
          </w:tcPr>
          <w:p>
            <w:pPr>
              <w:jc w:val="left"/>
            </w:pPr>
            <w:r>
              <w:rPr>
                <w:rFonts w:ascii="Times New Roman" w:hAnsi="Times New Roman"/>
                <w:sz w:val="24"/>
              </w:rPr>
              <w:t>+4.000₫ (Bù phát sinh giao lại lần 2)</w:t>
            </w:r>
          </w:p>
        </w:tc>
      </w:tr>
      <w:tr>
        <w:tc>
          <w:tcPr>
            <w:tcW w:type="dxa" w:w="2268"/>
            <w:shd w:fill="FFFFFF"/>
            <w:tcMar>
              <w:top w:w="100" w:type="dxa"/>
              <w:bottom w:w="100" w:type="dxa"/>
              <w:left w:w="150" w:type="dxa"/>
              <w:right w:w="150" w:type="dxa"/>
            </w:tcMar>
          </w:tcPr>
          <w:p>
            <w:pPr>
              <w:jc w:val="left"/>
            </w:pPr>
            <w:r>
              <w:rPr>
                <w:rFonts w:ascii="Times New Roman" w:hAnsi="Times New Roman"/>
                <w:sz w:val="24"/>
              </w:rPr>
              <w:t>Huyện / Vùng xa</w:t>
            </w:r>
          </w:p>
        </w:tc>
        <w:tc>
          <w:tcPr>
            <w:tcW w:type="dxa" w:w="2268"/>
            <w:shd w:fill="FFFFFF"/>
            <w:tcMar>
              <w:top w:w="100" w:type="dxa"/>
              <w:bottom w:w="100" w:type="dxa"/>
              <w:left w:w="150" w:type="dxa"/>
              <w:right w:w="150" w:type="dxa"/>
            </w:tcMar>
          </w:tcPr>
          <w:p>
            <w:pPr>
              <w:jc w:val="center"/>
            </w:pPr>
            <w:r>
              <w:rPr>
                <w:rFonts w:ascii="Times New Roman" w:hAnsi="Times New Roman"/>
                <w:sz w:val="24"/>
              </w:rPr>
              <w:t>22.500₫</w:t>
            </w:r>
          </w:p>
        </w:tc>
        <w:tc>
          <w:tcPr>
            <w:tcW w:type="dxa" w:w="2268"/>
            <w:shd w:fill="FFFFFF"/>
            <w:tcMar>
              <w:top w:w="100" w:type="dxa"/>
              <w:bottom w:w="100" w:type="dxa"/>
              <w:left w:w="150" w:type="dxa"/>
              <w:right w:w="150" w:type="dxa"/>
            </w:tcMar>
          </w:tcPr>
          <w:p>
            <w:pPr>
              <w:jc w:val="center"/>
            </w:pPr>
            <w:r>
              <w:rPr>
                <w:rFonts w:ascii="Times New Roman" w:hAnsi="Times New Roman"/>
                <w:sz w:val="24"/>
              </w:rPr>
              <w:t>25.000₫</w:t>
            </w:r>
          </w:p>
        </w:tc>
        <w:tc>
          <w:tcPr>
            <w:tcW w:type="dxa" w:w="2268"/>
            <w:shd w:fill="FFFFFF"/>
            <w:tcMar>
              <w:top w:w="100" w:type="dxa"/>
              <w:bottom w:w="100" w:type="dxa"/>
              <w:left w:w="150" w:type="dxa"/>
              <w:right w:w="150" w:type="dxa"/>
            </w:tcMar>
          </w:tcPr>
          <w:p>
            <w:pPr>
              <w:jc w:val="left"/>
            </w:pPr>
            <w:r>
              <w:rPr>
                <w:rFonts w:ascii="Times New Roman" w:hAnsi="Times New Roman"/>
                <w:sz w:val="24"/>
              </w:rPr>
              <w:t>+2.500₫ (Dự phòng phụ phí vùng sâu)</w:t>
            </w:r>
          </w:p>
        </w:tc>
      </w:tr>
      <w:tr>
        <w:tc>
          <w:tcPr>
            <w:tcW w:type="dxa" w:w="2268"/>
            <w:shd w:fill="F9FBF9"/>
            <w:tcMar>
              <w:top w:w="100" w:type="dxa"/>
              <w:bottom w:w="100" w:type="dxa"/>
              <w:left w:w="150" w:type="dxa"/>
              <w:right w:w="150" w:type="dxa"/>
            </w:tcMar>
          </w:tcPr>
          <w:p>
            <w:pPr>
              <w:jc w:val="left"/>
            </w:pPr>
            <w:r>
              <w:rPr>
                <w:rFonts w:ascii="Times New Roman" w:hAnsi="Times New Roman"/>
                <w:sz w:val="24"/>
              </w:rPr>
              <w:t>Đầm tiệc cồng kềnh</w:t>
            </w:r>
          </w:p>
        </w:tc>
        <w:tc>
          <w:tcPr>
            <w:tcW w:type="dxa" w:w="2268"/>
            <w:shd w:fill="F9FBF9"/>
            <w:tcMar>
              <w:top w:w="100" w:type="dxa"/>
              <w:bottom w:w="100" w:type="dxa"/>
              <w:left w:w="150" w:type="dxa"/>
              <w:right w:w="150" w:type="dxa"/>
            </w:tcMar>
          </w:tcPr>
          <w:p>
            <w:pPr>
              <w:jc w:val="center"/>
            </w:pPr>
            <w:r>
              <w:rPr>
                <w:rFonts w:ascii="Times New Roman" w:hAnsi="Times New Roman"/>
                <w:sz w:val="24"/>
              </w:rPr>
              <w:t>36.000₫</w:t>
            </w:r>
          </w:p>
        </w:tc>
        <w:tc>
          <w:tcPr>
            <w:tcW w:type="dxa" w:w="2268"/>
            <w:shd w:fill="F9FBF9"/>
            <w:tcMar>
              <w:top w:w="100" w:type="dxa"/>
              <w:bottom w:w="100" w:type="dxa"/>
              <w:left w:w="150" w:type="dxa"/>
              <w:right w:w="150" w:type="dxa"/>
            </w:tcMar>
          </w:tcPr>
          <w:p>
            <w:pPr>
              <w:jc w:val="center"/>
            </w:pPr>
            <w:r>
              <w:rPr>
                <w:rFonts w:ascii="Times New Roman" w:hAnsi="Times New Roman"/>
                <w:sz w:val="24"/>
              </w:rPr>
              <w:t>40.000₫</w:t>
            </w:r>
          </w:p>
        </w:tc>
        <w:tc>
          <w:tcPr>
            <w:tcW w:type="dxa" w:w="2268"/>
            <w:shd w:fill="F9FBF9"/>
            <w:tcMar>
              <w:top w:w="100" w:type="dxa"/>
              <w:bottom w:w="100" w:type="dxa"/>
              <w:left w:w="150" w:type="dxa"/>
              <w:right w:w="150" w:type="dxa"/>
            </w:tcMar>
          </w:tcPr>
          <w:p>
            <w:pPr>
              <w:jc w:val="left"/>
            </w:pPr>
            <w:r>
              <w:rPr>
                <w:rFonts w:ascii="Times New Roman" w:hAnsi="Times New Roman"/>
                <w:sz w:val="24"/>
              </w:rPr>
              <w:t>+4.000₫ (Bù sai số quy đổi thể tích D×R×C/5000)</w:t>
            </w:r>
          </w:p>
        </w:tc>
      </w:tr>
    </w:tbl>
    <w:p>
      <w:pPr>
        <w:keepNext/>
        <w:spacing w:before="160" w:after="60"/>
      </w:pPr>
      <w:r>
        <w:rPr>
          <w:rFonts w:ascii="Times New Roman" w:hAnsi="Times New Roman"/>
          <w:b/>
          <w:color w:val="183A2D"/>
          <w:sz w:val="26"/>
        </w:rPr>
        <w:t>2. Nguyên lý San sẻ 50/50</w:t>
      </w:r>
    </w:p>
    <w:p>
      <w:pPr>
        <w:pStyle w:val="ListBullet"/>
        <w:spacing w:after="60"/>
        <w:jc w:val="both"/>
      </w:pPr>
      <w:r>
        <w:rPr>
          <w:rFonts w:ascii="Times New Roman" w:hAnsi="Times New Roman"/>
          <w:b/>
          <w:sz w:val="26"/>
        </w:rPr>
        <w:t xml:space="preserve">Khách thuê (Chiều đi): </w:t>
      </w:r>
      <w:r>
        <w:rPr>
          <w:rFonts w:ascii="Times New Roman" w:hAnsi="Times New Roman"/>
          <w:sz w:val="26"/>
        </w:rPr>
        <w:t>Thanh toán cước 1 chiều đã làm tròn (25.000đ) trực tiếp lúc quét mã VietQR.</w:t>
      </w:r>
    </w:p>
    <w:p>
      <w:pPr>
        <w:pStyle w:val="ListBullet"/>
        <w:spacing w:after="60"/>
        <w:jc w:val="both"/>
      </w:pPr>
      <w:r>
        <w:rPr>
          <w:rFonts w:ascii="Times New Roman" w:hAnsi="Times New Roman"/>
          <w:b/>
          <w:sz w:val="26"/>
        </w:rPr>
        <w:t xml:space="preserve">Chủ tủ (Chiều về): </w:t>
      </w:r>
      <w:r>
        <w:rPr>
          <w:rFonts w:ascii="Times New Roman" w:hAnsi="Times New Roman"/>
          <w:sz w:val="26"/>
        </w:rPr>
        <w:t>Chịu cước 1 chiều đã làm tròn (25.000đ) như một khoản chi phí thu hồi và bảo toàn tài sản. Khoản này được hệ thống tự động cấn trừ (Auto-deduct) từ doanh thu trước khi giải ngân Payout.</w:t>
      </w:r>
    </w:p>
    <w:p>
      <w:pPr>
        <w:pStyle w:val="ListBullet"/>
        <w:spacing w:after="60"/>
        <w:jc w:val="both"/>
      </w:pPr>
      <w:r>
        <w:rPr>
          <w:rFonts w:ascii="Times New Roman" w:hAnsi="Times New Roman"/>
          <w:b/>
          <w:sz w:val="26"/>
        </w:rPr>
        <w:t xml:space="preserve">Quỹ Phòng Vệ Vận Chuyển: </w:t>
      </w:r>
      <w:r>
        <w:rPr>
          <w:rFonts w:ascii="Times New Roman" w:hAnsi="Times New Roman"/>
          <w:sz w:val="26"/>
        </w:rPr>
        <w:t>Mỗi đơn hàng khứ hồi tạo ra khoản thặng dư +8.000đ (4.000đ × 2) được ghi nhận tự động vào Sổ cái (SHIPPING_RETAINED) để bảo chứng rủi ro giao lại hoặc sai lệch kích thước thùng carton.</w:t>
      </w:r>
    </w:p>
    <w:p>
      <w:pPr>
        <w:keepNext/>
        <w:spacing w:before="280" w:after="80"/>
      </w:pPr>
      <w:r>
        <w:rPr>
          <w:rFonts w:ascii="Times New Roman" w:hAnsi="Times New Roman"/>
          <w:b/>
          <w:color w:val="0F4A34"/>
          <w:sz w:val="27"/>
        </w:rPr>
        <w:t>III. CA KIỂM THỬ THỰC TẾ &amp; MA TRẬN PHÂN BỔ DÒNG TIỀN</w:t>
      </w:r>
    </w:p>
    <w:p>
      <w:pPr>
        <w:spacing w:after="80"/>
        <w:jc w:val="both"/>
      </w:pPr>
      <w:r>
        <w:rPr>
          <w:rFonts w:ascii="Times New Roman" w:hAnsi="Times New Roman"/>
          <w:sz w:val="26"/>
        </w:rPr>
        <w:t>Bối cảnh giao dịch mẫu trên môi trường Production:</w:t>
      </w:r>
    </w:p>
    <w:p>
      <w:pPr>
        <w:pStyle w:val="ListBullet"/>
        <w:spacing w:after="60"/>
        <w:jc w:val="both"/>
      </w:pPr>
      <w:r>
        <w:rPr>
          <w:rFonts w:ascii="Times New Roman" w:hAnsi="Times New Roman"/>
          <w:b/>
          <w:sz w:val="26"/>
        </w:rPr>
        <w:t xml:space="preserve">Chủ tủ: </w:t>
      </w:r>
      <w:r>
        <w:rPr>
          <w:rFonts w:ascii="Times New Roman" w:hAnsi="Times New Roman"/>
          <w:sz w:val="26"/>
        </w:rPr>
        <w:t>Định vị tại Quận Cầu Giấy, Hà Nội.</w:t>
      </w:r>
    </w:p>
    <w:p>
      <w:pPr>
        <w:pStyle w:val="ListBullet"/>
        <w:spacing w:after="60"/>
        <w:jc w:val="both"/>
      </w:pPr>
      <w:r>
        <w:rPr>
          <w:rFonts w:ascii="Times New Roman" w:hAnsi="Times New Roman"/>
          <w:b/>
          <w:sz w:val="26"/>
        </w:rPr>
        <w:t xml:space="preserve">Khách thuê: </w:t>
      </w:r>
      <w:r>
        <w:rPr>
          <w:rFonts w:ascii="Times New Roman" w:hAnsi="Times New Roman"/>
          <w:sz w:val="26"/>
        </w:rPr>
        <w:t>Định vị tại Huyện Hưng Nguyên, Nghệ An.</w:t>
      </w:r>
    </w:p>
    <w:p>
      <w:pPr>
        <w:pStyle w:val="ListBullet"/>
        <w:spacing w:after="60"/>
        <w:jc w:val="both"/>
      </w:pPr>
      <w:r>
        <w:rPr>
          <w:rFonts w:ascii="Times New Roman" w:hAnsi="Times New Roman"/>
          <w:b/>
          <w:sz w:val="26"/>
        </w:rPr>
        <w:t xml:space="preserve">Sản phẩm: </w:t>
      </w:r>
      <w:r>
        <w:rPr>
          <w:rFonts w:ascii="Times New Roman" w:hAnsi="Times New Roman"/>
          <w:sz w:val="26"/>
        </w:rPr>
        <w:t>Váy dạ hội thiết kế (Gói thuê 3 ngày: 350.000đ, Tiền cọc Escrow: 1.000.000đ).</w:t>
      </w:r>
    </w:p>
    <w:p>
      <w:pPr>
        <w:pStyle w:val="ListBullet"/>
        <w:spacing w:after="60"/>
        <w:jc w:val="both"/>
      </w:pPr>
      <w:r>
        <w:rPr>
          <w:rFonts w:ascii="Times New Roman" w:hAnsi="Times New Roman"/>
          <w:b/>
          <w:sz w:val="26"/>
        </w:rPr>
        <w:t xml:space="preserve">Cước GHN thực tế: </w:t>
      </w:r>
      <w:r>
        <w:rPr>
          <w:rFonts w:ascii="Times New Roman" w:hAnsi="Times New Roman"/>
          <w:sz w:val="26"/>
        </w:rPr>
        <w:t>21.000đ/chiều (Cước niêm yết áp dụng Block 5K: 25.000đ/chiều).</w:t>
      </w:r>
    </w:p>
    <w:p>
      <w:pPr>
        <w:spacing w:after="80"/>
        <w:jc w:val="both"/>
      </w:pPr>
      <w:r>
        <w:rPr>
          <w:rFonts w:ascii="Times New Roman" w:hAnsi="Times New Roman"/>
          <w:sz w:val="26"/>
        </w:rPr>
        <w:t>Bảng Phân Bổ Dòng Tiền 4 Bên Qua Từng Giai Đoạn: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20" w:type="dxa"/>
              <w:right w:w="120" w:type="dxa"/>
            </w:tcMar>
          </w:tcPr>
          <w:p>
            <w:pPr>
              <w:jc w:val="center"/>
            </w:pPr>
            <w:r>
              <w:rPr>
                <w:rFonts w:ascii="Times New Roman" w:hAnsi="Times New Roman"/>
                <w:b/>
                <w:color w:val="0A2517"/>
                <w:sz w:val="23"/>
              </w:rPr>
              <w:t>Giai đoạn luân chuyển</w:t>
            </w:r>
          </w:p>
        </w:tc>
        <w:tc>
          <w:tcPr>
            <w:tcW w:type="dxa" w:w="1814"/>
            <w:shd w:fill="E6F4EA"/>
            <w:tcMar>
              <w:top w:w="120" w:type="dxa"/>
              <w:bottom w:w="120" w:type="dxa"/>
              <w:left w:w="120" w:type="dxa"/>
              <w:right w:w="120" w:type="dxa"/>
            </w:tcMar>
          </w:tcPr>
          <w:p>
            <w:pPr>
              <w:jc w:val="center"/>
            </w:pPr>
            <w:r>
              <w:rPr>
                <w:rFonts w:ascii="Times New Roman" w:hAnsi="Times New Roman"/>
                <w:b/>
                <w:color w:val="0A2517"/>
                <w:sz w:val="23"/>
              </w:rPr>
              <w:t>Khách thuê</w:t>
            </w:r>
          </w:p>
        </w:tc>
        <w:tc>
          <w:tcPr>
            <w:tcW w:type="dxa" w:w="1814"/>
            <w:shd w:fill="E6F4EA"/>
            <w:tcMar>
              <w:top w:w="120" w:type="dxa"/>
              <w:bottom w:w="120" w:type="dxa"/>
              <w:left w:w="120" w:type="dxa"/>
              <w:right w:w="120" w:type="dxa"/>
            </w:tcMar>
          </w:tcPr>
          <w:p>
            <w:pPr>
              <w:jc w:val="center"/>
            </w:pPr>
            <w:r>
              <w:rPr>
                <w:rFonts w:ascii="Times New Roman" w:hAnsi="Times New Roman"/>
                <w:b/>
                <w:color w:val="0A2517"/>
                <w:sz w:val="23"/>
              </w:rPr>
              <w:t>Két Escrow CLOOP</w:t>
            </w:r>
          </w:p>
        </w:tc>
        <w:tc>
          <w:tcPr>
            <w:tcW w:type="dxa" w:w="1814"/>
            <w:shd w:fill="E6F4EA"/>
            <w:tcMar>
              <w:top w:w="120" w:type="dxa"/>
              <w:bottom w:w="120" w:type="dxa"/>
              <w:left w:w="120" w:type="dxa"/>
              <w:right w:w="120" w:type="dxa"/>
            </w:tcMar>
          </w:tcPr>
          <w:p>
            <w:pPr>
              <w:jc w:val="center"/>
            </w:pPr>
            <w:r>
              <w:rPr>
                <w:rFonts w:ascii="Times New Roman" w:hAnsi="Times New Roman"/>
                <w:b/>
                <w:color w:val="0A2517"/>
                <w:sz w:val="23"/>
              </w:rPr>
              <w:t>Chủ tủ đồ</w:t>
            </w:r>
          </w:p>
        </w:tc>
        <w:tc>
          <w:tcPr>
            <w:tcW w:type="dxa" w:w="1814"/>
            <w:shd w:fill="E6F4EA"/>
            <w:tcMar>
              <w:top w:w="120" w:type="dxa"/>
              <w:bottom w:w="120" w:type="dxa"/>
              <w:left w:w="120" w:type="dxa"/>
              <w:right w:w="120" w:type="dxa"/>
            </w:tcMar>
          </w:tcPr>
          <w:p>
            <w:pPr>
              <w:jc w:val="center"/>
            </w:pPr>
            <w:r>
              <w:rPr>
                <w:rFonts w:ascii="Times New Roman" w:hAnsi="Times New Roman"/>
                <w:b/>
                <w:color w:val="0A2517"/>
                <w:sz w:val="23"/>
              </w:rPr>
              <w:t>Hãng GHN</w:t>
            </w:r>
          </w:p>
        </w:tc>
      </w:tr>
      <w:tr>
        <w:tc>
          <w:tcPr>
            <w:tcW w:type="dxa" w:w="1814"/>
            <w:shd w:fill="FFFFFF"/>
            <w:tcMar>
              <w:top w:w="100" w:type="dxa"/>
              <w:bottom w:w="100" w:type="dxa"/>
              <w:left w:w="120" w:type="dxa"/>
              <w:right w:w="120" w:type="dxa"/>
            </w:tcMar>
          </w:tcPr>
          <w:p>
            <w:pPr>
              <w:jc w:val="left"/>
            </w:pPr>
            <w:r>
              <w:rPr>
                <w:rFonts w:ascii="Times New Roman" w:hAnsi="Times New Roman"/>
                <w:sz w:val="22"/>
              </w:rPr>
              <w:t>1. Quét mã VietQR Checkout</w:t>
            </w:r>
          </w:p>
        </w:tc>
        <w:tc>
          <w:tcPr>
            <w:tcW w:type="dxa" w:w="1814"/>
            <w:shd w:fill="FFFFFF"/>
            <w:tcMar>
              <w:top w:w="100" w:type="dxa"/>
              <w:bottom w:w="100" w:type="dxa"/>
              <w:left w:w="120" w:type="dxa"/>
              <w:right w:w="120" w:type="dxa"/>
            </w:tcMar>
          </w:tcPr>
          <w:p>
            <w:pPr>
              <w:jc w:val="center"/>
            </w:pPr>
            <w:r>
              <w:rPr>
                <w:rFonts w:ascii="Times New Roman" w:hAnsi="Times New Roman"/>
                <w:sz w:val="22"/>
              </w:rPr>
              <w:t>-1.375.000₫</w:t>
            </w:r>
          </w:p>
        </w:tc>
        <w:tc>
          <w:tcPr>
            <w:tcW w:type="dxa" w:w="1814"/>
            <w:shd w:fill="FFFFFF"/>
            <w:tcMar>
              <w:top w:w="100" w:type="dxa"/>
              <w:bottom w:w="100" w:type="dxa"/>
              <w:left w:w="120" w:type="dxa"/>
              <w:right w:w="120" w:type="dxa"/>
            </w:tcMar>
          </w:tcPr>
          <w:p>
            <w:pPr>
              <w:jc w:val="left"/>
            </w:pPr>
            <w:r>
              <w:rPr>
                <w:rFonts w:ascii="Times New Roman" w:hAnsi="Times New Roman"/>
                <w:sz w:val="22"/>
              </w:rPr>
              <w:t>+1.375.000₫</w:t>
              <w:br/>
              <w:t>(Thuê 350k + Cọc 1.000k + Ship đi 25k)</w:t>
            </w:r>
          </w:p>
        </w:tc>
        <w:tc>
          <w:tcPr>
            <w:tcW w:type="dxa" w:w="1814"/>
            <w:shd w:fill="FFFFFF"/>
            <w:tcMar>
              <w:top w:w="100" w:type="dxa"/>
              <w:bottom w:w="100" w:type="dxa"/>
              <w:left w:w="120" w:type="dxa"/>
              <w:right w:w="120" w:type="dxa"/>
            </w:tcMar>
          </w:tcPr>
          <w:p>
            <w:pPr>
              <w:jc w:val="left"/>
            </w:pPr>
            <w:r>
              <w:rPr>
                <w:rFonts w:ascii="Times New Roman" w:hAnsi="Times New Roman"/>
                <w:sz w:val="22"/>
              </w:rPr>
              <w:t>0₫</w:t>
            </w:r>
          </w:p>
        </w:tc>
        <w:tc>
          <w:tcPr>
            <w:tcW w:type="dxa" w:w="1814"/>
            <w:shd w:fill="FFFFFF"/>
            <w:tcMar>
              <w:top w:w="100" w:type="dxa"/>
              <w:bottom w:w="100" w:type="dxa"/>
              <w:left w:w="120" w:type="dxa"/>
              <w:right w:w="120" w:type="dxa"/>
            </w:tcMar>
          </w:tcPr>
          <w:p>
            <w:pPr>
              <w:jc w:val="center"/>
            </w:pPr>
            <w:r>
              <w:rPr>
                <w:rFonts w:ascii="Times New Roman" w:hAnsi="Times New Roman"/>
                <w:sz w:val="22"/>
              </w:rPr>
              <w:t>0₫</w:t>
            </w:r>
          </w:p>
        </w:tc>
      </w:tr>
      <w:tr>
        <w:tc>
          <w:tcPr>
            <w:tcW w:type="dxa" w:w="1814"/>
            <w:shd w:fill="F9FBF9"/>
            <w:tcMar>
              <w:top w:w="100" w:type="dxa"/>
              <w:bottom w:w="100" w:type="dxa"/>
              <w:left w:w="120" w:type="dxa"/>
              <w:right w:w="120" w:type="dxa"/>
            </w:tcMar>
          </w:tcPr>
          <w:p>
            <w:pPr>
              <w:jc w:val="left"/>
            </w:pPr>
            <w:r>
              <w:rPr>
                <w:rFonts w:ascii="Times New Roman" w:hAnsi="Times New Roman"/>
                <w:sz w:val="22"/>
              </w:rPr>
              <w:t>2. Bưu tá giao đồ (Lượt đi)</w:t>
            </w:r>
          </w:p>
        </w:tc>
        <w:tc>
          <w:tcPr>
            <w:tcW w:type="dxa" w:w="1814"/>
            <w:shd w:fill="F9FBF9"/>
            <w:tcMar>
              <w:top w:w="100" w:type="dxa"/>
              <w:bottom w:w="100" w:type="dxa"/>
              <w:left w:w="120" w:type="dxa"/>
              <w:right w:w="120" w:type="dxa"/>
            </w:tcMar>
          </w:tcPr>
          <w:p>
            <w:pPr>
              <w:jc w:val="center"/>
            </w:pPr>
            <w:r>
              <w:rPr>
                <w:rFonts w:ascii="Times New Roman" w:hAnsi="Times New Roman"/>
                <w:sz w:val="22"/>
              </w:rPr>
              <w:t>0₫</w:t>
            </w:r>
          </w:p>
        </w:tc>
        <w:tc>
          <w:tcPr>
            <w:tcW w:type="dxa" w:w="1814"/>
            <w:shd w:fill="F9FBF9"/>
            <w:tcMar>
              <w:top w:w="100" w:type="dxa"/>
              <w:bottom w:w="100" w:type="dxa"/>
              <w:left w:w="120" w:type="dxa"/>
              <w:right w:w="120" w:type="dxa"/>
            </w:tcMar>
          </w:tcPr>
          <w:p>
            <w:pPr>
              <w:jc w:val="left"/>
            </w:pPr>
            <w:r>
              <w:rPr>
                <w:rFonts w:ascii="Times New Roman" w:hAnsi="Times New Roman"/>
                <w:sz w:val="22"/>
              </w:rPr>
              <w:t>-21.000₫</w:t>
            </w:r>
          </w:p>
        </w:tc>
        <w:tc>
          <w:tcPr>
            <w:tcW w:type="dxa" w:w="1814"/>
            <w:shd w:fill="F9FBF9"/>
            <w:tcMar>
              <w:top w:w="100" w:type="dxa"/>
              <w:bottom w:w="100" w:type="dxa"/>
              <w:left w:w="120" w:type="dxa"/>
              <w:right w:w="120" w:type="dxa"/>
            </w:tcMar>
          </w:tcPr>
          <w:p>
            <w:pPr>
              <w:jc w:val="left"/>
            </w:pPr>
            <w:r>
              <w:rPr>
                <w:rFonts w:ascii="Times New Roman" w:hAnsi="Times New Roman"/>
                <w:sz w:val="22"/>
              </w:rPr>
              <w:t>0₫</w:t>
            </w:r>
          </w:p>
        </w:tc>
        <w:tc>
          <w:tcPr>
            <w:tcW w:type="dxa" w:w="1814"/>
            <w:shd w:fill="F9FBF9"/>
            <w:tcMar>
              <w:top w:w="100" w:type="dxa"/>
              <w:bottom w:w="100" w:type="dxa"/>
              <w:left w:w="120" w:type="dxa"/>
              <w:right w:w="120" w:type="dxa"/>
            </w:tcMar>
          </w:tcPr>
          <w:p>
            <w:pPr>
              <w:jc w:val="center"/>
            </w:pPr>
            <w:r>
              <w:rPr>
                <w:rFonts w:ascii="Times New Roman" w:hAnsi="Times New Roman"/>
                <w:sz w:val="22"/>
              </w:rPr>
              <w:t>+21.000₫</w:t>
            </w:r>
          </w:p>
        </w:tc>
      </w:tr>
      <w:tr>
        <w:tc>
          <w:tcPr>
            <w:tcW w:type="dxa" w:w="1814"/>
            <w:shd w:fill="FFFFFF"/>
            <w:tcMar>
              <w:top w:w="100" w:type="dxa"/>
              <w:bottom w:w="100" w:type="dxa"/>
              <w:left w:w="120" w:type="dxa"/>
              <w:right w:w="120" w:type="dxa"/>
            </w:tcMar>
          </w:tcPr>
          <w:p>
            <w:pPr>
              <w:jc w:val="left"/>
            </w:pPr>
            <w:r>
              <w:rPr>
                <w:rFonts w:ascii="Times New Roman" w:hAnsi="Times New Roman"/>
                <w:sz w:val="22"/>
              </w:rPr>
              <w:t>3. Thu hồi đồ (Lượt về Pre-paid)</w:t>
            </w:r>
          </w:p>
        </w:tc>
        <w:tc>
          <w:tcPr>
            <w:tcW w:type="dxa" w:w="1814"/>
            <w:shd w:fill="FFFFFF"/>
            <w:tcMar>
              <w:top w:w="100" w:type="dxa"/>
              <w:bottom w:w="100" w:type="dxa"/>
              <w:left w:w="120" w:type="dxa"/>
              <w:right w:w="120" w:type="dxa"/>
            </w:tcMar>
          </w:tcPr>
          <w:p>
            <w:pPr>
              <w:jc w:val="center"/>
            </w:pPr>
            <w:r>
              <w:rPr>
                <w:rFonts w:ascii="Times New Roman" w:hAnsi="Times New Roman"/>
                <w:sz w:val="22"/>
              </w:rPr>
              <w:t>0₫</w:t>
            </w:r>
          </w:p>
        </w:tc>
        <w:tc>
          <w:tcPr>
            <w:tcW w:type="dxa" w:w="1814"/>
            <w:shd w:fill="FFFFFF"/>
            <w:tcMar>
              <w:top w:w="100" w:type="dxa"/>
              <w:bottom w:w="100" w:type="dxa"/>
              <w:left w:w="120" w:type="dxa"/>
              <w:right w:w="120" w:type="dxa"/>
            </w:tcMar>
          </w:tcPr>
          <w:p>
            <w:pPr>
              <w:jc w:val="left"/>
            </w:pPr>
            <w:r>
              <w:rPr>
                <w:rFonts w:ascii="Times New Roman" w:hAnsi="Times New Roman"/>
                <w:sz w:val="22"/>
              </w:rPr>
              <w:t>-21.000₫</w:t>
            </w:r>
          </w:p>
        </w:tc>
        <w:tc>
          <w:tcPr>
            <w:tcW w:type="dxa" w:w="1814"/>
            <w:shd w:fill="FFFFFF"/>
            <w:tcMar>
              <w:top w:w="100" w:type="dxa"/>
              <w:bottom w:w="100" w:type="dxa"/>
              <w:left w:w="120" w:type="dxa"/>
              <w:right w:w="120" w:type="dxa"/>
            </w:tcMar>
          </w:tcPr>
          <w:p>
            <w:pPr>
              <w:jc w:val="left"/>
            </w:pPr>
            <w:r>
              <w:rPr>
                <w:rFonts w:ascii="Times New Roman" w:hAnsi="Times New Roman"/>
                <w:sz w:val="22"/>
              </w:rPr>
              <w:t>0₫</w:t>
            </w:r>
          </w:p>
        </w:tc>
        <w:tc>
          <w:tcPr>
            <w:tcW w:type="dxa" w:w="1814"/>
            <w:shd w:fill="FFFFFF"/>
            <w:tcMar>
              <w:top w:w="100" w:type="dxa"/>
              <w:bottom w:w="100" w:type="dxa"/>
              <w:left w:w="120" w:type="dxa"/>
              <w:right w:w="120" w:type="dxa"/>
            </w:tcMar>
          </w:tcPr>
          <w:p>
            <w:pPr>
              <w:jc w:val="center"/>
            </w:pPr>
            <w:r>
              <w:rPr>
                <w:rFonts w:ascii="Times New Roman" w:hAnsi="Times New Roman"/>
                <w:sz w:val="22"/>
              </w:rPr>
              <w:t>+21.000₫</w:t>
            </w:r>
          </w:p>
        </w:tc>
      </w:tr>
      <w:tr>
        <w:tc>
          <w:tcPr>
            <w:tcW w:type="dxa" w:w="1814"/>
            <w:shd w:fill="F9FBF9"/>
            <w:tcMar>
              <w:top w:w="100" w:type="dxa"/>
              <w:bottom w:w="100" w:type="dxa"/>
              <w:left w:w="120" w:type="dxa"/>
              <w:right w:w="120" w:type="dxa"/>
            </w:tcMar>
          </w:tcPr>
          <w:p>
            <w:pPr>
              <w:jc w:val="left"/>
            </w:pPr>
            <w:r>
              <w:rPr>
                <w:rFonts w:ascii="Times New Roman" w:hAnsi="Times New Roman"/>
                <w:sz w:val="22"/>
              </w:rPr>
              <w:t>4. Nghiệm thu &amp; Payout Tiêu chuẩn</w:t>
            </w:r>
          </w:p>
        </w:tc>
        <w:tc>
          <w:tcPr>
            <w:tcW w:type="dxa" w:w="1814"/>
            <w:shd w:fill="F9FBF9"/>
            <w:tcMar>
              <w:top w:w="100" w:type="dxa"/>
              <w:bottom w:w="100" w:type="dxa"/>
              <w:left w:w="120" w:type="dxa"/>
              <w:right w:w="120" w:type="dxa"/>
            </w:tcMar>
          </w:tcPr>
          <w:p>
            <w:pPr>
              <w:jc w:val="center"/>
            </w:pPr>
            <w:r>
              <w:rPr>
                <w:rFonts w:ascii="Times New Roman" w:hAnsi="Times New Roman"/>
                <w:sz w:val="22"/>
              </w:rPr>
              <w:t>+1.000.000₫</w:t>
              <w:br/>
              <w:t>(Hoàn 100% cọc)</w:t>
            </w:r>
          </w:p>
        </w:tc>
        <w:tc>
          <w:tcPr>
            <w:tcW w:type="dxa" w:w="1814"/>
            <w:shd w:fill="F9FBF9"/>
            <w:tcMar>
              <w:top w:w="100" w:type="dxa"/>
              <w:bottom w:w="100" w:type="dxa"/>
              <w:left w:w="120" w:type="dxa"/>
              <w:right w:w="120" w:type="dxa"/>
            </w:tcMar>
          </w:tcPr>
          <w:p>
            <w:pPr>
              <w:jc w:val="left"/>
            </w:pPr>
            <w:r>
              <w:rPr>
                <w:rFonts w:ascii="Times New Roman" w:hAnsi="Times New Roman"/>
                <w:sz w:val="22"/>
              </w:rPr>
              <w:t>-1.000.000₫ (Nhả cọc)</w:t>
              <w:br/>
              <w:t>-283.000₫ (Payout)</w:t>
              <w:br/>
              <w:t>+42.000₫ (Phí sàn 12%)</w:t>
              <w:br/>
              <w:t>+8.000₫ (Quỹ phòng vệ)</w:t>
            </w:r>
          </w:p>
        </w:tc>
        <w:tc>
          <w:tcPr>
            <w:tcW w:type="dxa" w:w="1814"/>
            <w:shd w:fill="F9FBF9"/>
            <w:tcMar>
              <w:top w:w="100" w:type="dxa"/>
              <w:bottom w:w="100" w:type="dxa"/>
              <w:left w:w="120" w:type="dxa"/>
              <w:right w:w="120" w:type="dxa"/>
            </w:tcMar>
          </w:tcPr>
          <w:p>
            <w:pPr>
              <w:jc w:val="left"/>
            </w:pPr>
            <w:r>
              <w:rPr>
                <w:rFonts w:ascii="Times New Roman" w:hAnsi="Times New Roman"/>
                <w:sz w:val="22"/>
              </w:rPr>
              <w:t>+283.000₫</w:t>
              <w:br/>
              <w:t>(350k - 42k sàn - 25k ship)</w:t>
            </w:r>
          </w:p>
        </w:tc>
        <w:tc>
          <w:tcPr>
            <w:tcW w:type="dxa" w:w="1814"/>
            <w:shd w:fill="F9FBF9"/>
            <w:tcMar>
              <w:top w:w="100" w:type="dxa"/>
              <w:bottom w:w="100" w:type="dxa"/>
              <w:left w:w="120" w:type="dxa"/>
              <w:right w:w="120" w:type="dxa"/>
            </w:tcMar>
          </w:tcPr>
          <w:p>
            <w:pPr>
              <w:jc w:val="center"/>
            </w:pPr>
            <w:r>
              <w:rPr>
                <w:rFonts w:ascii="Times New Roman" w:hAnsi="Times New Roman"/>
                <w:sz w:val="22"/>
              </w:rPr>
              <w:t>0₫</w:t>
            </w:r>
          </w:p>
        </w:tc>
      </w:tr>
      <w:tr>
        <w:tc>
          <w:tcPr>
            <w:tcW w:type="dxa" w:w="1814"/>
            <w:shd w:fill="FFFFFF"/>
            <w:tcMar>
              <w:top w:w="100" w:type="dxa"/>
              <w:bottom w:w="100" w:type="dxa"/>
              <w:left w:w="120" w:type="dxa"/>
              <w:right w:w="120" w:type="dxa"/>
            </w:tcMar>
          </w:tcPr>
          <w:p>
            <w:pPr>
              <w:jc w:val="left"/>
            </w:pPr>
            <w:r>
              <w:rPr>
                <w:rFonts w:ascii="Times New Roman" w:hAnsi="Times New Roman"/>
                <w:sz w:val="22"/>
              </w:rPr>
              <w:t>4b. Nghiệm thu &amp; Payout Founding 100</w:t>
            </w:r>
          </w:p>
        </w:tc>
        <w:tc>
          <w:tcPr>
            <w:tcW w:type="dxa" w:w="1814"/>
            <w:shd w:fill="FFFFFF"/>
            <w:tcMar>
              <w:top w:w="100" w:type="dxa"/>
              <w:bottom w:w="100" w:type="dxa"/>
              <w:left w:w="120" w:type="dxa"/>
              <w:right w:w="120" w:type="dxa"/>
            </w:tcMar>
          </w:tcPr>
          <w:p>
            <w:pPr>
              <w:jc w:val="center"/>
            </w:pPr>
            <w:r>
              <w:rPr>
                <w:rFonts w:ascii="Times New Roman" w:hAnsi="Times New Roman"/>
                <w:sz w:val="22"/>
              </w:rPr>
              <w:t>+1.000.000₫</w:t>
              <w:br/>
              <w:t>(Hoàn 100% cọc)</w:t>
            </w:r>
          </w:p>
        </w:tc>
        <w:tc>
          <w:tcPr>
            <w:tcW w:type="dxa" w:w="1814"/>
            <w:shd w:fill="FFFFFF"/>
            <w:tcMar>
              <w:top w:w="100" w:type="dxa"/>
              <w:bottom w:w="100" w:type="dxa"/>
              <w:left w:w="120" w:type="dxa"/>
              <w:right w:w="120" w:type="dxa"/>
            </w:tcMar>
          </w:tcPr>
          <w:p>
            <w:pPr>
              <w:jc w:val="left"/>
            </w:pPr>
            <w:r>
              <w:rPr>
                <w:rFonts w:ascii="Times New Roman" w:hAnsi="Times New Roman"/>
                <w:sz w:val="22"/>
              </w:rPr>
              <w:t>-1.000.000₫ (Nhả cọc)</w:t>
              <w:br/>
              <w:t>-325.000₫ (Payout)</w:t>
              <w:br/>
              <w:t>+0₫ (Phí sàn 0%)</w:t>
              <w:br/>
              <w:t>+8.000₫ (Quỹ phòng vệ)</w:t>
            </w:r>
          </w:p>
        </w:tc>
        <w:tc>
          <w:tcPr>
            <w:tcW w:type="dxa" w:w="1814"/>
            <w:shd w:fill="FFFFFF"/>
            <w:tcMar>
              <w:top w:w="100" w:type="dxa"/>
              <w:bottom w:w="100" w:type="dxa"/>
              <w:left w:w="120" w:type="dxa"/>
              <w:right w:w="120" w:type="dxa"/>
            </w:tcMar>
          </w:tcPr>
          <w:p>
            <w:pPr>
              <w:jc w:val="left"/>
            </w:pPr>
            <w:r>
              <w:rPr>
                <w:rFonts w:ascii="Times New Roman" w:hAnsi="Times New Roman"/>
                <w:sz w:val="22"/>
              </w:rPr>
              <w:t>+325.000₫</w:t>
              <w:br/>
              <w:t>(350k - 0đ sàn - 25k ship)</w:t>
            </w:r>
          </w:p>
        </w:tc>
        <w:tc>
          <w:tcPr>
            <w:tcW w:type="dxa" w:w="1814"/>
            <w:shd w:fill="FFFFFF"/>
            <w:tcMar>
              <w:top w:w="100" w:type="dxa"/>
              <w:bottom w:w="100" w:type="dxa"/>
              <w:left w:w="120" w:type="dxa"/>
              <w:right w:w="120" w:type="dxa"/>
            </w:tcMar>
          </w:tcPr>
          <w:p>
            <w:pPr>
              <w:jc w:val="center"/>
            </w:pPr>
            <w:r>
              <w:rPr>
                <w:rFonts w:ascii="Times New Roman" w:hAnsi="Times New Roman"/>
                <w:sz w:val="22"/>
              </w:rPr>
              <w:t>0₫</w:t>
            </w:r>
          </w:p>
        </w:tc>
      </w:tr>
    </w:tbl>
    <w:p>
      <w:pPr>
        <w:spacing w:before="120" w:after="160"/>
        <w:jc w:val="center"/>
      </w:pPr>
      <w:r>
        <w:rPr>
          <w:rFonts w:ascii="Times New Roman" w:hAnsi="Times New Roman"/>
          <w:b/>
          <w:color w:val="0F4A34"/>
          <w:sz w:val="25"/>
        </w:rPr>
        <w:t>=&gt; Tong dong tien Ket Escrow = Can bang so cai kep tuyet doi (Zero-Leakage)</w:t>
      </w:r>
    </w:p>
    <w:p>
      <w:pPr>
        <w:keepNext/>
        <w:spacing w:before="280" w:after="80"/>
      </w:pPr>
      <w:r>
        <w:rPr>
          <w:rFonts w:ascii="Times New Roman" w:hAnsi="Times New Roman"/>
          <w:b/>
          <w:color w:val="0F4A34"/>
          <w:sz w:val="27"/>
        </w:rPr>
        <w:t>IV. CƠ CHẾ XỬ LÝ 3 TRƯỜNG HỢP BIÊN (EDGE CASES)</w:t>
      </w:r>
    </w:p>
    <w:p>
      <w:pPr>
        <w:pStyle w:val="ListBullet"/>
        <w:spacing w:after="60"/>
        <w:jc w:val="both"/>
      </w:pPr>
      <w:r>
        <w:rPr>
          <w:rFonts w:ascii="Times New Roman" w:hAnsi="Times New Roman"/>
          <w:b/>
          <w:sz w:val="26"/>
        </w:rPr>
        <w:t xml:space="preserve">Trường hợp 1: Khách hủy đơn trước khi bàn giao cho GHN: </w:t>
      </w:r>
      <w:r>
        <w:rPr>
          <w:rFonts w:ascii="Times New Roman" w:hAnsi="Times New Roman"/>
          <w:sz w:val="26"/>
        </w:rPr>
        <w:t>Hệ thống kích hoạt lệnh hoàn trả 100% toàn bộ số tiền (Tiền thuê + Tiền cọc + 25.000đ cước ship) về tài khoản của khách qua cổng ngân hàng.</w:t>
      </w:r>
    </w:p>
    <w:p>
      <w:pPr>
        <w:pStyle w:val="ListBullet"/>
        <w:spacing w:after="60"/>
        <w:jc w:val="both"/>
      </w:pPr>
      <w:r>
        <w:rPr>
          <w:rFonts w:ascii="Times New Roman" w:hAnsi="Times New Roman"/>
          <w:b/>
          <w:sz w:val="26"/>
        </w:rPr>
        <w:t xml:space="preserve">Trường hợp 2: Khách hủy đơn khi shipper GHN đã tiếp nhận hàng: </w:t>
      </w:r>
      <w:r>
        <w:rPr>
          <w:rFonts w:ascii="Times New Roman" w:hAnsi="Times New Roman"/>
          <w:sz w:val="26"/>
        </w:rPr>
        <w:t>Khoản cước 25.000đ chiều đi bị giữ lại để thanh toán chi phí vận hành cho bưu chính; hệ thống chỉ hoàn trả lại tiền thuê và tiền cọc cho khách.</w:t>
      </w:r>
    </w:p>
    <w:p>
      <w:pPr>
        <w:pStyle w:val="ListBullet"/>
        <w:spacing w:after="60"/>
        <w:jc w:val="both"/>
      </w:pPr>
      <w:r>
        <w:rPr>
          <w:rFonts w:ascii="Times New Roman" w:hAnsi="Times New Roman"/>
          <w:b/>
          <w:sz w:val="26"/>
        </w:rPr>
        <w:t xml:space="preserve">Trường hợp 3: Phát sinh khiếu nại / Hư hỏng trang phục (Dispute): </w:t>
      </w:r>
      <w:r>
        <w:rPr>
          <w:rFonts w:ascii="Times New Roman" w:hAnsi="Times New Roman"/>
          <w:sz w:val="26"/>
        </w:rPr>
        <w:t>Két Escrow đóng băng ngay lập tức khoản cọc 1.000.000đ. Phí vận chuyển 2 chiều thực tế (42.000đ) vẫn được tất toán sòng phẳng cho GHN. Hội đồng Trọng tài tiếp nhận biên bản video mở hộp trên /admin/disputes để ra phán quyết trích cọc bồi thường cho chủ tủ.</w:t>
      </w:r>
    </w:p>
    <w:p>
      <w:pPr>
        <w:keepNext/>
        <w:spacing w:before="280" w:after="80"/>
      </w:pPr>
      <w:r>
        <w:rPr>
          <w:rFonts w:ascii="Times New Roman" w:hAnsi="Times New Roman"/>
          <w:b/>
          <w:color w:val="0F4A34"/>
          <w:sz w:val="27"/>
        </w:rPr>
        <w:t>V. QUY TRÌNH VẬN HÀNH 4 GIAI ĐOẠN CỦA CHỦ TỦ (/my-closet)</w:t>
      </w:r>
    </w:p>
    <w:p>
      <w:pPr>
        <w:pStyle w:val="ListBullet"/>
        <w:spacing w:after="60"/>
        <w:jc w:val="both"/>
      </w:pPr>
      <w:r>
        <w:rPr>
          <w:rFonts w:ascii="Times New Roman" w:hAnsi="Times New Roman"/>
          <w:b/>
          <w:sz w:val="26"/>
        </w:rPr>
        <w:t xml:space="preserve">Giai đoạn 1: Tiếp nhận đơn &amp; Đóng gói: </w:t>
      </w:r>
      <w:r>
        <w:rPr>
          <w:rFonts w:ascii="Times New Roman" w:hAnsi="Times New Roman"/>
          <w:sz w:val="26"/>
        </w:rPr>
        <w:t>Chỉ khi nhận được Webhook từ PayOS báo trạng thái đã khóa 100% tiền cọc và tiền thuê, chủ tủ mới nhận thông báo đóng gói. Chủ tủ bấm 'Đã đóng gói &amp; Gọi shipper' -&gt; Hệ thống tự sinh mã vận đơn ẩn danh (Masked Shipping Label) bảo mật thông tin cá nhân.</w:t>
      </w:r>
    </w:p>
    <w:p>
      <w:pPr>
        <w:pStyle w:val="ListBullet"/>
        <w:spacing w:after="60"/>
        <w:jc w:val="both"/>
      </w:pPr>
      <w:r>
        <w:rPr>
          <w:rFonts w:ascii="Times New Roman" w:hAnsi="Times New Roman"/>
          <w:b/>
          <w:sz w:val="26"/>
        </w:rPr>
        <w:t xml:space="preserve">Giai đoạn 2: Bàn giao &amp; Kích hoạt chu trình thuê: </w:t>
      </w:r>
      <w:r>
        <w:rPr>
          <w:rFonts w:ascii="Times New Roman" w:hAnsi="Times New Roman"/>
          <w:sz w:val="26"/>
        </w:rPr>
        <w:t>Shipper GHN đến lấy hàng tận nhà chủ tủ. Đồng hồ thời gian thuê (1 ngày, 3 ngày, 7 ngày) chỉ chính thức đếm ngược khi trạng thái đơn hàng trên GHN chuyển sang Đã giao hàng thành công (Delivered).</w:t>
      </w:r>
    </w:p>
    <w:p>
      <w:pPr>
        <w:pStyle w:val="ListBullet"/>
        <w:spacing w:after="60"/>
        <w:jc w:val="both"/>
      </w:pPr>
      <w:r>
        <w:rPr>
          <w:rFonts w:ascii="Times New Roman" w:hAnsi="Times New Roman"/>
          <w:b/>
          <w:sz w:val="26"/>
        </w:rPr>
        <w:t xml:space="preserve">Giai đoạn 3: Thu hồi đồ tự động 1-Click: </w:t>
      </w:r>
      <w:r>
        <w:rPr>
          <w:rFonts w:ascii="Times New Roman" w:hAnsi="Times New Roman"/>
          <w:sz w:val="26"/>
        </w:rPr>
        <w:t>Hết hạn thuê, hệ thống tự động kích hoạt mã vận đơn chiều về trả trước (Pre-paid). Khách bàn giao đồ cho bưu tá mà không phải trả tiền mặt. Chủ tủ theo dõi tiến trình bưu phẩm hoàn hồi về tủ đồ.</w:t>
      </w:r>
    </w:p>
    <w:p>
      <w:pPr>
        <w:pStyle w:val="ListBullet"/>
        <w:spacing w:after="60"/>
        <w:jc w:val="both"/>
      </w:pPr>
      <w:r>
        <w:rPr>
          <w:rFonts w:ascii="Times New Roman" w:hAnsi="Times New Roman"/>
          <w:b/>
          <w:sz w:val="26"/>
        </w:rPr>
        <w:t xml:space="preserve">Giai đoạn 4: Nghiệm thu &amp; Nhận Payout tự động: </w:t>
      </w:r>
      <w:r>
        <w:rPr>
          <w:rFonts w:ascii="Times New Roman" w:hAnsi="Times New Roman"/>
          <w:sz w:val="26"/>
        </w:rPr>
        <w:t>Sau khi nhận lại bưu phẩm, chủ tủ có 24 giờ để kiểm tra. Bấm 'Xác nhận nguyên vẹn' (hoặc hết 24h không có khiếu nại) -&gt; Két Escrow nhả cọc 100% cho khách và tự động chuyển tiền Payout đã cấn trừ phí ship về tài khoản ngân hàng của chủ tủ.</w:t>
      </w:r>
    </w:p>
    <w:p>
      <w:pPr>
        <w:keepNext/>
        <w:spacing w:before="280" w:after="80"/>
      </w:pPr>
      <w:r>
        <w:rPr>
          <w:rFonts w:ascii="Times New Roman" w:hAnsi="Times New Roman"/>
          <w:b/>
          <w:color w:val="0F4A34"/>
          <w:sz w:val="27"/>
        </w:rPr>
        <w:t>VI. BÀI TOÁN KINH TẾ HỌC &amp; CHIẾN DỊCH 'FOUNDING 100'</w:t>
      </w:r>
    </w:p>
    <w:p>
      <w:pPr>
        <w:keepNext/>
        <w:spacing w:before="160" w:after="60"/>
      </w:pPr>
      <w:r>
        <w:rPr>
          <w:rFonts w:ascii="Times New Roman" w:hAnsi="Times New Roman"/>
          <w:b/>
          <w:color w:val="183A2D"/>
          <w:sz w:val="26"/>
        </w:rPr>
        <w:t>1. Bảng So Sánh Đặc Quyền Thành Viên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3024"/>
        <w:gridCol w:w="3024"/>
        <w:gridCol w:w="3024"/>
      </w:tblGrid>
      <w:tr>
        <w:tc>
          <w:tcPr>
            <w:tcW w:type="dxa" w:w="3024"/>
            <w:shd w:fill="E6F4EA"/>
            <w:tcMar>
              <w:top w:w="120" w:type="dxa"/>
              <w:bottom w:w="120" w:type="dxa"/>
              <w:left w:w="150" w:type="dxa"/>
              <w:right w:w="150" w:type="dxa"/>
            </w:tcMar>
          </w:tcPr>
          <w:p>
            <w:pPr>
              <w:jc w:val="center"/>
            </w:pPr>
            <w:r>
              <w:rPr>
                <w:rFonts w:ascii="Times New Roman" w:hAnsi="Times New Roman"/>
                <w:b/>
                <w:color w:val="0A2517"/>
                <w:sz w:val="24"/>
              </w:rPr>
              <w:t>Tiêu chí</w:t>
            </w:r>
          </w:p>
        </w:tc>
        <w:tc>
          <w:tcPr>
            <w:tcW w:type="dxa" w:w="3024"/>
            <w:shd w:fill="E6F4EA"/>
            <w:tcMar>
              <w:top w:w="120" w:type="dxa"/>
              <w:bottom w:w="120" w:type="dxa"/>
              <w:left w:w="150" w:type="dxa"/>
              <w:right w:w="150" w:type="dxa"/>
            </w:tcMar>
          </w:tcPr>
          <w:p>
            <w:pPr>
              <w:jc w:val="center"/>
            </w:pPr>
            <w:r>
              <w:rPr>
                <w:rFonts w:ascii="Times New Roman" w:hAnsi="Times New Roman"/>
                <w:b/>
                <w:color w:val="0A2517"/>
                <w:sz w:val="24"/>
              </w:rPr>
              <w:t>Thành viên tiêu chuẩn</w:t>
            </w:r>
          </w:p>
        </w:tc>
        <w:tc>
          <w:tcPr>
            <w:tcW w:type="dxa" w:w="3024"/>
            <w:shd w:fill="E6F4EA"/>
            <w:tcMar>
              <w:top w:w="120" w:type="dxa"/>
              <w:bottom w:w="120" w:type="dxa"/>
              <w:left w:w="150" w:type="dxa"/>
              <w:right w:w="150" w:type="dxa"/>
            </w:tcMar>
          </w:tcPr>
          <w:p>
            <w:pPr>
              <w:jc w:val="center"/>
            </w:pPr>
            <w:r>
              <w:rPr>
                <w:rFonts w:ascii="Times New Roman" w:hAnsi="Times New Roman"/>
                <w:b/>
                <w:color w:val="0A2517"/>
                <w:sz w:val="24"/>
              </w:rPr>
              <w:t>Thành viên Founding 100</w:t>
            </w:r>
          </w:p>
        </w:tc>
      </w:tr>
      <w:tr>
        <w:tc>
          <w:tcPr>
            <w:tcW w:type="dxa" w:w="3024"/>
            <w:shd w:fill="FFFFFF"/>
            <w:tcMar>
              <w:top w:w="100" w:type="dxa"/>
              <w:bottom w:w="100" w:type="dxa"/>
              <w:left w:w="150" w:type="dxa"/>
              <w:right w:w="150" w:type="dxa"/>
            </w:tcMar>
          </w:tcPr>
          <w:p>
            <w:pPr>
              <w:jc w:val="left"/>
            </w:pPr>
            <w:r>
              <w:rPr>
                <w:rFonts w:ascii="Times New Roman" w:hAnsi="Times New Roman"/>
                <w:sz w:val="24"/>
              </w:rPr>
              <w:t>Phí dịch vụ sàn (Take-rate)</w:t>
            </w:r>
          </w:p>
        </w:tc>
        <w:tc>
          <w:tcPr>
            <w:tcW w:type="dxa" w:w="3024"/>
            <w:shd w:fill="FFFFFF"/>
            <w:tcMar>
              <w:top w:w="100" w:type="dxa"/>
              <w:bottom w:w="100" w:type="dxa"/>
              <w:left w:w="150" w:type="dxa"/>
              <w:right w:w="150" w:type="dxa"/>
            </w:tcMar>
          </w:tcPr>
          <w:p>
            <w:pPr>
              <w:jc w:val="center"/>
            </w:pPr>
            <w:r>
              <w:rPr>
                <w:rFonts w:ascii="Times New Roman" w:hAnsi="Times New Roman"/>
                <w:sz w:val="24"/>
              </w:rPr>
              <w:t>12% - 15% / đơn</w:t>
            </w:r>
          </w:p>
        </w:tc>
        <w:tc>
          <w:tcPr>
            <w:tcW w:type="dxa" w:w="3024"/>
            <w:shd w:fill="FFFFFF"/>
            <w:tcMar>
              <w:top w:w="100" w:type="dxa"/>
              <w:bottom w:w="100" w:type="dxa"/>
              <w:left w:w="150" w:type="dxa"/>
              <w:right w:w="150" w:type="dxa"/>
            </w:tcMar>
          </w:tcPr>
          <w:p>
            <w:pPr>
              <w:jc w:val="center"/>
            </w:pPr>
            <w:r>
              <w:rPr>
                <w:rFonts w:ascii="Times New Roman" w:hAnsi="Times New Roman"/>
                <w:sz w:val="24"/>
              </w:rPr>
              <w:t>Miễn phí 0% (trong 3 - 6 tháng)</w:t>
            </w:r>
          </w:p>
        </w:tc>
      </w:tr>
      <w:tr>
        <w:tc>
          <w:tcPr>
            <w:tcW w:type="dxa" w:w="3024"/>
            <w:shd w:fill="F9FBF9"/>
            <w:tcMar>
              <w:top w:w="100" w:type="dxa"/>
              <w:bottom w:w="100" w:type="dxa"/>
              <w:left w:w="150" w:type="dxa"/>
              <w:right w:w="150" w:type="dxa"/>
            </w:tcMar>
          </w:tcPr>
          <w:p>
            <w:pPr>
              <w:jc w:val="left"/>
            </w:pPr>
            <w:r>
              <w:rPr>
                <w:rFonts w:ascii="Times New Roman" w:hAnsi="Times New Roman"/>
                <w:sz w:val="24"/>
              </w:rPr>
              <w:t>Doanh thu thực nhận (Payout)</w:t>
            </w:r>
          </w:p>
        </w:tc>
        <w:tc>
          <w:tcPr>
            <w:tcW w:type="dxa" w:w="3024"/>
            <w:shd w:fill="F9FBF9"/>
            <w:tcMar>
              <w:top w:w="100" w:type="dxa"/>
              <w:bottom w:w="100" w:type="dxa"/>
              <w:left w:w="150" w:type="dxa"/>
              <w:right w:w="150" w:type="dxa"/>
            </w:tcMar>
          </w:tcPr>
          <w:p>
            <w:pPr>
              <w:jc w:val="center"/>
            </w:pPr>
            <w:r>
              <w:rPr>
                <w:rFonts w:ascii="Times New Roman" w:hAnsi="Times New Roman"/>
                <w:sz w:val="24"/>
              </w:rPr>
              <w:t>Tiền thuê - 12% - 25k ship về</w:t>
            </w:r>
          </w:p>
        </w:tc>
        <w:tc>
          <w:tcPr>
            <w:tcW w:type="dxa" w:w="3024"/>
            <w:shd w:fill="F9FBF9"/>
            <w:tcMar>
              <w:top w:w="100" w:type="dxa"/>
              <w:bottom w:w="100" w:type="dxa"/>
              <w:left w:w="150" w:type="dxa"/>
              <w:right w:w="150" w:type="dxa"/>
            </w:tcMar>
          </w:tcPr>
          <w:p>
            <w:pPr>
              <w:jc w:val="center"/>
            </w:pPr>
            <w:r>
              <w:rPr>
                <w:rFonts w:ascii="Times New Roman" w:hAnsi="Times New Roman"/>
                <w:sz w:val="24"/>
              </w:rPr>
              <w:t>Tiền thuê - 0% - 25k ship về</w:t>
            </w:r>
          </w:p>
        </w:tc>
      </w:tr>
      <w:tr>
        <w:tc>
          <w:tcPr>
            <w:tcW w:type="dxa" w:w="3024"/>
            <w:shd w:fill="FFFFFF"/>
            <w:tcMar>
              <w:top w:w="100" w:type="dxa"/>
              <w:bottom w:w="100" w:type="dxa"/>
              <w:left w:w="150" w:type="dxa"/>
              <w:right w:w="150" w:type="dxa"/>
            </w:tcMar>
          </w:tcPr>
          <w:p>
            <w:pPr>
              <w:jc w:val="left"/>
            </w:pPr>
            <w:r>
              <w:rPr>
                <w:rFonts w:ascii="Times New Roman" w:hAnsi="Times New Roman"/>
                <w:sz w:val="24"/>
              </w:rPr>
              <w:t>Huy hiệu hồ sơ</w:t>
            </w:r>
          </w:p>
        </w:tc>
        <w:tc>
          <w:tcPr>
            <w:tcW w:type="dxa" w:w="3024"/>
            <w:shd w:fill="FFFFFF"/>
            <w:tcMar>
              <w:top w:w="100" w:type="dxa"/>
              <w:bottom w:w="100" w:type="dxa"/>
              <w:left w:w="150" w:type="dxa"/>
              <w:right w:w="150" w:type="dxa"/>
            </w:tcMar>
          </w:tcPr>
          <w:p>
            <w:pPr>
              <w:jc w:val="center"/>
            </w:pPr>
            <w:r>
              <w:rPr>
                <w:rFonts w:ascii="Times New Roman" w:hAnsi="Times New Roman"/>
                <w:sz w:val="24"/>
              </w:rPr>
              <w:t>Thành viên mới</w:t>
            </w:r>
          </w:p>
        </w:tc>
        <w:tc>
          <w:tcPr>
            <w:tcW w:type="dxa" w:w="3024"/>
            <w:shd w:fill="FFFFFF"/>
            <w:tcMar>
              <w:top w:w="100" w:type="dxa"/>
              <w:bottom w:w="100" w:type="dxa"/>
              <w:left w:w="150" w:type="dxa"/>
              <w:right w:w="150" w:type="dxa"/>
            </w:tcMar>
          </w:tcPr>
          <w:p>
            <w:pPr>
              <w:jc w:val="center"/>
            </w:pPr>
            <w:r>
              <w:rPr>
                <w:rFonts w:ascii="Times New Roman" w:hAnsi="Times New Roman"/>
                <w:sz w:val="24"/>
              </w:rPr>
              <w:t>Huy hiệu độc quyền Founding Closet ⭐</w:t>
            </w:r>
          </w:p>
        </w:tc>
      </w:tr>
      <w:tr>
        <w:tc>
          <w:tcPr>
            <w:tcW w:type="dxa" w:w="3024"/>
            <w:shd w:fill="F9FBF9"/>
            <w:tcMar>
              <w:top w:w="100" w:type="dxa"/>
              <w:bottom w:w="100" w:type="dxa"/>
              <w:left w:w="150" w:type="dxa"/>
              <w:right w:w="150" w:type="dxa"/>
            </w:tcMar>
          </w:tcPr>
          <w:p>
            <w:pPr>
              <w:jc w:val="left"/>
            </w:pPr>
            <w:r>
              <w:rPr>
                <w:rFonts w:ascii="Times New Roman" w:hAnsi="Times New Roman"/>
                <w:sz w:val="24"/>
              </w:rPr>
              <w:t>Thuật toán hiển thị</w:t>
            </w:r>
          </w:p>
        </w:tc>
        <w:tc>
          <w:tcPr>
            <w:tcW w:type="dxa" w:w="3024"/>
            <w:shd w:fill="F9FBF9"/>
            <w:tcMar>
              <w:top w:w="100" w:type="dxa"/>
              <w:bottom w:w="100" w:type="dxa"/>
              <w:left w:w="150" w:type="dxa"/>
              <w:right w:w="150" w:type="dxa"/>
            </w:tcMar>
          </w:tcPr>
          <w:p>
            <w:pPr>
              <w:jc w:val="center"/>
            </w:pPr>
            <w:r>
              <w:rPr>
                <w:rFonts w:ascii="Times New Roman" w:hAnsi="Times New Roman"/>
                <w:sz w:val="24"/>
              </w:rPr>
              <w:t>Xếp hạng tự nhiên</w:t>
            </w:r>
          </w:p>
        </w:tc>
        <w:tc>
          <w:tcPr>
            <w:tcW w:type="dxa" w:w="3024"/>
            <w:shd w:fill="F9FBF9"/>
            <w:tcMar>
              <w:top w:w="100" w:type="dxa"/>
              <w:bottom w:w="100" w:type="dxa"/>
              <w:left w:w="150" w:type="dxa"/>
              <w:right w:w="150" w:type="dxa"/>
            </w:tcMar>
          </w:tcPr>
          <w:p>
            <w:pPr>
              <w:jc w:val="center"/>
            </w:pPr>
            <w:r>
              <w:rPr>
                <w:rFonts w:ascii="Times New Roman" w:hAnsi="Times New Roman"/>
                <w:sz w:val="24"/>
              </w:rPr>
              <w:t>Đẩy thẳng lên Top Đề Xuất Trang Chủ</w:t>
            </w:r>
          </w:p>
        </w:tc>
      </w:tr>
    </w:tbl>
    <w:p>
      <w:pPr>
        <w:keepNext/>
        <w:spacing w:before="160" w:after="60"/>
      </w:pPr>
      <w:r>
        <w:rPr>
          <w:rFonts w:ascii="Times New Roman" w:hAnsi="Times New Roman"/>
          <w:b/>
          <w:color w:val="183A2D"/>
          <w:sz w:val="26"/>
        </w:rPr>
        <w:t>2. Lộ Trình 3 Giai Đoạn Chuyển Đổi Sinh Lời</w:t>
      </w:r>
    </w:p>
    <w:p>
      <w:pPr>
        <w:pStyle w:val="ListBullet"/>
        <w:spacing w:after="60"/>
        <w:jc w:val="both"/>
      </w:pPr>
      <w:r>
        <w:rPr>
          <w:rFonts w:ascii="Times New Roman" w:hAnsi="Times New Roman"/>
          <w:b/>
          <w:sz w:val="26"/>
        </w:rPr>
        <w:t xml:space="preserve">Giai đoạn 1 (Thâm nhập &amp; Tích lũy Nguồn cung): </w:t>
      </w:r>
      <w:r>
        <w:rPr>
          <w:rFonts w:ascii="Times New Roman" w:hAnsi="Times New Roman"/>
          <w:sz w:val="26"/>
        </w:rPr>
        <w:t>Áp dụng 0% phí sàn để thu hút 100 chủ tủ chất lượng cao đầu tiên, thiết lập 100 giao dịch tuần hoàn chuẩn mực.</w:t>
      </w:r>
    </w:p>
    <w:p>
      <w:pPr>
        <w:pStyle w:val="ListBullet"/>
        <w:spacing w:after="60"/>
        <w:jc w:val="both"/>
      </w:pPr>
      <w:r>
        <w:rPr>
          <w:rFonts w:ascii="Times New Roman" w:hAnsi="Times New Roman"/>
          <w:b/>
          <w:sz w:val="26"/>
        </w:rPr>
        <w:t xml:space="preserve">Giai đoạn 2 (Tạo lập thói quen kinh doanh): </w:t>
      </w:r>
      <w:r>
        <w:rPr>
          <w:rFonts w:ascii="Times New Roman" w:hAnsi="Times New Roman"/>
          <w:sz w:val="26"/>
        </w:rPr>
        <w:t>Chủ tủ hình thành thói quen tạo dòng tiền thụ động từ tủ đồ nhàn rỗi, gắn bó mật thiết với hạ tầng vận hành tự động của CLOOP.</w:t>
      </w:r>
    </w:p>
    <w:p>
      <w:pPr>
        <w:pStyle w:val="ListBullet"/>
        <w:spacing w:after="60"/>
        <w:jc w:val="both"/>
      </w:pPr>
      <w:r>
        <w:rPr>
          <w:rFonts w:ascii="Times New Roman" w:hAnsi="Times New Roman"/>
          <w:b/>
          <w:sz w:val="26"/>
        </w:rPr>
        <w:t xml:space="preserve">Giai đoạn 3 (Thu phí &amp; Tạo lập lợi nhuận bền vững): </w:t>
      </w:r>
      <w:r>
        <w:rPr>
          <w:rFonts w:ascii="Times New Roman" w:hAnsi="Times New Roman"/>
          <w:sz w:val="26"/>
        </w:rPr>
        <w:t>Áp dụng mức phí sàn 12%. Chủ tủ sẵn sàng chi trả vì nền tảng đã thay họ gánh vác toàn bộ rủi ro tài chính, điều phối vận chuyển và liên tục cung cấp tệp khách hàng mới.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