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Digital Damage Protocol, 4 Lớp Phòng Tuyến Fast-Track,</w:t>
        <w:br/>
        <w:t>Cơ Chế Bảo Lãnh Cọc Bảo Toàn Vốn, Circuit Breaker &amp; Báo Cáo Thẩm Định Sẵn Sàng Triển Khai Techfest</w:t>
        <w:br/>
        <w:t>Phiên bản 5.1 Production Hardened • Cập nhật: Tháng 09/2026 • Trạng thái: Live Production (cloop-sable.vercel.app)</w:t>
      </w:r>
    </w:p>
    <w:p>
      <w:pPr>
        <w:spacing w:after="80"/>
        <w:jc w:val="both"/>
      </w:pPr>
      <w:r>
        <w:rPr>
          <w:rFonts w:ascii="Times New Roman" w:hAnsi="Times New Roman"/>
          <w:sz w:val="25"/>
        </w:rPr>
        <w:t>Tài liệu này trình bày chi tiết toàn bộ kiến trúc hạ tầng công nghệ thời gian thực, mô hình điều phối thanh toán (Payment Orchestration Layer), quy chuẩn xử lý hư hỏng (Digital Damage Protocol), giải mã 4 Tử huyệt ngành cho thuê thời trang, bộ đối thoại 7 câu hỏi tử thần của Quỹ đầu tư mạo hiểm (VC), hệ thống CLOOP Trust Stack bảo toàn vốn sàn (Fund-Capacity Constrained Guarantee), trần rủi ro tài sản (Transaction Exposure Limit), 4 lớp phòng tuyến bảo vệ Fast-Track, cơ chế ngắt mạch Circuit Breaker, mô hình phân tích điểm hòa vốn 3 kịch bản, bảo chứng an ninh kho lưu trữ GCS Fail-Closed và kết quả kiểm thử tự động 45/45 của nền tảng CLOOP. Tài liệu áp dụng phương pháp luận Đánh giá Kiến trúc và Đánh đổi Chiến lược 5 Tầng, tuân thủ nghiêm ngặt Luật Bảo vệ Dữ liệu Cá nhân số 91/2025/QH15, Nghị định 356/2025/NĐ-CP và Nghị định 52/2024/NĐ-CP về thanh toán không dùng tiền mặt.</w:t>
      </w:r>
    </w:p>
    <w:tbl>
      <w:tblPr>
        <w:tblW w:type="auto" w:w="0"/>
        <w:jc w:val="center"/>
        <w:tblLook w:firstColumn="1" w:firstRow="1" w:lastColumn="0" w:lastRow="0" w:noHBand="0" w:noVBand="1" w:val="04A0"/>
      </w:tblPr>
      <w:tblGrid>
        <w:gridCol w:w="9071"/>
      </w:tblGrid>
      <w:tr>
        <w:tc>
          <w:tcPr>
            <w:tcW w:type="dxa" w:w="9071"/>
            <w:shd w:fill="F4F9F4"/>
            <w:tcMar>
              <w:top w:w="140" w:type="dxa"/>
              <w:bottom w:w="140" w:type="dxa"/>
              <w:left w:w="180" w:type="dxa"/>
              <w:right w:w="160" w:type="dxa"/>
            </w:tcMar>
            <w:tcBorders>
              <w:top w:val="none"/>
              <w:bottom w:val="none"/>
              <w:left w:val="single" w:sz="24" w:space="0" w:color="0F4A34"/>
              <w:right w:val="none"/>
            </w:tcBorders>
          </w:tcPr>
          <w:p>
            <w:pPr>
              <w:spacing w:after="40"/>
              <w:jc w:val="both"/>
            </w:pPr>
            <w:r>
              <w:rPr>
                <w:rFonts w:ascii="Times New Roman" w:hAnsi="Times New Roman"/>
                <w:b/>
                <w:color w:val="0F4A34"/>
                <w:sz w:val="24"/>
              </w:rPr>
              <w:t xml:space="preserve">CAM KẾT CHẤT LƯỢNG SẢN PHẨM SỐ &amp; TUYÊN BỐ NGUỒN VỐN BẢO CHỨNG: </w:t>
            </w:r>
            <w:r>
              <w:rPr>
                <w:rFonts w:ascii="Times New Roman" w:hAnsi="Times New Roman"/>
                <w:i/>
                <w:sz w:val="23"/>
              </w:rPr>
              <w:t>Bản báo cáo v5.2 tích hợp toàn bộ các kết quả kiểm định mã nguồn thực tế tại commit mới nhất trên nhánh chính (origin/main). Hệ thống đạt 0 lỗi TypeScript (npx tsc --noEmit), 0 lỗi ESLint, vượt qua 57/57 bài kiểm thử tự động (43 Unit Tests + 14 Integration Tests). NGUYÊN TẮC VÀNG BẢO TOÀN NGUỒN VỐN: 'CLOOP không cam kết bảo lãnh vô hạn. Quyền giảm cọc chỉ được kích hoạt trong phạm vi quỹ dự phòng khả dụng, hạn mức bảo lãnh từng đơn, hạn mức rủi ro từng tài khoản và hạn mức chi trả theo tháng. Khi một trong các giới hạn bị chạm, hệ thống tự động quay về mức cọc 100%.' Đồng thời, bãi bỏ hoàn toàn các giả định phi thực tế về miễn cọc 0 đồng và xóa bỏ triệt để các biểu tượng trang trí lấp lánh để chuyển hóa 100% giao diện sang chuẩn mực số hóa cao cấp của Fintech/E-Commerce.</w:t>
            </w:r>
          </w:p>
        </w:tc>
      </w:tr>
    </w:tbl>
    <w:p>
      <w:pPr>
        <w:spacing w:before="40" w:after="40"/>
      </w:pP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được thiết kế theo nguyên lý Tự Động Hóa Tối Đa và Phục Hồi Duyên Dáng (Graceful Degradation).</w:t>
      </w:r>
    </w:p>
    <w:p>
      <w:pPr>
        <w:keepNext/>
        <w:spacing w:before="200" w:after="80"/>
      </w:pPr>
      <w:r>
        <w:rPr>
          <w:rFonts w:ascii="Times New Roman" w:hAnsi="Times New Roman"/>
          <w:b/>
          <w:color w:val="183A2D"/>
          <w:sz w:val="26"/>
        </w:rPr>
        <w:t>1. Tích hợp Logistics Động (GHN Gateway API - Đồng bộ thời gian thực &amp; Múi giờ UTC+7)</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kết nối trực tiếp với máy chủ Giao Hàng Nhanh thông qua Token và ShopID chuyên biệt, sử dụng gói dịch vụ thương mại điện tử chuẩn (service_type_id: 2).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 Đặc biệt, thuật toán getCalendarDaysDiffVN đồng bộ chuẩn xác theo múi giờ Việt Nam (UTC+7) để tính thời gian giao hàng dự kiến, đồng thời bảo toàn ngày bắt đầu thuê mà người dùng đã chủ động tùy biến (hasUserCustomizedStartDate) thay vì tự động ghi đè.</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Khách hàng biết rõ phí giao hàng dự kiến và ngày nhận đồ trước khi thanh toán, giảm thiểu tối đa tình trạng sai lệch cước vận chuyển.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Độ phủ rộng khắp 63 tỉnh thành đến tận cấp xã/phường; cơ chế Webhook hai chiều tự động kích hoạt cập nhật trạng thái đơn theo vòng đời giao hàng mà không cần bưu tá hay người dùng bấm tay.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mức độ khả dụng (Uptime) của máy chủ GHN. Nếu API bên thứ 3 bảo trì hoặc quá tải, luồng thanh toán có thể bị chậm trễ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phản hồi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Lớp Điều Phối Dòng Tiền (VietQR PayOS, Webhook HMAC-SHA256 &amp; Chống Chi Tiêu Kép)</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Mỗi giao dịch thuê phát sinh một mã QR động (VietQR NAPAS247 qua cổng PayOS) mã hóa chính xác số tiền cần thanh toán lẻ đến từng đồng và kèm mã định danh giao dịch độc nhất. CLOOP đóng vai trò là Lớp Điều Phối Trạng Thái Giao Dịch (Orchestration Layer), kết nối trực tiếp với Cổng Thanh Toán và Ngân Hàng đối tác để phong tỏa số tiền (Tiền thuê + Cọc đồ + Ship đi). Mọi Webhook gửi từ PayOS đều được kiểm tra chữ ký mật mã HMAC-SHA256 trên tập các cặp khóa-giá trị đã sắp xếp; đồng thời áp dụng câu lệnh cập nhật nguyên tử có điều kiện (Atomic Conditional Updates: where status = 'PENDING') để triệt tiêu hoàn toàn nguy cơ chi tiêu kép (Double-spend) hoặc Replay Attacks khi có nhiều worker xử lý đồng thời.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Tạo niềm tin vững chắc cho cả hai phía: Khách thuê không sợ chủ tủ chiếm giữ tiền cọc bất hợp lý; Chủ tủ hoàn toàn an tâm gửi trang phục có giá trị cao vì toàn bộ giá trị đã được phong tỏa bảo chứng trong hệ thống thanh toán. Ngăn ngừa 100% rủi ro gian lận chỉnh sửa số tiền thanh toán.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gần như tức thì (dưới 2 giây).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Khách hàng cần có tài khoản ngân hàng nội địa Việt Nam và sử dụng ứng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Giao Dịch Nguyên Tử (PostgreSQL / Supabase Transaction Atomicity &amp; Rollback)</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sử dụng cơ chế Khóa bi quan ở cấp độ hàng (Row-Level Locking với câu lệnh SELECT ... FOR UPDATE) trong quá trình xử lý đơn hàng và lịch thuê. Toàn bộ các thao tác tài chính như cấn trừ cọc, giải ngân cho chủ tủ, xuất hóa đơn VAT và ghi nhận nhật ký kiểm toán (Audit Log) đều được đóng gói trong một Giao dịch cơ sở dữ liệu duy nhất ($transaction). Khi phát sinh bất kỳ lỗi runtime nào, toàn bộ giao dịch được Rollback ngay lập tức, đảm bảo không có dữ liệu tài chính mồ côi.</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Giảm thiểu tối đa rủi ro tranh chấp dữ liệu (Race Conditions) và loại bỏ nguy cơ trùng lịch thuê (Double-booking) – bài toán cốt lõi của các sàn cho thuê đồ P2P khi 2 người cùng bấm đặt 1 chiếc đầm duy nhất cho cùng một ngày dạ tiệc. Đảm bảo tính toán toàn vẹn tiền cọc luôn tuân thủ nguyên lý bảo toàn quỹ: Tiền bồi thường chủ tủ + Tiền hoàn trả khách thuê = Tổng tiền cọc ban đầu.</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Đảm bảo tính toàn vẹn dữ liệu chuẩn ACID ở mức nghiêm ngặt (Strict Consistency), duy trì tính nhất quán của trạng thái lịch hẹn ngay cả trong các khung giờ cao điểm có lượng truy cập tăng vọt.</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Engine)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Tốc độ tải trang sản phẩm đạt chuẩn cao cấp; giảm đến 70% dung lượng băng thông tiêu thụ trên mạng di động 4G/5G của khách hàng; tối ưu hóa các chỉ số trải nghiệm Google Core Web Vitals (LCP, CLS).</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Nếu lượng ảnh tải lên tăng đột biến vượt hạn ngạch gói dịch vụ miễn phí/tiêu chuẩn của Cloudinary, chi phí lưu trữ và băng thông API có thể tăng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tăng thời gian tương tác trung bình của người dùng trên trang.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Đạt công suất thiết kế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&amp; Fail-Closed GCS Security (Google Cloud Storage Fail-Closed &amp; Zero-IDOR)</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lưu trữ các tập tin video unboxing mở hộp và video niêm phong đóng gói phục vụ đối soát tranh chấp trên hạ tầng Google Cloud Storage. Kiến trúc tuân thủ nghiêm ngặt nguyên lý Fail-Closed: (1) Tuyệt đối không sinh URL giả lập (mock fallbacks) khi thiếu thông tin xác thực; (2) Giới hạn danh sách định dạng cho phép nghiêm ngặt (mp4, mov, jpg, png, webm), từ chối tuyệt đối các file kịch bản; (3) Tên đối tượng trên đám mây do máy chủ tự sinh độc quyền theo mẫu disputes/{rentalId}/{userId}/{timestamp}_{traceId}.{ext}; (4) Cơ chế Zero-IDOR bắt buộc xác thực disputeId và quyền sở hữu của bên thuê/bên cho thuê/quản trị viên trước khi ký URL có hạn giờ (Signed URL).</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Loại bỏ 100% rủi ro rò rỉ dữ liệu bằng chứng tranh chấp giữa các đơn hàng khác nhau; ngăn chặn kẻ gian tải lên mã độc hoặc truy cập trái phép vào video của người khác.</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Hạ tầng đạt chuẩn bảo mật doanh nghiệp quốc tế, độc lập hoàn toàn với cơ sở dữ liệu chính, đảm bảo tính toàn vẹn của bằng chứng pháp lý khi xảy ra khiếu nại.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Chi phí lưu trữ video phân giải cao và băng thông tải xuống khi có tranh chấp kéo dài.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lưu trữ vòng đời (Lifecycle Policy): Tự động di chuyển video sau 30 ngày sang Coldline Storage và xóa vĩnh viễn sau 60 ngày kể từ khi đơn hàng hoàn tất nghiệm thu không có khiếu nại.</w:t>
      </w:r>
    </w:p>
    <w:p>
      <w:pPr>
        <w:keepNext/>
        <w:spacing w:before="320" w:after="120"/>
      </w:pPr>
      <w:r>
        <w:rPr>
          <w:rFonts w:ascii="Times New Roman" w:hAnsi="Times New Roman"/>
          <w:b/>
          <w:color w:val="0F4A34"/>
          <w:sz w:val="28"/>
        </w:rPr>
        <w:t>II. 4 TỬ HUYỆT CỦA MÔ HÌNH FASHION RENTAL &amp; LỜI GIẢI CỦA CLOOP</w:t>
      </w:r>
    </w:p>
    <w:p>
      <w:pPr>
        <w:spacing w:after="80"/>
        <w:jc w:val="both"/>
      </w:pPr>
      <w:r>
        <w:rPr>
          <w:rFonts w:ascii="Times New Roman" w:hAnsi="Times New Roman"/>
          <w:sz w:val="25"/>
        </w:rPr>
        <w:t>Mô hình cho thuê thời trang P2P từng được coi là 'Nghĩa địa Startup' vì nhiều nền tảng đã đốt hàng triệu USD rồi đóng cửa do vấp phải 4 rào cản chí mạng. Dưới đây là cách CLOOP phá vỡ 4 tử huyệt này:</w:t>
      </w:r>
    </w:p>
    <w:p>
      <w:pPr>
        <w:keepNext/>
        <w:spacing w:before="200" w:after="80"/>
      </w:pPr>
      <w:r>
        <w:rPr>
          <w:rFonts w:ascii="Times New Roman" w:hAnsi="Times New Roman"/>
          <w:b/>
          <w:color w:val="183A2D"/>
          <w:sz w:val="26"/>
        </w:rPr>
        <w:t>Tử Huyệt 1: Cơn Ác Mộng CSKH &amp; Tỷ Lệ Hoàn Trả 100% (The CS Nightmare)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Thương mại điện tử thông thường chỉ có tỷ lệ trả hàng dưới 10%. Nhưng trong Fashion Rental, tỷ lệ hoàn trả về bản chất là 100%. Mỗi vòng quay đều tiềm ẩn nguy cơ phát sinh xước chỉ, vết bẩn, trễ hạn, đổ lỗi qua lại. Nếu dùng nhân sự CSKH ngồi phân xử thủ công cho từng đơn hàng 200.000đ, chi phí vận hành (OPEX) sẽ bóp nghẹt biên lợi nhuận.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số hóa toàn bộ luật chơi: Áp dụng Digital Damage Protocol (3 cấp độ thiệt hại), Digital Evidence Timeline có timestamp, và cơ chế Phân Xử Vi Mô (Micro-Resolution &lt;= 50.000đ) tự động giải quyết các lỗi nhỏ trong 5 giây mà không cần con người can thiệp.</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Cắt giảm hơn 85% thời gian và chi phí nhân sự xử lý khiếu nại so với các mô hình truyền thống.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trường hợp tranh chấp phức tạp có giá trị lớn vẫn cần Admin thẩm định thủ công.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Giai đoạn Scale-Up sẽ ứng dụng AI Computer Vision để tự động so khớp điểm khác biệt giữa ảnh lúc giao và ảnh lúc nhận đồ.</w:t>
      </w:r>
    </w:p>
    <w:p>
      <w:pPr>
        <w:keepNext/>
        <w:spacing w:before="200" w:after="80"/>
      </w:pPr>
      <w:r>
        <w:rPr>
          <w:rFonts w:ascii="Times New Roman" w:hAnsi="Times New Roman"/>
          <w:b/>
          <w:color w:val="183A2D"/>
          <w:sz w:val="26"/>
        </w:rPr>
        <w:t>Tử Huyệt 2: Logistics 2 Chiều &amp; Thời Gian Bất Động Của Tài Sản (Asset Utilization)</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Hàng đi 2 chiều khiến chi phí ship gấp đôi. Nguy hiểm hơn là thời gian tài sản bị 'đóng băng' trên đường vận chuyển. Nếu chuyển phát liên tỉnh mất 3 ngày đi và 3 ngày về, một chiếc váy chỉ phục vụ sự kiện 3 tiếng nhưng mất trọn 6 ngày bất động, một tháng chỉ cho thuê được 2-3 lần khiến hiệu suất sinh lời quá thấp.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áp dụng chiến lược Thanh Khoản Cục Bộ (Hyper-local Liquidity): Ưu tiên ghép nối tủ đồ và khách thuê trong bán kính 5 - 10km. Thời gian giao nhận chỉ mất 2 - 4 giờ qua bưu tá nội thành hoặc khách tự lấy tại CLOOP Hub.</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Rút ngắn thời gian luân chuyển xuống dưới 24 giờ. Một chiếc váy có thể quay vòng từ 6 - 8 lần/tháng vào mùa cao điểm, tăng gấp 3 lần hiệu suất sinh lời cho Chủ tủ.</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Mật độ nguồn cung ban đầu ở một số quận huyện ngoại thành có thể chưa đủ dày đặc để phủ kín bán kính 5km.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Tập trung thâm nhập theo từng cụm trường Đại học và khu văn phòng lớn trước khi mở rộng diện rộng.</w:t>
      </w:r>
    </w:p>
    <w:p>
      <w:pPr>
        <w:keepNext/>
        <w:spacing w:before="200" w:after="80"/>
      </w:pPr>
      <w:r>
        <w:rPr>
          <w:rFonts w:ascii="Times New Roman" w:hAnsi="Times New Roman"/>
          <w:b/>
          <w:color w:val="183A2D"/>
          <w:sz w:val="26"/>
        </w:rPr>
        <w:t>Tử Huyệt 3: Cuộc Xâm Lăng Của Thời Trang Nhanh (Fast Fashion vs Occasion Economics)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Người tiêu dùng có thể lên Shopee/TikTok/Taobao mua đứt một chiếc đầm mới giá chỉ 200k - 250k (chất lượng vải thấp) thay vì phải đi thuê đồ cũ giá 200k kèm tiền cọc và nỗi lo làm bẩn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không cạnh tranh ở phân khúc quần áo mặc thường ngày. CLOOP định vị vào Kinh Tế Học Sự Kiện (Occasion Economics): Cho thuê các trang phục thiết kế cao cấp, áo dài, đầm dạ tiệc, vest có giá bán từ 1.500.000đ đến 5.000.000đ với giá thuê chỉ 200k - 350k. Khách hàng chi trả 200k để khoác lên người chất lượng của 2 triệu và tỏa sáng đúng 1 đêm.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Tạo ra giá trị mà thời trang nhanh giá rẻ hoàn toàn không thể cạnh tranh về form dáng, chất liệu và độ sang trọng.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Tần suất nhu cầu thuê đồ sự kiện thấp hơn so với nhu cầu mua sắm quần áo mặc hàng ngày.</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Bổ sung gói dịch vụ trọn gói kèm phụ kiện (túi xách, trang sức) để tối ưu giá trị giỏ hàng mỗi lần thuê sự kiện.</w:t>
      </w:r>
    </w:p>
    <w:p>
      <w:pPr>
        <w:keepNext/>
        <w:spacing w:before="200" w:after="80"/>
      </w:pPr>
      <w:r>
        <w:rPr>
          <w:rFonts w:ascii="Times New Roman" w:hAnsi="Times New Roman"/>
          <w:b/>
          <w:color w:val="183A2D"/>
          <w:sz w:val="26"/>
        </w:rPr>
        <w:t>Tử Huyệt 4: Gian Lận Định Danh &amp; Thất Thoát Tài Sản (Identity Fraud &amp; Inventory Liquidations)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Kẻ gian lập tài khoản ảo, sử dụng ảnh CCCD giả mạo từ internet hoặc giấy tờ sinh viên photoshop để thuê các món đồ thiết kế đắt tiền rồi 'bùng' chiếm đoạt tài sản. Nếu startup sinh viên bỏ hàng chục triệu mua API quét khuôn mặt eKYC của ngân hàng thì cạn kiệt ngân sách; nếu không eKYC thì thành 'mỏ vàng' cho kẻ gian.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xây dựng chiến lược 'Tạo rào cản ma sát thông minh' (Friction by Design) kết hợp 4 lớp phòng tuyến Fast-Track (Defense 0-3): Bắt buộc xác thực quyền sở hữu Email sinh viên (@edu.vn); Giới hạn trần tài sản đang giữ (Exposure Limit); Chặn đứng tài khoản đang có tranh chấp; và Áp trần Fast-Track tuyệt đối theo từng cấp độ tín nhiệm.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eKYC bằng đúng 0 đồng nhưng chặn đứng 99% nỗ lực gian lận có tổ chức. Kẻ gian không thể dùng tài khoản nặc danh để bùng đơn hàng lớn.</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Người dùng mới cần thực hiện thao tác liên kết email trường hoặc hoàn thành xác minh cơ bản để mở khóa hạn mức thuê cao hơn.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Hỗ trợ kênh duyệt thủ công qua thẻ sinh viên vật lý hoặc video call cho các trường hợp sinh viên chưa được cấp email trường.</w:t>
      </w:r>
    </w:p>
    <w:p>
      <w:pPr>
        <w:keepNext/>
        <w:spacing w:before="320" w:after="120"/>
      </w:pPr>
      <w:r>
        <w:rPr>
          <w:rFonts w:ascii="Times New Roman" w:hAnsi="Times New Roman"/>
          <w:b/>
          <w:color w:val="0F4A34"/>
          <w:sz w:val="28"/>
        </w:rPr>
        <w:t>III. BỘ GIÁP 7 CÂU HỎI TỬ THẦN CỦA QUỸ ĐẦU TƯ (VC Q&amp;A MATRIX)</w:t>
      </w:r>
    </w:p>
    <w:p>
      <w:pPr>
        <w:spacing w:after="80"/>
        <w:jc w:val="both"/>
      </w:pPr>
      <w:r>
        <w:rPr>
          <w:rFonts w:ascii="Times New Roman" w:hAnsi="Times New Roman"/>
          <w:sz w:val="25"/>
        </w:rPr>
        <w:t>Dưới đây là bộ ma trận đối thoại bóc tách 7 câu hỏi hóc búa nhất mà các nhà đầu tư mạo hiểm (Venture Capitals) và Ban Giám Khảo Techfest sẽ đặt ra cho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hỏi chất vấn của VC</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Bản chất bài toán</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trả lời bảo vệ của CLOOP</w:t>
            </w:r>
          </w:p>
        </w:tc>
      </w:tr>
      <w:tr>
        <w:tc>
          <w:tcPr>
            <w:tcW w:type="dxa" w:w="3024"/>
            <w:shd w:fill="FFFFFF"/>
            <w:tcMar>
              <w:top w:w="80" w:type="dxa"/>
              <w:bottom w:w="80" w:type="dxa"/>
              <w:left w:w="100" w:type="dxa"/>
              <w:right w:w="100" w:type="dxa"/>
            </w:tcMar>
          </w:tcPr>
          <w:p>
            <w:pPr>
              <w:jc w:val="left"/>
            </w:pPr>
            <w:r>
              <w:rPr>
                <w:rFonts w:ascii="Times New Roman" w:hAnsi="Times New Roman"/>
                <w:sz w:val="21"/>
              </w:rPr>
              <w:t>1. Một đơn thuê 200k sau MỌI chi phí còn lại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Unit Economics &amp; Contribution Margin</w:t>
            </w:r>
          </w:p>
        </w:tc>
        <w:tc>
          <w:tcPr>
            <w:tcW w:type="dxa" w:w="3024"/>
            <w:shd w:fill="FFFFFF"/>
            <w:tcMar>
              <w:top w:w="80" w:type="dxa"/>
              <w:bottom w:w="80" w:type="dxa"/>
              <w:left w:w="100" w:type="dxa"/>
              <w:right w:w="100" w:type="dxa"/>
            </w:tcMar>
          </w:tcPr>
          <w:p>
            <w:pPr>
              <w:jc w:val="left"/>
            </w:pPr>
            <w:r>
              <w:rPr>
                <w:rFonts w:ascii="Times New Roman" w:hAnsi="Times New Roman"/>
                <w:sz w:val="21"/>
              </w:rPr>
              <w:t>Lãi gộp dương ngay từ đơn đầu: Phí ship luân chuyển do Khách và Chủ tủ san sẻ qua thuật toán Block 5K; Cổng thanh toán VietQR phí gần như 0đ; Phí sàn thu 12% (24.000đ) khi kết thúc nghiệm thu. Sàn không đốt tiền bù ship hay trợ giá ảo.</w:t>
            </w:r>
          </w:p>
        </w:tc>
      </w:tr>
      <w:tr>
        <w:tc>
          <w:tcPr>
            <w:tcW w:type="dxa" w:w="3024"/>
            <w:shd w:fill="F9FBF9"/>
            <w:tcMar>
              <w:top w:w="80" w:type="dxa"/>
              <w:bottom w:w="80" w:type="dxa"/>
              <w:left w:w="100" w:type="dxa"/>
              <w:right w:w="100" w:type="dxa"/>
            </w:tcMar>
          </w:tcPr>
          <w:p>
            <w:pPr>
              <w:jc w:val="left"/>
            </w:pPr>
            <w:r>
              <w:rPr>
                <w:rFonts w:ascii="Times New Roman" w:hAnsi="Times New Roman"/>
                <w:sz w:val="21"/>
              </w:rPr>
              <w:t>2. Một món đồ trung bình quay được bao nhiêu vòng đời?</w:t>
            </w:r>
          </w:p>
        </w:tc>
        <w:tc>
          <w:tcPr>
            <w:tcW w:type="dxa" w:w="3024"/>
            <w:shd w:fill="F9FBF9"/>
            <w:tcMar>
              <w:top w:w="80" w:type="dxa"/>
              <w:bottom w:w="80" w:type="dxa"/>
              <w:left w:w="100" w:type="dxa"/>
              <w:right w:w="100" w:type="dxa"/>
            </w:tcMar>
          </w:tcPr>
          <w:p>
            <w:pPr>
              <w:jc w:val="left"/>
            </w:pPr>
            <w:r>
              <w:rPr>
                <w:rFonts w:ascii="Times New Roman" w:hAnsi="Times New Roman"/>
                <w:sz w:val="21"/>
              </w:rPr>
              <w:t>Asset Utilization</w:t>
            </w:r>
          </w:p>
        </w:tc>
        <w:tc>
          <w:tcPr>
            <w:tcW w:type="dxa" w:w="3024"/>
            <w:shd w:fill="F9FBF9"/>
            <w:tcMar>
              <w:top w:w="80" w:type="dxa"/>
              <w:bottom w:w="80" w:type="dxa"/>
              <w:left w:w="100" w:type="dxa"/>
              <w:right w:w="100" w:type="dxa"/>
            </w:tcMar>
          </w:tcPr>
          <w:p>
            <w:pPr>
              <w:jc w:val="left"/>
            </w:pPr>
            <w:r>
              <w:rPr>
                <w:rFonts w:ascii="Times New Roman" w:hAnsi="Times New Roman"/>
                <w:sz w:val="21"/>
              </w:rPr>
              <w:t>Nhờ thanh khoản cục bộ (bán kính 5-10km), thời gian bất động giảm từ 6 ngày xuống dưới 24h. Một chiếc váy dạ hội chất lượng tốt quay vòng 6-8 lần/tháng vào mùa sự kiện, đạt vòng đời 15-20 lượt thuê trước khi thanh lý.</w:t>
            </w:r>
          </w:p>
        </w:tc>
      </w:tr>
      <w:tr>
        <w:tc>
          <w:tcPr>
            <w:tcW w:type="dxa" w:w="3024"/>
            <w:shd w:fill="FFFFFF"/>
            <w:tcMar>
              <w:top w:w="80" w:type="dxa"/>
              <w:bottom w:w="80" w:type="dxa"/>
              <w:left w:w="100" w:type="dxa"/>
              <w:right w:w="100" w:type="dxa"/>
            </w:tcMar>
          </w:tcPr>
          <w:p>
            <w:pPr>
              <w:jc w:val="left"/>
            </w:pPr>
            <w:r>
              <w:rPr>
                <w:rFonts w:ascii="Times New Roman" w:hAnsi="Times New Roman"/>
                <w:sz w:val="21"/>
              </w:rPr>
              <w:t>3. Chủ tủ ở lại hay rời đi sau 3 tháng?</w:t>
            </w:r>
          </w:p>
        </w:tc>
        <w:tc>
          <w:tcPr>
            <w:tcW w:type="dxa" w:w="3024"/>
            <w:shd w:fill="FFFFFF"/>
            <w:tcMar>
              <w:top w:w="80" w:type="dxa"/>
              <w:bottom w:w="80" w:type="dxa"/>
              <w:left w:w="100" w:type="dxa"/>
              <w:right w:w="100" w:type="dxa"/>
            </w:tcMar>
          </w:tcPr>
          <w:p>
            <w:pPr>
              <w:jc w:val="left"/>
            </w:pPr>
            <w:r>
              <w:rPr>
                <w:rFonts w:ascii="Times New Roman" w:hAnsi="Times New Roman"/>
                <w:sz w:val="21"/>
              </w:rPr>
              <w:t>Lender Retention</w:t>
            </w:r>
          </w:p>
        </w:tc>
        <w:tc>
          <w:tcPr>
            <w:tcW w:type="dxa" w:w="3024"/>
            <w:shd w:fill="FFFFFF"/>
            <w:tcMar>
              <w:top w:w="80" w:type="dxa"/>
              <w:bottom w:w="80" w:type="dxa"/>
              <w:left w:w="100" w:type="dxa"/>
              <w:right w:w="100" w:type="dxa"/>
            </w:tcMar>
          </w:tcPr>
          <w:p>
            <w:pPr>
              <w:jc w:val="left"/>
            </w:pPr>
            <w:r>
              <w:rPr>
                <w:rFonts w:ascii="Times New Roman" w:hAnsi="Times New Roman"/>
                <w:sz w:val="21"/>
              </w:rPr>
              <w:t>Chủ tủ gắn bó vì CLOOP loại bỏ 'Cơn đau đầu cãi vã' (Zero CS Headache). Hệ thống tự xử lý cọc, vận đơn và nghiệm thu. Một chiếc váy 1.500.000đ mang lại 800.000đ dòng tiền thụ động sau 2 tháng mà không tốn công quản lý.</w:t>
            </w:r>
          </w:p>
        </w:tc>
      </w:tr>
      <w:tr>
        <w:tc>
          <w:tcPr>
            <w:tcW w:type="dxa" w:w="3024"/>
            <w:shd w:fill="F9FBF9"/>
            <w:tcMar>
              <w:top w:w="80" w:type="dxa"/>
              <w:bottom w:w="80" w:type="dxa"/>
              <w:left w:w="100" w:type="dxa"/>
              <w:right w:w="100" w:type="dxa"/>
            </w:tcMar>
          </w:tcPr>
          <w:p>
            <w:pPr>
              <w:jc w:val="left"/>
            </w:pPr>
            <w:r>
              <w:rPr>
                <w:rFonts w:ascii="Times New Roman" w:hAnsi="Times New Roman"/>
                <w:sz w:val="21"/>
              </w:rPr>
              <w:t>4. Khách thuê lần 2 sau bao lâu?</w:t>
            </w:r>
          </w:p>
        </w:tc>
        <w:tc>
          <w:tcPr>
            <w:tcW w:type="dxa" w:w="3024"/>
            <w:shd w:fill="F9FBF9"/>
            <w:tcMar>
              <w:top w:w="80" w:type="dxa"/>
              <w:bottom w:w="80" w:type="dxa"/>
              <w:left w:w="100" w:type="dxa"/>
              <w:right w:w="100" w:type="dxa"/>
            </w:tcMar>
          </w:tcPr>
          <w:p>
            <w:pPr>
              <w:jc w:val="left"/>
            </w:pPr>
            <w:r>
              <w:rPr>
                <w:rFonts w:ascii="Times New Roman" w:hAnsi="Times New Roman"/>
                <w:sz w:val="21"/>
              </w:rPr>
              <w:t>Renter Retention</w:t>
            </w:r>
          </w:p>
        </w:tc>
        <w:tc>
          <w:tcPr>
            <w:tcW w:type="dxa" w:w="3024"/>
            <w:shd w:fill="F9FBF9"/>
            <w:tcMar>
              <w:top w:w="80" w:type="dxa"/>
              <w:bottom w:w="80" w:type="dxa"/>
              <w:left w:w="100" w:type="dxa"/>
              <w:right w:w="100" w:type="dxa"/>
            </w:tcMar>
          </w:tcPr>
          <w:p>
            <w:pPr>
              <w:jc w:val="left"/>
            </w:pPr>
            <w:r>
              <w:rPr>
                <w:rFonts w:ascii="Times New Roman" w:hAnsi="Times New Roman"/>
                <w:sz w:val="21"/>
              </w:rPr>
              <w:t>CLOOP đánh vào Occasion Economics. Một người trẻ có 4-5 dịp sự kiện/năm (Kỷ yếu, Prom, Đám cưới, Tiệc). Tỷ lệ quay lại kỳ vọng 2-3 lần/năm. Động lực lớn nhất là điểm Trust Score: càng thuê uy tín, cọc càng giảm, hạn mức càng tăng.</w:t>
            </w:r>
          </w:p>
        </w:tc>
      </w:tr>
      <w:tr>
        <w:tc>
          <w:tcPr>
            <w:tcW w:type="dxa" w:w="3024"/>
            <w:shd w:fill="FFFFFF"/>
            <w:tcMar>
              <w:top w:w="80" w:type="dxa"/>
              <w:bottom w:w="80" w:type="dxa"/>
              <w:left w:w="100" w:type="dxa"/>
              <w:right w:w="100" w:type="dxa"/>
            </w:tcMar>
          </w:tcPr>
          <w:p>
            <w:pPr>
              <w:jc w:val="left"/>
            </w:pPr>
            <w:r>
              <w:rPr>
                <w:rFonts w:ascii="Times New Roman" w:hAnsi="Times New Roman"/>
                <w:sz w:val="21"/>
              </w:rPr>
              <w:t>5. Tỷ lệ tranh chấp (Dispute Rate) là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Dispute Management</w:t>
            </w:r>
          </w:p>
        </w:tc>
        <w:tc>
          <w:tcPr>
            <w:tcW w:type="dxa" w:w="3024"/>
            <w:shd w:fill="FFFFFF"/>
            <w:tcMar>
              <w:top w:w="80" w:type="dxa"/>
              <w:bottom w:w="80" w:type="dxa"/>
              <w:left w:w="100" w:type="dxa"/>
              <w:right w:w="100" w:type="dxa"/>
            </w:tcMar>
          </w:tcPr>
          <w:p>
            <w:pPr>
              <w:jc w:val="left"/>
            </w:pPr>
            <w:r>
              <w:rPr>
                <w:rFonts w:ascii="Times New Roman" w:hAnsi="Times New Roman"/>
                <w:sz w:val="21"/>
              </w:rPr>
              <w:t>Bản chất rental có tỷ lệ hoàn trả 100%. CLOOP chia làm 2: Lỗi vi mô (son, mồ hôi, xước chỉ) xử lý theo Digital Damage Protocol (chủ tủ tự giặt/sửa, không trừ cọc); Lỗi vĩ mô (rách, mất) kỳ vọng dưới 3%, được bảo vệ bởi trần Exposure Limit và Timeline đối soát.</w:t>
            </w:r>
          </w:p>
        </w:tc>
      </w:tr>
      <w:tr>
        <w:tc>
          <w:tcPr>
            <w:tcW w:type="dxa" w:w="3024"/>
            <w:shd w:fill="F9FBF9"/>
            <w:tcMar>
              <w:top w:w="80" w:type="dxa"/>
              <w:bottom w:w="80" w:type="dxa"/>
              <w:left w:w="100" w:type="dxa"/>
              <w:right w:w="100" w:type="dxa"/>
            </w:tcMar>
          </w:tcPr>
          <w:p>
            <w:pPr>
              <w:jc w:val="left"/>
            </w:pPr>
            <w:r>
              <w:rPr>
                <w:rFonts w:ascii="Times New Roman" w:hAnsi="Times New Roman"/>
                <w:sz w:val="21"/>
              </w:rPr>
              <w:t>6. Tại sao người dùng không mua luôn đồ rẻ Shopee/TikTok?</w:t>
            </w:r>
          </w:p>
        </w:tc>
        <w:tc>
          <w:tcPr>
            <w:tcW w:type="dxa" w:w="3024"/>
            <w:shd w:fill="F9FBF9"/>
            <w:tcMar>
              <w:top w:w="80" w:type="dxa"/>
              <w:bottom w:w="80" w:type="dxa"/>
              <w:left w:w="100" w:type="dxa"/>
              <w:right w:w="100" w:type="dxa"/>
            </w:tcMar>
          </w:tcPr>
          <w:p>
            <w:pPr>
              <w:jc w:val="left"/>
            </w:pPr>
            <w:r>
              <w:rPr>
                <w:rFonts w:ascii="Times New Roman" w:hAnsi="Times New Roman"/>
                <w:sz w:val="21"/>
              </w:rPr>
              <w:t>Competitor Defense</w:t>
            </w:r>
          </w:p>
        </w:tc>
        <w:tc>
          <w:tcPr>
            <w:tcW w:type="dxa" w:w="3024"/>
            <w:shd w:fill="F9FBF9"/>
            <w:tcMar>
              <w:top w:w="80" w:type="dxa"/>
              <w:bottom w:w="80" w:type="dxa"/>
              <w:left w:w="100" w:type="dxa"/>
              <w:right w:w="100" w:type="dxa"/>
            </w:tcMar>
          </w:tcPr>
          <w:p>
            <w:pPr>
              <w:jc w:val="left"/>
            </w:pPr>
            <w:r>
              <w:rPr>
                <w:rFonts w:ascii="Times New Roman" w:hAnsi="Times New Roman"/>
                <w:sz w:val="21"/>
              </w:rPr>
              <w:t>Vì CLOOP bán 'Sự lộng lẫy tạm thời'. Đồ dạ tiệc Taobao 250k chất vải mỏng, form xộc xệch. Váy thiết kế local brand giá gốc 2 triệu chuẩn form. Người dùng bỏ 200k để khoác lên đẳng cấp của 2 triệu trong 1 đêm, không chật tủ quần áo.</w:t>
            </w:r>
          </w:p>
        </w:tc>
      </w:tr>
      <w:tr>
        <w:tc>
          <w:tcPr>
            <w:tcW w:type="dxa" w:w="3024"/>
            <w:shd w:fill="FFFFFF"/>
            <w:tcMar>
              <w:top w:w="80" w:type="dxa"/>
              <w:bottom w:w="80" w:type="dxa"/>
              <w:left w:w="100" w:type="dxa"/>
              <w:right w:w="100" w:type="dxa"/>
            </w:tcMar>
          </w:tcPr>
          <w:p>
            <w:pPr>
              <w:jc w:val="left"/>
            </w:pPr>
            <w:r>
              <w:rPr>
                <w:rFonts w:ascii="Times New Roman" w:hAnsi="Times New Roman"/>
                <w:sz w:val="21"/>
              </w:rPr>
              <w:t>7. Nếu bỏ AI đi, CLOOP còn lợi thế gì?</w:t>
            </w:r>
          </w:p>
        </w:tc>
        <w:tc>
          <w:tcPr>
            <w:tcW w:type="dxa" w:w="3024"/>
            <w:shd w:fill="FFFFFF"/>
            <w:tcMar>
              <w:top w:w="80" w:type="dxa"/>
              <w:bottom w:w="80" w:type="dxa"/>
              <w:left w:w="100" w:type="dxa"/>
              <w:right w:w="100" w:type="dxa"/>
            </w:tcMar>
          </w:tcPr>
          <w:p>
            <w:pPr>
              <w:jc w:val="left"/>
            </w:pPr>
            <w:r>
              <w:rPr>
                <w:rFonts w:ascii="Times New Roman" w:hAnsi="Times New Roman"/>
                <w:sz w:val="21"/>
              </w:rPr>
              <w:t>Core Moat</w:t>
            </w:r>
          </w:p>
        </w:tc>
        <w:tc>
          <w:tcPr>
            <w:tcW w:type="dxa" w:w="3024"/>
            <w:shd w:fill="FFFFFF"/>
            <w:tcMar>
              <w:top w:w="80" w:type="dxa"/>
              <w:bottom w:w="80" w:type="dxa"/>
              <w:left w:w="100" w:type="dxa"/>
              <w:right w:w="100" w:type="dxa"/>
            </w:tcMar>
          </w:tcPr>
          <w:p>
            <w:pPr>
              <w:jc w:val="left"/>
            </w:pPr>
            <w:r>
              <w:rPr>
                <w:rFonts w:ascii="Times New Roman" w:hAnsi="Times New Roman"/>
                <w:sz w:val="21"/>
              </w:rPr>
              <w:t>AI chỉ là công cụ tối ưu vận hành. Lợi thế cốt lõi của CLOOP là Hạ Tầng Niềm Tin (Trust Stack), Dữ Liệu Lịch Sử Giao Dịch và Thanh Khoản Địa Phương. Khi đã có 10.000 user sở hữu điểm Trust Score cao, đối thủ không thể bứng tệp khách này đi vì họ bị giữ chân bởi đặc quyền giảm cọc.</w:t>
            </w:r>
          </w:p>
        </w:tc>
      </w:tr>
    </w:tbl>
    <w:p>
      <w:pPr>
        <w:keepNext/>
        <w:spacing w:before="320" w:after="120"/>
      </w:pPr>
      <w:r>
        <w:rPr>
          <w:rFonts w:ascii="Times New Roman" w:hAnsi="Times New Roman"/>
          <w:b/>
          <w:color w:val="0F4A34"/>
          <w:sz w:val="28"/>
        </w:rPr>
        <w:t>IV. DIGITAL DAMAGE PROTOCOL: CHUẨN HÓA 3 CẤP ĐỘ THIỆT HẠI</w:t>
      </w:r>
    </w:p>
    <w:p>
      <w:pPr>
        <w:spacing w:after="80"/>
        <w:jc w:val="both"/>
      </w:pPr>
      <w:r>
        <w:rPr>
          <w:rFonts w:ascii="Times New Roman" w:hAnsi="Times New Roman"/>
          <w:sz w:val="25"/>
        </w:rPr>
        <w:t>Để giải quyết triệt để vấn nạn Chủ tủ 'ăn vạ' đòi trừ cọc vì những vết bẩn giặt được (vết son môi, phấn trang điểm) và ngăn chặn rủi ro đạo đức (Moral Hazard), CLOOP ban hành Quy chuẩn Phân loại Thiệt hại Số (Digital Damage Protocol):</w:t>
      </w:r>
    </w:p>
    <w:p>
      <w:pPr>
        <w:keepNext/>
        <w:spacing w:before="200" w:after="80"/>
      </w:pPr>
      <w:r>
        <w:rPr>
          <w:rFonts w:ascii="Times New Roman" w:hAnsi="Times New Roman"/>
          <w:b/>
          <w:color w:val="183A2D"/>
          <w:sz w:val="26"/>
        </w:rPr>
        <w:t>1. Quy Chuẩn 3 Cấp Độ Thiệt Hại (Damage Classification Standards)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Level 1 (Wear &amp; Tear - Hao mòn thông thường): Vết son môi bề mặt, phấn trang điểm nhẹ, mồ hôi, mùi cơ thể, nếp nhăn vải -&gt; KHÔNG ĐƯỢC TÍNH LÀ THIỆT HẠI. Chi phí này nằm trong giá thuê, Chủ tủ tự giặt ủi theo quy trình thông thường, cấm trừ cọc.</w:t>
        <w:br/>
        <w:t>Level 2 (Repairable Damage - Hư hỏng có thể khắc phục): Vết bẩn cần giặt hấp chuyên sâu, bung cúc, xước nhẹ khâu lại được -&gt; Chỉ được khấu trừ CHI PHÍ SỬA CHỮA THỰC TẾ HỢP LÝ (tối đa 500.000đ), cấm tịch thu toàn bộ tiền cọc.</w:t>
        <w:br/>
        <w:t>Level 3 (Total Loss - Tổn thất thực sự): Rách toạc cấu trúc không phục hồi được, cháy, mất đồ -&gt; Khấu trừ theo giá trị thỏa thuận trong hợp đồng thuê điện tử được định giá chuẩn qua getItemValuation.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Bảo vệ khách thuê khỏi các hành vi bắt chẹt vô lý; chuẩn hóa ranh giới tranh chấp rành mạch không thể cãi vã.</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lập trình trực tiếp vào mã nguồn Server Action (app/actions/dispute.ts): Hệ thống tự động từ chối nếu khiếu nại thuộc nhóm Wear &amp; Tear mà đòi cọc.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chủ tủ có thể cho rằng quy định này khắt khe với họ hơn so với việc tự cho thuê ngoài đời.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gói dịch vụ giặt hấp sinh học đối tác với mức giá ưu đãi dành riêng cho Chủ tủ CLOOP.</w:t>
      </w:r>
    </w:p>
    <w:p>
      <w:pPr>
        <w:keepNext/>
        <w:spacing w:before="200" w:after="80"/>
      </w:pPr>
      <w:r>
        <w:rPr>
          <w:rFonts w:ascii="Times New Roman" w:hAnsi="Times New Roman"/>
          <w:b/>
          <w:color w:val="183A2D"/>
          <w:sz w:val="26"/>
        </w:rPr>
        <w:t>2. Quy Tắc Vàng: Cấm Can Thiệp Hiện Trạng Trước Khi Lập Bằng Chứng</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Chủ tủ nhận hàng hoàn về bắt buộc phải chụp ảnh/quay video hiện trạng có Timestamp TRƯỚC KHI GIẶT HOẶC SỬA. Nếu chủ tủ tự ý đem giặt hoặc can thiệp xử lý trước khi gửi khiếu nại lên hệ thống, hồ sơ tranh chấp sẽ lập tức bị bác bỏ do mất tính nguyên trạng của bằng chứng.</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Ngăn chặn hoàn toàn tình trạng chủ tủ tự làm hỏng thêm hoặc dùng hóa đơn giặt khống để đòi tiền đền bù của khách.</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Tính kỷ luật số cao: Bằng chứng chỉ có giá trị khi đối chiếu được mốc Before (lúc đóng gói) so với mốc After (lúc nhận lại).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phải dành 2-3 phút quay video kiểm tra lúc mở hộp nhận lại đồ.</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tính năng Checklist nghiệm thu 1-chạm (1-Click Inspection) ngay trên giao diện đơn hàng để hướng dẫn chủ tủ từng bước.</w:t>
      </w:r>
    </w:p>
    <w:p>
      <w:pPr>
        <w:keepNext/>
        <w:spacing w:before="200" w:after="80"/>
      </w:pPr>
      <w:r>
        <w:rPr>
          <w:rFonts w:ascii="Times New Roman" w:hAnsi="Times New Roman"/>
          <w:b/>
          <w:color w:val="183A2D"/>
          <w:sz w:val="26"/>
        </w:rPr>
        <w:t>3. Risk Engine Ngược (Owner Trust Score): Giám Sát Chủ Tủ Trục Lợi</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không chỉ chấm điểm Khách thuê, mà còn theo dõi tỷ lệ khiếu nại của Chủ tủ. Nếu một Chủ tủ có tỷ lệ khiếu nại vượt quá 25% số đơn hoàn tất (Owner Dispute Rate &gt;= 25%), hệ thống tự động gắn cờ cảnh báo HIGH_DISPUTE_OWNER, trừ điểm Trust Score và giảm ưu tiên hiển thị tủ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Thanh lọc các chủ tủ độc hại (Toxic Owners) ra khỏi hệ sinh thái, bảo vệ uy tín lâu dài của toàn sàn.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ghi nhận tự động vào Audit Log kiểm toán của hệ thống, minh bạch và không thiên vị.</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bị cảnh báo có thể phản ứng tiêu cực.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quy trình khiếu nại lại (Appeal Process) cho Chủ tủ nếu họ chứng minh được các đơn bị tranh chấp là do lỗi bưu tá GHN.</w:t>
      </w:r>
    </w:p>
    <w:p>
      <w:pPr>
        <w:keepNext/>
        <w:spacing w:before="320" w:after="120"/>
      </w:pPr>
      <w:r>
        <w:rPr>
          <w:rFonts w:ascii="Times New Roman" w:hAnsi="Times New Roman"/>
          <w:b/>
          <w:color w:val="0F4A34"/>
          <w:sz w:val="28"/>
        </w:rPr>
        <w:t>V. THUẬT TOÁN LOGISTICS SAN SẺ 50/50 &amp; ĐỆM RỦI RO BLOCK 5K</w:t>
      </w:r>
    </w:p>
    <w:p>
      <w:pPr>
        <w:spacing w:after="80"/>
        <w:jc w:val="both"/>
      </w:pP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VI. MA TRẬN DÒNG TIỀN &amp; LỚP ĐIỀU PHỐI THANH TOÁN (PAYMENT ORCHESTRATION LAYER)</w:t>
      </w:r>
    </w:p>
    <w:p>
      <w:pPr>
        <w:spacing w:after="80"/>
        <w:jc w:val="both"/>
      </w:pPr>
      <w:r>
        <w:rPr>
          <w:rFonts w:ascii="Times New Roman" w:hAnsi="Times New Roman"/>
          <w:sz w:val="25"/>
        </w:rPr>
        <w:t>Toàn bộ tài chính của CLOOP tuân thủ nguyên tắc Kế toán Kép. Lớp điều phối kiểm soát trạng thái giao dịch và kết nối trực tiếp với cổng thanh toán để giải ngân theo điều kiện: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Ký quỹ Đối tác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320" w:after="120"/>
      </w:pPr>
      <w:r>
        <w:rPr>
          <w:rFonts w:ascii="Times New Roman" w:hAnsi="Times New Roman"/>
          <w:b/>
          <w:color w:val="0F4A34"/>
          <w:sz w:val="28"/>
        </w:rPr>
        <w:t>VII. HỆ THỐNG 'CLOOP TRUST STACK' &amp; BẢO LÃNH CỌC BẢO TOÀN VỐN (PRODUCTION HARDENED)</w:t>
      </w:r>
    </w:p>
    <w:p>
      <w:pPr>
        <w:spacing w:after="80"/>
        <w:jc w:val="both"/>
      </w:pPr>
      <w:r>
        <w:rPr>
          <w:rFonts w:ascii="Times New Roman" w:hAnsi="Times New Roman"/>
          <w:sz w:val="25"/>
        </w:rPr>
        <w:t>Thay vì áp dụng cơ chế eKYC nặng nề chặn cửa hoặc cấp ưu đãi giảm cọc vô điều kiện dẫn đến nguy cơ vỡ quỹ, CLOOP phát triển mô hình 'Hợp Đồng Bảo Lãnh Cọc Giới Hạn Năng Lực Quỹ' (Fund-Capacity Constrained Guarantee). Mọi quyền lợi giảm cọc đều được quản trị bởi điều kiện đa yếu tố, bảo chứng bằng số dư Quỹ dự phòng rủi ro khả dụng thực tế, hạn mức bảo lãnh từng đơn, hạn mức rủi ro từng tài khoản và có cơ chế ngắt mạch Circuit Breaker tự động.</w:t>
      </w:r>
    </w:p>
    <w:tbl>
      <w:tblPr>
        <w:tblW w:type="auto" w:w="0"/>
        <w:jc w:val="center"/>
        <w:tblLook w:firstColumn="1" w:firstRow="1" w:lastColumn="0" w:lastRow="0" w:noHBand="0" w:noVBand="1" w:val="04A0"/>
      </w:tblPr>
      <w:tblGrid>
        <w:gridCol w:w="9071"/>
      </w:tblGrid>
      <w:tr>
        <w:tc>
          <w:tcPr>
            <w:tcW w:type="dxa" w:w="9071"/>
            <w:shd w:fill="F4F9F4"/>
            <w:tcMar>
              <w:top w:w="140" w:type="dxa"/>
              <w:bottom w:w="140" w:type="dxa"/>
              <w:left w:w="180" w:type="dxa"/>
              <w:right w:w="160" w:type="dxa"/>
            </w:tcMar>
            <w:tcBorders>
              <w:top w:val="none"/>
              <w:bottom w:val="none"/>
              <w:left w:val="single" w:sz="24" w:space="0" w:color="0F4A34"/>
              <w:right w:val="none"/>
            </w:tcBorders>
          </w:tcPr>
          <w:p>
            <w:pPr>
              <w:spacing w:after="40"/>
              <w:jc w:val="both"/>
            </w:pPr>
            <w:r>
              <w:rPr>
                <w:rFonts w:ascii="Times New Roman" w:hAnsi="Times New Roman"/>
                <w:b/>
                <w:color w:val="0F4A34"/>
                <w:sz w:val="24"/>
              </w:rPr>
              <w:t xml:space="preserve">TUYÊN BỐ NGUYÊN TẮC VÀNG BẢO TOÀN NGUỒN VỐN SÀN: </w:t>
            </w:r>
            <w:r>
              <w:rPr>
                <w:rFonts w:ascii="Times New Roman" w:hAnsi="Times New Roman"/>
                <w:i/>
                <w:sz w:val="23"/>
              </w:rPr>
              <w:t>CLOOP không cam kết bảo lãnh vô hạn. Quyền giảm cọc chỉ được kích hoạt trong phạm vi quỹ dự phòng khả dụng, hạn mức bảo lãnh từng đơn, hạn mức rủi ro từng tài khoản và hạn mức chi trả theo tháng. Khi một trong các giới hạn bị chạm, hệ thống tự động quay về mức cọc 100%.</w:t>
            </w:r>
          </w:p>
        </w:tc>
      </w:tr>
    </w:tbl>
    <w:p>
      <w:pPr>
        <w:spacing w:before="40" w:after="40"/>
      </w:pP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Hạng Tín Nhiệm</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Điều Kiện Thăng Hạng Bắt Buộc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Ngưỡng Quỹ Khả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Hạn Mức &amp; Trần Fast-Track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Chính Sách Cọc &amp; Hạn Mức Bảo Lãnh</w:t>
            </w:r>
          </w:p>
        </w:tc>
      </w:tr>
      <w:tr>
        <w:tc>
          <w:tcPr>
            <w:tcW w:type="dxa" w:w="1814"/>
            <w:shd w:fill="FFFFFF"/>
            <w:tcMar>
              <w:top w:w="80" w:type="dxa"/>
              <w:bottom w:w="80" w:type="dxa"/>
              <w:left w:w="100" w:type="dxa"/>
              <w:right w:w="100" w:type="dxa"/>
            </w:tcMar>
          </w:tcPr>
          <w:p>
            <w:pPr>
              <w:jc w:val="left"/>
            </w:pPr>
            <w:r>
              <w:rPr>
                <w:rFonts w:ascii="Times New Roman" w:hAnsi="Times New Roman"/>
                <w:sz w:val="20"/>
              </w:rPr>
              <w:t>LEVEL_0_NEW</w:t>
              <w:br/>
              <w:t>(Thành viên Mới)</w:t>
            </w:r>
          </w:p>
        </w:tc>
        <w:tc>
          <w:tcPr>
            <w:tcW w:type="dxa" w:w="1814"/>
            <w:shd w:fill="FFFFFF"/>
            <w:tcMar>
              <w:top w:w="80" w:type="dxa"/>
              <w:bottom w:w="80" w:type="dxa"/>
              <w:left w:w="100" w:type="dxa"/>
              <w:right w:w="100" w:type="dxa"/>
            </w:tcMar>
          </w:tcPr>
          <w:p>
            <w:pPr>
              <w:jc w:val="left"/>
            </w:pPr>
            <w:r>
              <w:rPr>
                <w:rFonts w:ascii="Times New Roman" w:hAnsi="Times New Roman"/>
                <w:sz w:val="20"/>
              </w:rPr>
              <w:t>0 đơn hoàn tất (Mặc định khi đăng ký)</w:t>
            </w:r>
          </w:p>
        </w:tc>
        <w:tc>
          <w:tcPr>
            <w:tcW w:type="dxa" w:w="1814"/>
            <w:shd w:fill="FFFFFF"/>
            <w:tcMar>
              <w:top w:w="80" w:type="dxa"/>
              <w:bottom w:w="80" w:type="dxa"/>
              <w:left w:w="100" w:type="dxa"/>
              <w:right w:w="100" w:type="dxa"/>
            </w:tcMar>
          </w:tcPr>
          <w:p>
            <w:pPr>
              <w:jc w:val="left"/>
            </w:pPr>
            <w:r>
              <w:rPr>
                <w:rFonts w:ascii="Times New Roman" w:hAnsi="Times New Roman"/>
                <w:sz w:val="20"/>
              </w:rPr>
              <w:t>Không áp dụng</w:t>
            </w:r>
          </w:p>
        </w:tc>
        <w:tc>
          <w:tcPr>
            <w:tcW w:type="dxa" w:w="1814"/>
            <w:shd w:fill="FFFFFF"/>
            <w:tcMar>
              <w:top w:w="80" w:type="dxa"/>
              <w:bottom w:w="80" w:type="dxa"/>
              <w:left w:w="100" w:type="dxa"/>
              <w:right w:w="100" w:type="dxa"/>
            </w:tcMar>
          </w:tcPr>
          <w:p>
            <w:pPr>
              <w:jc w:val="left"/>
            </w:pPr>
            <w:r>
              <w:rPr>
                <w:rFonts w:ascii="Times New Roman" w:hAnsi="Times New Roman"/>
                <w:sz w:val="20"/>
              </w:rPr>
              <w:t>Tiêu chuẩn: 2.000.000đ</w:t>
              <w:br/>
              <w:t>Fast-Track: 6.000.000đ</w:t>
            </w:r>
          </w:p>
        </w:tc>
        <w:tc>
          <w:tcPr>
            <w:tcW w:type="dxa" w:w="1814"/>
            <w:shd w:fill="FFFFFF"/>
            <w:tcMar>
              <w:top w:w="80" w:type="dxa"/>
              <w:bottom w:w="80" w:type="dxa"/>
              <w:left w:w="100" w:type="dxa"/>
              <w:right w:w="100" w:type="dxa"/>
            </w:tcMar>
          </w:tcPr>
          <w:p>
            <w:pPr>
              <w:jc w:val="left"/>
            </w:pPr>
            <w:r>
              <w:rPr>
                <w:rFonts w:ascii="Times New Roman" w:hAnsi="Times New Roman"/>
                <w:sz w:val="20"/>
              </w:rPr>
              <w:t>Cọc 100% giá trị niêm yết</w:t>
              <w:br/>
              <w:t>(Không bảo lãnh / không chiết khấu cọc)</w:t>
              <w:br/>
              <w:t>Trần bảo lãnh tài khoản: 0đ</w:t>
            </w:r>
          </w:p>
        </w:tc>
      </w:tr>
      <w:tr>
        <w:tc>
          <w:tcPr>
            <w:tcW w:type="dxa" w:w="1814"/>
            <w:shd w:fill="F9FBF9"/>
            <w:tcMar>
              <w:top w:w="80" w:type="dxa"/>
              <w:bottom w:w="80" w:type="dxa"/>
              <w:left w:w="100" w:type="dxa"/>
              <w:right w:w="100" w:type="dxa"/>
            </w:tcMar>
          </w:tcPr>
          <w:p>
            <w:pPr>
              <w:jc w:val="left"/>
            </w:pPr>
            <w:r>
              <w:rPr>
                <w:rFonts w:ascii="Times New Roman" w:hAnsi="Times New Roman"/>
                <w:sz w:val="20"/>
              </w:rPr>
              <w:t>LEVEL_1_VERIFIED</w:t>
              <w:br/>
              <w:t>(Tín nhiệm Cơ bản)</w:t>
            </w:r>
          </w:p>
        </w:tc>
        <w:tc>
          <w:tcPr>
            <w:tcW w:type="dxa" w:w="1814"/>
            <w:shd w:fill="F9FBF9"/>
            <w:tcMar>
              <w:top w:w="80" w:type="dxa"/>
              <w:bottom w:w="80" w:type="dxa"/>
              <w:left w:w="100" w:type="dxa"/>
              <w:right w:w="100" w:type="dxa"/>
            </w:tcMar>
          </w:tcPr>
          <w:p>
            <w:pPr>
              <w:jc w:val="left"/>
            </w:pPr>
            <w:r>
              <w:rPr>
                <w:rFonts w:ascii="Times New Roman" w:hAnsi="Times New Roman"/>
                <w:sz w:val="20"/>
              </w:rPr>
              <w:t>≥ 3 đơn hoàn tất</w:t>
              <w:br/>
              <w:t>≥ 1.000.000đ chi tiêu thuê</w:t>
              <w:br/>
              <w:t>≥ 3 đánh giá ≥ 4.0 sao</w:t>
              <w:br/>
              <w:t>≥ 2 chủ đồ khác nhau</w:t>
              <w:br/>
              <w:t>≥ 14 ngày quan sát tín nhiệm</w:t>
              <w:br/>
              <w:t>0 vi phạm xác định lỗi</w:t>
            </w:r>
          </w:p>
        </w:tc>
        <w:tc>
          <w:tcPr>
            <w:tcW w:type="dxa" w:w="1814"/>
            <w:shd w:fill="F9FBF9"/>
            <w:tcMar>
              <w:top w:w="80" w:type="dxa"/>
              <w:bottom w:w="80" w:type="dxa"/>
              <w:left w:w="100" w:type="dxa"/>
              <w:right w:w="100" w:type="dxa"/>
            </w:tcMar>
          </w:tcPr>
          <w:p>
            <w:pPr>
              <w:jc w:val="left"/>
            </w:pPr>
            <w:r>
              <w:rPr>
                <w:rFonts w:ascii="Times New Roman" w:hAnsi="Times New Roman"/>
                <w:sz w:val="20"/>
              </w:rPr>
              <w:t>Quỹ khả dụng ≥ 5.000.000đ</w:t>
              <w:br/>
              <w:t>(Dưới 5tr: cọc 100% toàn sàn)</w:t>
            </w:r>
          </w:p>
        </w:tc>
        <w:tc>
          <w:tcPr>
            <w:tcW w:type="dxa" w:w="1814"/>
            <w:shd w:fill="F9FBF9"/>
            <w:tcMar>
              <w:top w:w="80" w:type="dxa"/>
              <w:bottom w:w="80" w:type="dxa"/>
              <w:left w:w="100" w:type="dxa"/>
              <w:right w:w="100" w:type="dxa"/>
            </w:tcMar>
          </w:tcPr>
          <w:p>
            <w:pPr>
              <w:jc w:val="left"/>
            </w:pPr>
            <w:r>
              <w:rPr>
                <w:rFonts w:ascii="Times New Roman" w:hAnsi="Times New Roman"/>
                <w:sz w:val="20"/>
              </w:rPr>
              <w:t>Tiêu chuẩn: 5.000.000đ</w:t>
              <w:br/>
              <w:t>Fast-Track: 12.000.000đ</w:t>
            </w:r>
          </w:p>
        </w:tc>
        <w:tc>
          <w:tcPr>
            <w:tcW w:type="dxa" w:w="1814"/>
            <w:shd w:fill="F9FBF9"/>
            <w:tcMar>
              <w:top w:w="80" w:type="dxa"/>
              <w:bottom w:w="80" w:type="dxa"/>
              <w:left w:w="100" w:type="dxa"/>
              <w:right w:w="100" w:type="dxa"/>
            </w:tcMar>
          </w:tcPr>
          <w:p>
            <w:pPr>
              <w:jc w:val="left"/>
            </w:pPr>
            <w:r>
              <w:rPr>
                <w:rFonts w:ascii="Times New Roman" w:hAnsi="Times New Roman"/>
                <w:sz w:val="20"/>
              </w:rPr>
              <w:t>Bảo lãnh giảm 10% cọc (trả 90%)</w:t>
              <w:br/>
              <w:t>Trần bảo lãnh tối đa: 200.000đ/đơn</w:t>
              <w:br/>
              <w:t>Trần bảo lãnh tài khoản: 500.000đ</w:t>
              <w:br/>
              <w:t>Tối đa 2 đơn giảm cọc đồng thời</w:t>
            </w:r>
          </w:p>
        </w:tc>
      </w:tr>
      <w:tr>
        <w:tc>
          <w:tcPr>
            <w:tcW w:type="dxa" w:w="1814"/>
            <w:shd w:fill="FFFFFF"/>
            <w:tcMar>
              <w:top w:w="80" w:type="dxa"/>
              <w:bottom w:w="80" w:type="dxa"/>
              <w:left w:w="100" w:type="dxa"/>
              <w:right w:w="100" w:type="dxa"/>
            </w:tcMar>
          </w:tcPr>
          <w:p>
            <w:pPr>
              <w:jc w:val="left"/>
            </w:pPr>
            <w:r>
              <w:rPr>
                <w:rFonts w:ascii="Times New Roman" w:hAnsi="Times New Roman"/>
                <w:sz w:val="20"/>
              </w:rPr>
              <w:t>LEVEL_2_TRUSTED</w:t>
              <w:br/>
              <w:t>(Khách Quen Uy Tín)</w:t>
            </w:r>
          </w:p>
        </w:tc>
        <w:tc>
          <w:tcPr>
            <w:tcW w:type="dxa" w:w="1814"/>
            <w:shd w:fill="FFFFFF"/>
            <w:tcMar>
              <w:top w:w="80" w:type="dxa"/>
              <w:bottom w:w="80" w:type="dxa"/>
              <w:left w:w="100" w:type="dxa"/>
              <w:right w:w="100" w:type="dxa"/>
            </w:tcMar>
          </w:tcPr>
          <w:p>
            <w:pPr>
              <w:jc w:val="left"/>
            </w:pPr>
            <w:r>
              <w:rPr>
                <w:rFonts w:ascii="Times New Roman" w:hAnsi="Times New Roman"/>
                <w:sz w:val="20"/>
              </w:rPr>
              <w:t>≥ 8 đơn hoàn tất</w:t>
              <w:br/>
              <w:t>≥ 3.000.000đ chi tiêu thuê</w:t>
              <w:br/>
              <w:t>≥ 8 đánh giá ≥ 4.0 sao</w:t>
              <w:br/>
              <w:t>≥ 3 chủ đồ khác nhau</w:t>
              <w:br/>
              <w:t>≥ 14 ngày quan sát tín nhiệm</w:t>
              <w:br/>
              <w:t>0 vi phạm xác định lỗi</w:t>
            </w:r>
          </w:p>
        </w:tc>
        <w:tc>
          <w:tcPr>
            <w:tcW w:type="dxa" w:w="1814"/>
            <w:shd w:fill="FFFFFF"/>
            <w:tcMar>
              <w:top w:w="80" w:type="dxa"/>
              <w:bottom w:w="80" w:type="dxa"/>
              <w:left w:w="100" w:type="dxa"/>
              <w:right w:w="100" w:type="dxa"/>
            </w:tcMar>
          </w:tcPr>
          <w:p>
            <w:pPr>
              <w:jc w:val="left"/>
            </w:pPr>
            <w:r>
              <w:rPr>
                <w:rFonts w:ascii="Times New Roman" w:hAnsi="Times New Roman"/>
                <w:sz w:val="20"/>
              </w:rPr>
              <w:t>Quỹ khả dụng ≥ 15.000.000đ</w:t>
              <w:br/>
              <w:t>(Dưới 15tr: hạ về Level 1)</w:t>
            </w:r>
          </w:p>
        </w:tc>
        <w:tc>
          <w:tcPr>
            <w:tcW w:type="dxa" w:w="1814"/>
            <w:shd w:fill="FFFFFF"/>
            <w:tcMar>
              <w:top w:w="80" w:type="dxa"/>
              <w:bottom w:w="80" w:type="dxa"/>
              <w:left w:w="100" w:type="dxa"/>
              <w:right w:w="100" w:type="dxa"/>
            </w:tcMar>
          </w:tcPr>
          <w:p>
            <w:pPr>
              <w:jc w:val="left"/>
            </w:pPr>
            <w:r>
              <w:rPr>
                <w:rFonts w:ascii="Times New Roman" w:hAnsi="Times New Roman"/>
                <w:sz w:val="20"/>
              </w:rPr>
              <w:t>Tiêu chuẩn: 10.000.000đ</w:t>
              <w:br/>
              <w:t>Fast-Track: 20.000.000đ</w:t>
            </w:r>
          </w:p>
        </w:tc>
        <w:tc>
          <w:tcPr>
            <w:tcW w:type="dxa" w:w="1814"/>
            <w:shd w:fill="FFFFFF"/>
            <w:tcMar>
              <w:top w:w="80" w:type="dxa"/>
              <w:bottom w:w="80" w:type="dxa"/>
              <w:left w:w="100" w:type="dxa"/>
              <w:right w:w="100" w:type="dxa"/>
            </w:tcMar>
          </w:tcPr>
          <w:p>
            <w:pPr>
              <w:jc w:val="left"/>
            </w:pPr>
            <w:r>
              <w:rPr>
                <w:rFonts w:ascii="Times New Roman" w:hAnsi="Times New Roman"/>
                <w:sz w:val="20"/>
              </w:rPr>
              <w:t>Bảo lãnh giảm 20% cọc (trả 80%)</w:t>
              <w:br/>
              <w:t>Trần bảo lãnh tối đa: 500.000đ/đơn</w:t>
              <w:br/>
              <w:t>Trần bảo lãnh tài khoản: 1.500.000đ</w:t>
              <w:br/>
              <w:t>Tối đa 4 đơn giảm cọc đồng thời</w:t>
            </w:r>
          </w:p>
        </w:tc>
      </w:tr>
      <w:tr>
        <w:tc>
          <w:tcPr>
            <w:tcW w:type="dxa" w:w="1814"/>
            <w:shd w:fill="F9FBF9"/>
            <w:tcMar>
              <w:top w:w="80" w:type="dxa"/>
              <w:bottom w:w="80" w:type="dxa"/>
              <w:left w:w="100" w:type="dxa"/>
              <w:right w:w="100" w:type="dxa"/>
            </w:tcMar>
          </w:tcPr>
          <w:p>
            <w:pPr>
              <w:jc w:val="left"/>
            </w:pPr>
            <w:r>
              <w:rPr>
                <w:rFonts w:ascii="Times New Roman" w:hAnsi="Times New Roman"/>
                <w:sz w:val="20"/>
              </w:rPr>
              <w:t>LEVEL_3_VIP</w:t>
              <w:br/>
              <w:t>(CLOOP VIP Club)</w:t>
            </w:r>
          </w:p>
        </w:tc>
        <w:tc>
          <w:tcPr>
            <w:tcW w:type="dxa" w:w="1814"/>
            <w:shd w:fill="F9FBF9"/>
            <w:tcMar>
              <w:top w:w="80" w:type="dxa"/>
              <w:bottom w:w="80" w:type="dxa"/>
              <w:left w:w="100" w:type="dxa"/>
              <w:right w:w="100" w:type="dxa"/>
            </w:tcMar>
          </w:tcPr>
          <w:p>
            <w:pPr>
              <w:jc w:val="left"/>
            </w:pPr>
            <w:r>
              <w:rPr>
                <w:rFonts w:ascii="Times New Roman" w:hAnsi="Times New Roman"/>
                <w:sz w:val="20"/>
              </w:rPr>
              <w:t>≥ 12 đơn hoàn tất</w:t>
              <w:br/>
              <w:t>≥ 8.000.000đ chi tiêu thuê</w:t>
              <w:br/>
              <w:t>Đánh giá TB ≥ 4.5 sao</w:t>
              <w:br/>
              <w:t>≥ 5 chủ đồ khác nhau</w:t>
              <w:br/>
              <w:t>≥ 14 ngày quan sát tín nhiệm</w:t>
              <w:br/>
              <w:t>0 vi phạm xác định lỗi</w:t>
            </w:r>
          </w:p>
        </w:tc>
        <w:tc>
          <w:tcPr>
            <w:tcW w:type="dxa" w:w="1814"/>
            <w:shd w:fill="F9FBF9"/>
            <w:tcMar>
              <w:top w:w="80" w:type="dxa"/>
              <w:bottom w:w="80" w:type="dxa"/>
              <w:left w:w="100" w:type="dxa"/>
              <w:right w:w="100" w:type="dxa"/>
            </w:tcMar>
          </w:tcPr>
          <w:p>
            <w:pPr>
              <w:jc w:val="left"/>
            </w:pPr>
            <w:r>
              <w:rPr>
                <w:rFonts w:ascii="Times New Roman" w:hAnsi="Times New Roman"/>
                <w:sz w:val="20"/>
              </w:rPr>
              <w:t>Quỹ khả dụng ≥ 30.000.000đ</w:t>
              <w:br/>
              <w:t>(Dưới 30tr: hạ về Level 2)</w:t>
            </w:r>
          </w:p>
        </w:tc>
        <w:tc>
          <w:tcPr>
            <w:tcW w:type="dxa" w:w="1814"/>
            <w:shd w:fill="F9FBF9"/>
            <w:tcMar>
              <w:top w:w="80" w:type="dxa"/>
              <w:bottom w:w="80" w:type="dxa"/>
              <w:left w:w="100" w:type="dxa"/>
              <w:right w:w="100" w:type="dxa"/>
            </w:tcMar>
          </w:tcPr>
          <w:p>
            <w:pPr>
              <w:jc w:val="left"/>
            </w:pPr>
            <w:r>
              <w:rPr>
                <w:rFonts w:ascii="Times New Roman" w:hAnsi="Times New Roman"/>
                <w:sz w:val="20"/>
              </w:rPr>
              <w:t>Tiêu chuẩn: 25.000.000đ</w:t>
              <w:br/>
              <w:t>Fast-Track: 35.000.000đ</w:t>
            </w:r>
          </w:p>
        </w:tc>
        <w:tc>
          <w:tcPr>
            <w:tcW w:type="dxa" w:w="1814"/>
            <w:shd w:fill="F9FBF9"/>
            <w:tcMar>
              <w:top w:w="80" w:type="dxa"/>
              <w:bottom w:w="80" w:type="dxa"/>
              <w:left w:w="100" w:type="dxa"/>
              <w:right w:w="100" w:type="dxa"/>
            </w:tcMar>
          </w:tcPr>
          <w:p>
            <w:pPr>
              <w:jc w:val="left"/>
            </w:pPr>
            <w:r>
              <w:rPr>
                <w:rFonts w:ascii="Times New Roman" w:hAnsi="Times New Roman"/>
                <w:sz w:val="20"/>
              </w:rPr>
              <w:t>Bảo lãnh giảm 30% cọc (trả 70%)</w:t>
              <w:br/>
              <w:t>Trần bảo lãnh tối đa: 1.000.000đ/đơn</w:t>
              <w:br/>
              <w:t>Trần bảo lãnh tài khoản: 3.000.000đ</w:t>
              <w:br/>
              <w:t>Tối đa 6 đơn giảm cọc đồng thời</w:t>
              <w:br/>
              <w:t>(TUYỆT ĐỐI KHÔNG CỌC 0 ĐỒNG)</w:t>
            </w:r>
          </w:p>
        </w:tc>
      </w:tr>
    </w:tbl>
    <w:p>
      <w:pPr>
        <w:keepNext/>
        <w:spacing w:before="200" w:after="80"/>
      </w:pPr>
      <w:r>
        <w:rPr>
          <w:rFonts w:ascii="Times New Roman" w:hAnsi="Times New Roman"/>
          <w:b/>
          <w:color w:val="183A2D"/>
          <w:sz w:val="26"/>
        </w:rPr>
        <w:t>1. Phân Tách Lỗi Đã Xác Định (Fault-Confirmed) vs Hủy Đơn Hợp Lệ</w:t>
      </w:r>
    </w:p>
    <w:p>
      <w:pPr>
        <w:spacing w:after="80"/>
        <w:jc w:val="both"/>
      </w:pPr>
      <w:r>
        <w:rPr>
          <w:rFonts w:ascii="Times New Roman" w:hAnsi="Times New Roman"/>
          <w:sz w:val="25"/>
        </w:rPr>
        <w:t>Hệ thống phân biệt rạch ròi hành vi vi phạm có lỗi với việc hủy đơn vì lý do khách quan nhằm không phạt nhầm khách hàng trung thực:</w:t>
      </w:r>
    </w:p>
    <w:p>
      <w:pPr>
        <w:pStyle w:val="ListBullet"/>
        <w:spacing w:after="60"/>
        <w:jc w:val="both"/>
      </w:pPr>
      <w:r>
        <w:rPr>
          <w:rFonts w:ascii="Times New Roman" w:hAnsi="Times New Roman"/>
          <w:b/>
          <w:sz w:val="25"/>
        </w:rPr>
        <w:t xml:space="preserve">• Lỗi Vi Phạm Xác Định (Phạt Hạ Level 0): </w:t>
      </w:r>
      <w:r>
        <w:rPr>
          <w:rFonts w:ascii="Times New Roman" w:hAnsi="Times New Roman"/>
          <w:sz w:val="25"/>
        </w:rPr>
        <w:t>Chỉ khi người thuê có hành vi gian lận bùng đồ, phá hỏng trang phục nghiêm trọng đã có quyết định xử lý bồi thường (fraudConfirmedDisputeCount &gt; 0), trả đồ trễ hạn nghiêm trọng quá 2 ngày không báo trước (seriousLateReturnCount &gt; 0), hoặc hủy đơn cố ý / spam đơn ảo (intentionalCancellationCount &gt; 0).</w:t>
      </w:r>
    </w:p>
    <w:p>
      <w:pPr>
        <w:pStyle w:val="ListBullet"/>
        <w:spacing w:after="60"/>
        <w:jc w:val="both"/>
      </w:pPr>
      <w:r>
        <w:rPr>
          <w:rFonts w:ascii="Times New Roman" w:hAnsi="Times New Roman"/>
          <w:b/>
          <w:sz w:val="25"/>
        </w:rPr>
        <w:t xml:space="preserve">• Tranh Chấp Đang Mở (Tạm Đóng Băng Quyền Lợi): </w:t>
      </w:r>
      <w:r>
        <w:rPr>
          <w:rFonts w:ascii="Times New Roman" w:hAnsi="Times New Roman"/>
          <w:sz w:val="25"/>
        </w:rPr>
        <w:t>Khi tài khoản đang có khiếu nại chưa xử lý (openDisputeCount &gt; 0), hệ thống tạm thời khóa quyền giảm cọc trong thời gian thụ lý thẩm định; KHÔNG đánh tụt Level 0 vĩnh viễn và KHÔNG xóa điểm uy tín của khách.</w:t>
      </w:r>
    </w:p>
    <w:p>
      <w:pPr>
        <w:pStyle w:val="ListBullet"/>
        <w:spacing w:after="60"/>
        <w:jc w:val="both"/>
      </w:pPr>
      <w:r>
        <w:rPr>
          <w:rFonts w:ascii="Times New Roman" w:hAnsi="Times New Roman"/>
          <w:b/>
          <w:sz w:val="25"/>
        </w:rPr>
        <w:t xml:space="preserve">• Hủy Đơn Khách Quan (Miễn Trừ Phạt): </w:t>
      </w:r>
      <w:r>
        <w:rPr>
          <w:rFonts w:ascii="Times New Roman" w:hAnsi="Times New Roman"/>
          <w:sz w:val="25"/>
        </w:rPr>
        <w:t>Đơn bị hủy do phía chủ đồ hết hàng, thời tiết xấu hoặc lỗi vận chuyển GHN hoàn toàn không làm giảm điểm Trust Score hay thứ hạng của khách thuê.</w:t>
      </w:r>
    </w:p>
    <w:p>
      <w:pPr>
        <w:keepNext/>
        <w:spacing w:before="200" w:after="80"/>
      </w:pPr>
      <w:r>
        <w:rPr>
          <w:rFonts w:ascii="Times New Roman" w:hAnsi="Times New Roman"/>
          <w:b/>
          <w:color w:val="183A2D"/>
          <w:sz w:val="26"/>
        </w:rPr>
        <w:t>2. Định Nghĩa Chuẩn Xác Thời Gian Quan Sát Tín Nhiệm (14-Day Observation Window)</w:t>
      </w:r>
    </w:p>
    <w:p>
      <w:pPr>
        <w:spacing w:after="80"/>
        <w:jc w:val="both"/>
      </w:pPr>
      <w:r>
        <w:rPr>
          <w:rFonts w:ascii="Times New Roman" w:hAnsi="Times New Roman"/>
          <w:sz w:val="25"/>
        </w:rPr>
        <w:t>Quy tắc 14 ngày của Level 1 được định nghĩa chính xác là: Thời gian quan sát tín nhiệm từ ngày hoàn tất đơn đầu tiên đến ngày xét duyệt hạng (daysSinceFirstCompletedOrder &gt;= 14 ngày). Người dùng có thể thuê nhiều đơn trong 14 ngày này, nhưng không thể dùng chiêu trò farm 3 đơn trong cùng 1 buổi chiều để lập tức mở khóa giảm cọc.</w:t>
      </w:r>
    </w:p>
    <w:p>
      <w:pPr>
        <w:keepNext/>
        <w:spacing w:before="200" w:after="80"/>
      </w:pPr>
      <w:r>
        <w:rPr>
          <w:rFonts w:ascii="Times New Roman" w:hAnsi="Times New Roman"/>
          <w:b/>
          <w:color w:val="183A2D"/>
          <w:sz w:val="26"/>
        </w:rPr>
        <w:t>3. Quỹ Dự Phòng Khả Dụng (availableReserve) &amp; Circuit Breaker Tự Động</w:t>
      </w:r>
    </w:p>
    <w:p>
      <w:pPr>
        <w:spacing w:after="80"/>
        <w:jc w:val="both"/>
      </w:pPr>
      <w:r>
        <w:rPr>
          <w:rFonts w:ascii="Times New Roman" w:hAnsi="Times New Roman"/>
          <w:sz w:val="25"/>
        </w:rPr>
        <w:t>Ngưỡng mở hạng bảo lãnh cọc (5M / 15M / 30M) được tính toán nghiêm ngặt theo Quỹ Dự Phòng Khả Dụng thực tế chứ không căn cứ theo số dư danh nghĩa trên sổ sách:</w:t>
      </w:r>
    </w:p>
    <w:p>
      <w:pPr>
        <w:pStyle w:val="ListBullet"/>
        <w:spacing w:after="60"/>
        <w:jc w:val="both"/>
      </w:pPr>
      <w:r>
        <w:rPr>
          <w:rFonts w:ascii="Times New Roman" w:hAnsi="Times New Roman"/>
          <w:b/>
          <w:sz w:val="25"/>
        </w:rPr>
        <w:t xml:space="preserve">• Công Thức Quỹ Khả Dụng: </w:t>
      </w:r>
      <w:r>
        <w:rPr>
          <w:rFonts w:ascii="Times New Roman" w:hAnsi="Times New Roman"/>
          <w:sz w:val="25"/>
        </w:rPr>
        <w:t>availableReserve = currentReserveFundBalance - (paidClaims + pendingClaims + committedActiveGuarantees + lockedFunds). Trong đó khấu trừ cả các yêu cầu bồi thường đang thẩm định (pendingClaims) và tổng tiền bảo lãnh đang lưu hành trên các đơn thuê chưa hoàn tất (committedActiveGuarantees).</w:t>
      </w:r>
    </w:p>
    <w:p>
      <w:pPr>
        <w:pStyle w:val="ListBullet"/>
        <w:spacing w:after="60"/>
        <w:jc w:val="both"/>
      </w:pPr>
      <w:r>
        <w:rPr>
          <w:rFonts w:ascii="Times New Roman" w:hAnsi="Times New Roman"/>
          <w:b/>
          <w:sz w:val="25"/>
        </w:rPr>
        <w:t xml:space="preserve">• Ngắt Mạch Circuit Breaker: </w:t>
      </w:r>
      <w:r>
        <w:rPr>
          <w:rFonts w:ascii="Times New Roman" w:hAnsi="Times New Roman"/>
          <w:sz w:val="25"/>
        </w:rPr>
        <w:t>Tự động kích hoạt khi tổng tiền đã chi bồi thường + khiếu nại mở + bảo lãnh đang cam kết &gt;= 30% số dư quỹ đầu tháng (openingReserveFundBalance * 30%) HOẶC khi availableReserve &lt;= 0. Khi đó toàn sàn lập tức chuyển về cọc 100% để bảo toàn 70% đệm thanh khoản.</w:t>
      </w:r>
    </w:p>
    <w:p>
      <w:pPr>
        <w:keepNext/>
        <w:spacing w:before="200" w:after="80"/>
      </w:pPr>
      <w:r>
        <w:rPr>
          <w:rFonts w:ascii="Times New Roman" w:hAnsi="Times New Roman"/>
          <w:b/>
          <w:color w:val="183A2D"/>
          <w:sz w:val="26"/>
        </w:rPr>
        <w:t>4. Hạn Mức Rủi Ro Theo Từng Tài Khoản (Per-Account Exposure Limits)</w:t>
      </w:r>
    </w:p>
    <w:p>
      <w:pPr>
        <w:spacing w:after="80"/>
        <w:jc w:val="both"/>
      </w:pPr>
      <w:r>
        <w:rPr>
          <w:rFonts w:ascii="Times New Roman" w:hAnsi="Times New Roman"/>
          <w:sz w:val="25"/>
        </w:rPr>
        <w:t>Để ngăn chặn 1 tài khoản cấp cao tạo hàng loạt đơn thuê đồng thời làm phình rủi ro bảo lãnh của sàn, CLOOP giới hạn kép trên từng tài khoản:</w:t>
      </w:r>
    </w:p>
    <w:p>
      <w:pPr>
        <w:pStyle w:val="ListBullet"/>
        <w:spacing w:after="60"/>
        <w:jc w:val="both"/>
      </w:pPr>
      <w:r>
        <w:rPr>
          <w:rFonts w:ascii="Times New Roman" w:hAnsi="Times New Roman"/>
          <w:b/>
          <w:sz w:val="25"/>
        </w:rPr>
        <w:t xml:space="preserve">• Level 1 Verified: </w:t>
      </w:r>
      <w:r>
        <w:rPr>
          <w:rFonts w:ascii="Times New Roman" w:hAnsi="Times New Roman"/>
          <w:sz w:val="25"/>
        </w:rPr>
        <w:t>Tối đa 500.000đ bảo lãnh đang mở toàn tài khoản, tối đa 2 đơn giảm cọc đồng thời.</w:t>
      </w:r>
    </w:p>
    <w:p>
      <w:pPr>
        <w:pStyle w:val="ListBullet"/>
        <w:spacing w:after="60"/>
        <w:jc w:val="both"/>
      </w:pPr>
      <w:r>
        <w:rPr>
          <w:rFonts w:ascii="Times New Roman" w:hAnsi="Times New Roman"/>
          <w:b/>
          <w:sz w:val="25"/>
        </w:rPr>
        <w:t xml:space="preserve">• Level 2 Trusted: </w:t>
      </w:r>
      <w:r>
        <w:rPr>
          <w:rFonts w:ascii="Times New Roman" w:hAnsi="Times New Roman"/>
          <w:sz w:val="25"/>
        </w:rPr>
        <w:t>Tối đa 1.500.000đ bảo lãnh đang mở toàn tài khoản, tối đa 4 đơn giảm cọc đồng thời.</w:t>
      </w:r>
    </w:p>
    <w:p>
      <w:pPr>
        <w:pStyle w:val="ListBullet"/>
        <w:spacing w:after="60"/>
        <w:jc w:val="both"/>
      </w:pPr>
      <w:r>
        <w:rPr>
          <w:rFonts w:ascii="Times New Roman" w:hAnsi="Times New Roman"/>
          <w:b/>
          <w:sz w:val="25"/>
        </w:rPr>
        <w:t xml:space="preserve">• Level 3 VIP Club: </w:t>
      </w:r>
      <w:r>
        <w:rPr>
          <w:rFonts w:ascii="Times New Roman" w:hAnsi="Times New Roman"/>
          <w:sz w:val="25"/>
        </w:rPr>
        <w:t>Tối đa 3.000.000đ bảo lãnh đang mở toàn tài khoản, tối đa 6 đơn giảm cọc đồng thời.</w:t>
      </w:r>
    </w:p>
    <w:p>
      <w:pPr>
        <w:pStyle w:val="ListBullet"/>
        <w:spacing w:after="60"/>
        <w:jc w:val="both"/>
      </w:pPr>
      <w:r>
        <w:rPr>
          <w:rFonts w:ascii="Times New Roman" w:hAnsi="Times New Roman"/>
          <w:b/>
          <w:sz w:val="25"/>
        </w:rPr>
        <w:t xml:space="preserve">• Cơ Chế Vượt Trần: </w:t>
      </w:r>
      <w:r>
        <w:rPr>
          <w:rFonts w:ascii="Times New Roman" w:hAnsi="Times New Roman"/>
          <w:sz w:val="25"/>
        </w:rPr>
        <w:t>Khi chạm một trong hai giới hạn trên, các đơn thuê phát sinh tiếp theo tự động áp dụng mức cọc tiêu chuẩn 100% cho đến khi các đơn cũ hoàn tất nghiệm thu và trả đồ.</w:t>
      </w:r>
    </w:p>
    <w:p>
      <w:pPr>
        <w:keepNext/>
        <w:spacing w:before="200" w:after="80"/>
      </w:pPr>
      <w:r>
        <w:rPr>
          <w:rFonts w:ascii="Times New Roman" w:hAnsi="Times New Roman"/>
          <w:b/>
          <w:color w:val="183A2D"/>
          <w:sz w:val="26"/>
        </w:rPr>
        <w:t>5. Giới Hạn Trách Nhiệm Pháp Lý Minh Bạch (Limit of Liability &amp; Valuation Cap)</w:t>
      </w:r>
    </w:p>
    <w:p>
      <w:pPr>
        <w:spacing w:after="80"/>
        <w:jc w:val="both"/>
      </w:pPr>
      <w:r>
        <w:rPr>
          <w:rFonts w:ascii="Times New Roman" w:hAnsi="Times New Roman"/>
          <w:sz w:val="25"/>
        </w:rPr>
        <w:t>CLOOP công bố công khai trần trách nhiệm pháp lý trong Điều khoản Dịch vụ Điện tử và giao diện trước khi thanh toán:</w:t>
      </w:r>
    </w:p>
    <w:p>
      <w:pPr>
        <w:pStyle w:val="ListBullet"/>
        <w:spacing w:after="60"/>
        <w:jc w:val="both"/>
      </w:pPr>
      <w:r>
        <w:rPr>
          <w:rFonts w:ascii="Times New Roman" w:hAnsi="Times New Roman"/>
          <w:b/>
          <w:sz w:val="25"/>
        </w:rPr>
        <w:t xml:space="preserve">• Công Thức Trách Nhiệm Tối Đa Của Sàn: </w:t>
      </w:r>
      <w:r>
        <w:rPr>
          <w:rFonts w:ascii="Times New Roman" w:hAnsi="Times New Roman"/>
          <w:sz w:val="25"/>
        </w:rPr>
        <w:t>Trách nhiệm bồi thường tối đa = Tiền cọc thực tế đã thu + Khoản bảo lãnh được duyệt của đơn (không vượt quá hạn mức công bố trước giao dịch). Sàn không cam kết bồi thường vượt quá tổng số tiền này.</w:t>
      </w:r>
    </w:p>
    <w:p>
      <w:pPr>
        <w:pStyle w:val="ListBullet"/>
        <w:spacing w:after="60"/>
        <w:jc w:val="both"/>
      </w:pPr>
      <w:r>
        <w:rPr>
          <w:rFonts w:ascii="Times New Roman" w:hAnsi="Times New Roman"/>
          <w:b/>
          <w:sz w:val="25"/>
        </w:rPr>
        <w:t xml:space="preserve">• Chấp Thuận Của Chủ Tủ: </w:t>
      </w:r>
      <w:r>
        <w:rPr>
          <w:rFonts w:ascii="Times New Roman" w:hAnsi="Times New Roman"/>
          <w:sz w:val="25"/>
        </w:rPr>
        <w:t>Chủ tủ xác nhận đồng ý với trần trách nhiệm này ngay khi niêm yết món đồ lên tủ.</w:t>
      </w:r>
    </w:p>
    <w:p>
      <w:pPr>
        <w:keepNext/>
        <w:spacing w:before="200" w:after="80"/>
      </w:pPr>
      <w:r>
        <w:rPr>
          <w:rFonts w:ascii="Times New Roman" w:hAnsi="Times New Roman"/>
          <w:b/>
          <w:color w:val="183A2D"/>
          <w:sz w:val="26"/>
        </w:rPr>
        <w:t>6. Trải Nghiệm Khách Vãng Lai Đăng Đồ (Guest Creator UX)</w:t>
      </w:r>
    </w:p>
    <w:p>
      <w:pPr>
        <w:spacing w:after="80"/>
        <w:jc w:val="both"/>
      </w:pPr>
      <w:r>
        <w:rPr>
          <w:rFonts w:ascii="Times New Roman" w:hAnsi="Times New Roman"/>
          <w:sz w:val="25"/>
        </w:rPr>
        <w:t>Nhằm tối ưu hóa tỷ lệ chuyển đổi người bán mới, CLOOP phân tách trải nghiệm điền form và quyền ghi cơ sở dữ liệu:</w:t>
      </w:r>
    </w:p>
    <w:p>
      <w:pPr>
        <w:pStyle w:val="ListBullet"/>
        <w:spacing w:after="60"/>
        <w:jc w:val="both"/>
      </w:pPr>
      <w:r>
        <w:rPr>
          <w:rFonts w:ascii="Times New Roman" w:hAnsi="Times New Roman"/>
          <w:b/>
          <w:sz w:val="25"/>
        </w:rPr>
        <w:t xml:space="preserve">• Miễn Trừ Điều Hướng Bắt Buộc: </w:t>
      </w:r>
      <w:r>
        <w:rPr>
          <w:rFonts w:ascii="Times New Roman" w:hAnsi="Times New Roman"/>
          <w:sz w:val="25"/>
        </w:rPr>
        <w:t>Middleware miễn trừ đường dẫn /my-closet/create, cho phép khách vãng lai (chưa đăng nhập) vào xem giao diện sổ tay vintage, tải ảnh, cắt ảnh, sử dụng AI Auto-fill và điền toàn bộ thông tin sản phẩm.</w:t>
      </w:r>
    </w:p>
    <w:p>
      <w:pPr>
        <w:pStyle w:val="ListBullet"/>
        <w:spacing w:after="60"/>
        <w:jc w:val="both"/>
      </w:pPr>
      <w:r>
        <w:rPr>
          <w:rFonts w:ascii="Times New Roman" w:hAnsi="Times New Roman"/>
          <w:b/>
          <w:sz w:val="25"/>
        </w:rPr>
        <w:t xml:space="preserve">• Lưu Trữ Bản Nháp Tạm Thời: </w:t>
      </w:r>
      <w:r>
        <w:rPr>
          <w:rFonts w:ascii="Times New Roman" w:hAnsi="Times New Roman"/>
          <w:sz w:val="25"/>
        </w:rPr>
        <w:t>Khi khách bấm nút 'Cất vào Tủ Đồ CLOOP', hệ thống tự động lưu toàn bộ dữ liệu vào sessionStorage, bật Modal đăng nhập/đăng ký kèm thông điệp thân thiện: 'Đăng nhập để cất món đồ xinh xắn này vào tủ đồ CLOOP của bạn nhé!'.</w:t>
      </w:r>
    </w:p>
    <w:p>
      <w:pPr>
        <w:pStyle w:val="ListBullet"/>
        <w:spacing w:after="60"/>
        <w:jc w:val="both"/>
      </w:pPr>
      <w:r>
        <w:rPr>
          <w:rFonts w:ascii="Times New Roman" w:hAnsi="Times New Roman"/>
          <w:b/>
          <w:sz w:val="25"/>
        </w:rPr>
        <w:t xml:space="preserve">• Tự Động Khôi Phục: </w:t>
      </w:r>
      <w:r>
        <w:rPr>
          <w:rFonts w:ascii="Times New Roman" w:hAnsi="Times New Roman"/>
          <w:sz w:val="25"/>
        </w:rPr>
        <w:t>Sau khi đăng nhập thành công, form tự động khôi phục trọn vẹn dữ liệu nháp để khách hoàn tất đăng đồ mà không phải nhập lại từ đầu.</w:t>
      </w:r>
    </w:p>
    <w:p>
      <w:pPr>
        <w:keepNext/>
        <w:spacing w:before="200" w:after="80"/>
      </w:pPr>
      <w:r>
        <w:rPr>
          <w:rFonts w:ascii="Times New Roman" w:hAnsi="Times New Roman"/>
          <w:b/>
          <w:color w:val="183A2D"/>
          <w:sz w:val="26"/>
        </w:rPr>
        <w:t>7. Khấu Trừ Doanh Thu Thuần &amp; Mô Hình Sức Căng 3 Kịch Bản (Unit Economics &amp; Break-Even)</w:t>
      </w:r>
    </w:p>
    <w:p>
      <w:pPr>
        <w:spacing w:after="80"/>
        <w:jc w:val="both"/>
      </w:pPr>
      <w:r>
        <w:rPr>
          <w:rFonts w:ascii="Times New Roman" w:hAnsi="Times New Roman"/>
          <w:sz w:val="25"/>
        </w:rPr>
        <w:t>CLOOP không tuyên bố chủ quan 'sàn không thể lỗ' hay 'bảo toàn vốn 100%'. Thay vào đó, tính khả thi tài chính được chứng minh thông qua công thức Doanh thu thuần thực tế đã trừ trọn vẹn các chi phí phát sinh:</w:t>
      </w:r>
    </w:p>
    <w:p>
      <w:pPr>
        <w:pStyle w:val="ListBullet"/>
        <w:spacing w:after="60"/>
        <w:jc w:val="both"/>
      </w:pPr>
      <w:r>
        <w:rPr>
          <w:rFonts w:ascii="Times New Roman" w:hAnsi="Times New Roman"/>
          <w:b/>
          <w:sz w:val="25"/>
        </w:rPr>
        <w:t xml:space="preserve">• Công Thức Doanh Thu Thuần / Đơn: </w:t>
      </w:r>
      <w:r>
        <w:rPr>
          <w:rFonts w:ascii="Times New Roman" w:hAnsi="Times New Roman"/>
          <w:sz w:val="25"/>
        </w:rPr>
        <w:t>Net Rental Revenue = Gross Rental Fee - Student Voucher (10%) - Payment Gateway Fee - Customer Support/Dispute Cost. Trong đó, với đơn hàng trung bình 350.000đ, doanh thu gộp của sàn (12%) là 42.000đ; sau khi khấu trừ trung bình voucher sinh viên và chi phí thanh toán/hỗ trợ, doanh thu thuần thực thu đạt khoảng 44.000đ (khi tính kèm thặng dư logistics Block 5K).</w:t>
      </w:r>
    </w:p>
    <w:p>
      <w:pPr>
        <w:spacing w:after="80"/>
        <w:jc w:val="both"/>
      </w:pPr>
      <w:r>
        <w:rPr>
          <w:rFonts w:ascii="Times New Roman" w:hAnsi="Times New Roman"/>
          <w:sz w:val="25"/>
        </w:rPr>
        <w:t>Bảng phân tích độ nhạy 3 kịch bản vận hành thực tế dựa trên chi phí rủi ro và tỷ lệ tổn thất danh mục:</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Chỉ Số Tài Chính / Vận Hành</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Thuận Lợi</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Cơ Sở</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Kịch Bản Thử Thách</w:t>
            </w:r>
          </w:p>
        </w:tc>
      </w:tr>
      <w:tr>
        <w:tc>
          <w:tcPr>
            <w:tcW w:type="dxa" w:w="2268"/>
            <w:shd w:fill="FFFFFF"/>
            <w:tcMar>
              <w:top w:w="80" w:type="dxa"/>
              <w:bottom w:w="80" w:type="dxa"/>
              <w:left w:w="100" w:type="dxa"/>
              <w:right w:w="100" w:type="dxa"/>
            </w:tcMar>
          </w:tcPr>
          <w:p>
            <w:pPr>
              <w:jc w:val="left"/>
            </w:pPr>
            <w:r>
              <w:rPr>
                <w:rFonts w:ascii="Times New Roman" w:hAnsi="Times New Roman"/>
                <w:sz w:val="20"/>
              </w:rPr>
              <w:t>Tỷ lệ phát sinh tranh chấp (Dispute Rate)</w:t>
            </w:r>
          </w:p>
        </w:tc>
        <w:tc>
          <w:tcPr>
            <w:tcW w:type="dxa" w:w="2268"/>
            <w:shd w:fill="FFFFFF"/>
            <w:tcMar>
              <w:top w:w="80" w:type="dxa"/>
              <w:bottom w:w="80" w:type="dxa"/>
              <w:left w:w="100" w:type="dxa"/>
              <w:right w:w="100" w:type="dxa"/>
            </w:tcMar>
          </w:tcPr>
          <w:p>
            <w:pPr>
              <w:jc w:val="center"/>
            </w:pPr>
            <w:r>
              <w:rPr>
                <w:rFonts w:ascii="Times New Roman" w:hAnsi="Times New Roman"/>
                <w:sz w:val="20"/>
              </w:rPr>
              <w:t>1.0% tổng đơn</w:t>
            </w:r>
          </w:p>
        </w:tc>
        <w:tc>
          <w:tcPr>
            <w:tcW w:type="dxa" w:w="2268"/>
            <w:shd w:fill="FFFFFF"/>
            <w:tcMar>
              <w:top w:w="80" w:type="dxa"/>
              <w:bottom w:w="80" w:type="dxa"/>
              <w:left w:w="100" w:type="dxa"/>
              <w:right w:w="100" w:type="dxa"/>
            </w:tcMar>
          </w:tcPr>
          <w:p>
            <w:pPr>
              <w:jc w:val="center"/>
            </w:pPr>
            <w:r>
              <w:rPr>
                <w:rFonts w:ascii="Times New Roman" w:hAnsi="Times New Roman"/>
                <w:sz w:val="20"/>
              </w:rPr>
              <w:t>3.0% tổng đơn</w:t>
            </w:r>
          </w:p>
        </w:tc>
        <w:tc>
          <w:tcPr>
            <w:tcW w:type="dxa" w:w="2268"/>
            <w:shd w:fill="FFFFFF"/>
            <w:tcMar>
              <w:top w:w="80" w:type="dxa"/>
              <w:bottom w:w="80" w:type="dxa"/>
              <w:left w:w="100" w:type="dxa"/>
              <w:right w:w="100" w:type="dxa"/>
            </w:tcMar>
          </w:tcPr>
          <w:p>
            <w:pPr>
              <w:jc w:val="center"/>
            </w:pPr>
            <w:r>
              <w:rPr>
                <w:rFonts w:ascii="Times New Roman" w:hAnsi="Times New Roman"/>
                <w:sz w:val="20"/>
              </w:rPr>
              <w:t>6.0% tổng đơn</w:t>
            </w:r>
          </w:p>
        </w:tc>
      </w:tr>
      <w:tr>
        <w:tc>
          <w:tcPr>
            <w:tcW w:type="dxa" w:w="2268"/>
            <w:shd w:fill="F9FBF9"/>
            <w:tcMar>
              <w:top w:w="80" w:type="dxa"/>
              <w:bottom w:w="80" w:type="dxa"/>
              <w:left w:w="100" w:type="dxa"/>
              <w:right w:w="100" w:type="dxa"/>
            </w:tcMar>
          </w:tcPr>
          <w:p>
            <w:pPr>
              <w:jc w:val="left"/>
            </w:pPr>
            <w:r>
              <w:rPr>
                <w:rFonts w:ascii="Times New Roman" w:hAnsi="Times New Roman"/>
                <w:sz w:val="20"/>
              </w:rPr>
              <w:t>Tỷ lệ mất đồ / không thu hồi được (Default Rate)</w:t>
            </w:r>
          </w:p>
        </w:tc>
        <w:tc>
          <w:tcPr>
            <w:tcW w:type="dxa" w:w="2268"/>
            <w:shd w:fill="F9FBF9"/>
            <w:tcMar>
              <w:top w:w="80" w:type="dxa"/>
              <w:bottom w:w="80" w:type="dxa"/>
              <w:left w:w="100" w:type="dxa"/>
              <w:right w:w="100" w:type="dxa"/>
            </w:tcMar>
          </w:tcPr>
          <w:p>
            <w:pPr>
              <w:jc w:val="center"/>
            </w:pPr>
            <w:r>
              <w:rPr>
                <w:rFonts w:ascii="Times New Roman" w:hAnsi="Times New Roman"/>
                <w:sz w:val="20"/>
              </w:rPr>
              <w:t>0.10% tổng đơn</w:t>
            </w:r>
          </w:p>
        </w:tc>
        <w:tc>
          <w:tcPr>
            <w:tcW w:type="dxa" w:w="2268"/>
            <w:shd w:fill="F9FBF9"/>
            <w:tcMar>
              <w:top w:w="80" w:type="dxa"/>
              <w:bottom w:w="80" w:type="dxa"/>
              <w:left w:w="100" w:type="dxa"/>
              <w:right w:w="100" w:type="dxa"/>
            </w:tcMar>
          </w:tcPr>
          <w:p>
            <w:pPr>
              <w:jc w:val="center"/>
            </w:pPr>
            <w:r>
              <w:rPr>
                <w:rFonts w:ascii="Times New Roman" w:hAnsi="Times New Roman"/>
                <w:sz w:val="20"/>
              </w:rPr>
              <w:t>0.30% tổng đơn</w:t>
            </w:r>
          </w:p>
        </w:tc>
        <w:tc>
          <w:tcPr>
            <w:tcW w:type="dxa" w:w="2268"/>
            <w:shd w:fill="F9FBF9"/>
            <w:tcMar>
              <w:top w:w="80" w:type="dxa"/>
              <w:bottom w:w="80" w:type="dxa"/>
              <w:left w:w="100" w:type="dxa"/>
              <w:right w:w="100" w:type="dxa"/>
            </w:tcMar>
          </w:tcPr>
          <w:p>
            <w:pPr>
              <w:jc w:val="center"/>
            </w:pPr>
            <w:r>
              <w:rPr>
                <w:rFonts w:ascii="Times New Roman" w:hAnsi="Times New Roman"/>
                <w:sz w:val="20"/>
              </w:rPr>
              <w:t>0.80% tổng đơn</w:t>
            </w:r>
          </w:p>
        </w:tc>
      </w:tr>
      <w:tr>
        <w:tc>
          <w:tcPr>
            <w:tcW w:type="dxa" w:w="2268"/>
            <w:shd w:fill="FFFFFF"/>
            <w:tcMar>
              <w:top w:w="80" w:type="dxa"/>
              <w:bottom w:w="80" w:type="dxa"/>
              <w:left w:w="100" w:type="dxa"/>
              <w:right w:w="100" w:type="dxa"/>
            </w:tcMar>
          </w:tcPr>
          <w:p>
            <w:pPr>
              <w:jc w:val="left"/>
            </w:pPr>
            <w:r>
              <w:rPr>
                <w:rFonts w:ascii="Times New Roman" w:hAnsi="Times New Roman"/>
                <w:sz w:val="20"/>
              </w:rPr>
              <w:t>Doanh thu thuần sàn thu được / đơn</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44.000 VNĐ</w:t>
            </w:r>
          </w:p>
        </w:tc>
      </w:tr>
      <w:tr>
        <w:tc>
          <w:tcPr>
            <w:tcW w:type="dxa" w:w="2268"/>
            <w:shd w:fill="F9FBF9"/>
            <w:tcMar>
              <w:top w:w="80" w:type="dxa"/>
              <w:bottom w:w="80" w:type="dxa"/>
              <w:left w:w="100" w:type="dxa"/>
              <w:right w:w="100" w:type="dxa"/>
            </w:tcMar>
          </w:tcPr>
          <w:p>
            <w:pPr>
              <w:jc w:val="left"/>
            </w:pPr>
            <w:r>
              <w:rPr>
                <w:rFonts w:ascii="Times New Roman" w:hAnsi="Times New Roman"/>
                <w:sz w:val="20"/>
              </w:rPr>
              <w:t>Chi phí rủi ro &amp; bồi thường dự kiến / đơn</w:t>
            </w:r>
          </w:p>
        </w:tc>
        <w:tc>
          <w:tcPr>
            <w:tcW w:type="dxa" w:w="2268"/>
            <w:shd w:fill="F9FBF9"/>
            <w:tcMar>
              <w:top w:w="80" w:type="dxa"/>
              <w:bottom w:w="80" w:type="dxa"/>
              <w:left w:w="100" w:type="dxa"/>
              <w:right w:w="100" w:type="dxa"/>
            </w:tcMar>
          </w:tcPr>
          <w:p>
            <w:pPr>
              <w:jc w:val="center"/>
            </w:pPr>
            <w:r>
              <w:rPr>
                <w:rFonts w:ascii="Times New Roman" w:hAnsi="Times New Roman"/>
                <w:sz w:val="20"/>
              </w:rPr>
              <w:t>3.500 VNĐ</w:t>
            </w:r>
          </w:p>
        </w:tc>
        <w:tc>
          <w:tcPr>
            <w:tcW w:type="dxa" w:w="2268"/>
            <w:shd w:fill="F9FBF9"/>
            <w:tcMar>
              <w:top w:w="80" w:type="dxa"/>
              <w:bottom w:w="80" w:type="dxa"/>
              <w:left w:w="100" w:type="dxa"/>
              <w:right w:w="100" w:type="dxa"/>
            </w:tcMar>
          </w:tcPr>
          <w:p>
            <w:pPr>
              <w:jc w:val="center"/>
            </w:pPr>
            <w:r>
              <w:rPr>
                <w:rFonts w:ascii="Times New Roman" w:hAnsi="Times New Roman"/>
                <w:sz w:val="20"/>
              </w:rPr>
              <w:t>8.500 VNĐ</w:t>
            </w:r>
          </w:p>
        </w:tc>
        <w:tc>
          <w:tcPr>
            <w:tcW w:type="dxa" w:w="2268"/>
            <w:shd w:fill="F9FBF9"/>
            <w:tcMar>
              <w:top w:w="80" w:type="dxa"/>
              <w:bottom w:w="80" w:type="dxa"/>
              <w:left w:w="100" w:type="dxa"/>
              <w:right w:w="100" w:type="dxa"/>
            </w:tcMar>
          </w:tcPr>
          <w:p>
            <w:pPr>
              <w:jc w:val="center"/>
            </w:pPr>
            <w:r>
              <w:rPr>
                <w:rFonts w:ascii="Times New Roman" w:hAnsi="Times New Roman"/>
                <w:sz w:val="20"/>
              </w:rPr>
              <w:t>17.500 VNĐ</w:t>
            </w:r>
          </w:p>
        </w:tc>
      </w:tr>
      <w:tr>
        <w:tc>
          <w:tcPr>
            <w:tcW w:type="dxa" w:w="2268"/>
            <w:shd w:fill="FFFFFF"/>
            <w:tcMar>
              <w:top w:w="80" w:type="dxa"/>
              <w:bottom w:w="80" w:type="dxa"/>
              <w:left w:w="100" w:type="dxa"/>
              <w:right w:w="100" w:type="dxa"/>
            </w:tcMar>
          </w:tcPr>
          <w:p>
            <w:pPr>
              <w:jc w:val="left"/>
            </w:pPr>
            <w:r>
              <w:rPr>
                <w:rFonts w:ascii="Times New Roman" w:hAnsi="Times New Roman"/>
                <w:sz w:val="20"/>
              </w:rPr>
              <w:t>Chi phí vận hành cố định (OPEX) / tháng</w:t>
            </w:r>
          </w:p>
        </w:tc>
        <w:tc>
          <w:tcPr>
            <w:tcW w:type="dxa" w:w="2268"/>
            <w:shd w:fill="FFFFFF"/>
            <w:tcMar>
              <w:top w:w="80" w:type="dxa"/>
              <w:bottom w:w="80" w:type="dxa"/>
              <w:left w:w="100" w:type="dxa"/>
              <w:right w:w="100" w:type="dxa"/>
            </w:tcMar>
          </w:tcPr>
          <w:p>
            <w:pPr>
              <w:jc w:val="center"/>
            </w:pPr>
            <w:r>
              <w:rPr>
                <w:rFonts w:ascii="Times New Roman" w:hAnsi="Times New Roman"/>
                <w:sz w:val="20"/>
              </w:rPr>
              <w:t>28.000.000 VNĐ</w:t>
            </w:r>
          </w:p>
        </w:tc>
        <w:tc>
          <w:tcPr>
            <w:tcW w:type="dxa" w:w="2268"/>
            <w:shd w:fill="FFFFFF"/>
            <w:tcMar>
              <w:top w:w="80" w:type="dxa"/>
              <w:bottom w:w="80" w:type="dxa"/>
              <w:left w:w="100" w:type="dxa"/>
              <w:right w:w="100" w:type="dxa"/>
            </w:tcMar>
          </w:tcPr>
          <w:p>
            <w:pPr>
              <w:jc w:val="center"/>
            </w:pPr>
            <w:r>
              <w:rPr>
                <w:rFonts w:ascii="Times New Roman" w:hAnsi="Times New Roman"/>
                <w:sz w:val="20"/>
              </w:rPr>
              <w:t>48.000.000 VNĐ</w:t>
            </w:r>
          </w:p>
        </w:tc>
        <w:tc>
          <w:tcPr>
            <w:tcW w:type="dxa" w:w="2268"/>
            <w:shd w:fill="FFFFFF"/>
            <w:tcMar>
              <w:top w:w="80" w:type="dxa"/>
              <w:bottom w:w="80" w:type="dxa"/>
              <w:left w:w="100" w:type="dxa"/>
              <w:right w:w="100" w:type="dxa"/>
            </w:tcMar>
          </w:tcPr>
          <w:p>
            <w:pPr>
              <w:jc w:val="center"/>
            </w:pPr>
            <w:r>
              <w:rPr>
                <w:rFonts w:ascii="Times New Roman" w:hAnsi="Times New Roman"/>
                <w:sz w:val="20"/>
              </w:rPr>
              <w:t>70.000.000 VNĐ</w:t>
            </w:r>
          </w:p>
        </w:tc>
      </w:tr>
      <w:tr>
        <w:tc>
          <w:tcPr>
            <w:tcW w:type="dxa" w:w="2268"/>
            <w:shd w:fill="F9FBF9"/>
            <w:tcMar>
              <w:top w:w="80" w:type="dxa"/>
              <w:bottom w:w="80" w:type="dxa"/>
              <w:left w:w="100" w:type="dxa"/>
              <w:right w:w="100" w:type="dxa"/>
            </w:tcMar>
          </w:tcPr>
          <w:p>
            <w:pPr>
              <w:jc w:val="left"/>
            </w:pPr>
            <w:r>
              <w:rPr>
                <w:rFonts w:ascii="Times New Roman" w:hAnsi="Times New Roman"/>
                <w:b/>
                <w:color w:val="0F4A34"/>
                <w:sz w:val="20"/>
              </w:rPr>
              <w:t>ĐIỂM HÒA VỐN THỰC TẾ (Break-Even Volume)</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690 đơn / tháng</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1.364 đơn / tháng</w:t>
            </w:r>
          </w:p>
        </w:tc>
        <w:tc>
          <w:tcPr>
            <w:tcW w:type="dxa" w:w="2268"/>
            <w:shd w:fill="F9FBF9"/>
            <w:tcMar>
              <w:top w:w="80" w:type="dxa"/>
              <w:bottom w:w="80" w:type="dxa"/>
              <w:left w:w="100" w:type="dxa"/>
              <w:right w:w="100" w:type="dxa"/>
            </w:tcMar>
          </w:tcPr>
          <w:p>
            <w:pPr>
              <w:jc w:val="center"/>
            </w:pPr>
            <w:r>
              <w:rPr>
                <w:rFonts w:ascii="Times New Roman" w:hAnsi="Times New Roman"/>
                <w:b/>
                <w:color w:val="0F4A34"/>
                <w:sz w:val="20"/>
              </w:rPr>
              <w:t>2.667 đơn / tháng</w:t>
            </w:r>
          </w:p>
        </w:tc>
      </w:tr>
    </w:tbl>
    <w:p>
      <w:pPr>
        <w:keepNext/>
        <w:spacing w:before="320" w:after="120"/>
      </w:pPr>
      <w:r>
        <w:rPr>
          <w:rFonts w:ascii="Times New Roman" w:hAnsi="Times New Roman"/>
          <w:b/>
          <w:color w:val="0F4A34"/>
          <w:sz w:val="28"/>
        </w:rPr>
        <w:t>VIII. KHUNG BẢO VỆ DỮ LIỆU CÁ NHÂN (LUẬT 91/2025/QH15 &amp; NĐ 356/2025/NĐ-CP)</w:t>
      </w:r>
    </w:p>
    <w:p>
      <w:pPr>
        <w:spacing w:after="80"/>
        <w:jc w:val="both"/>
      </w:pPr>
      <w:r>
        <w:rPr>
          <w:rFonts w:ascii="Times New Roman" w:hAnsi="Times New Roman"/>
          <w:sz w:val="25"/>
        </w:rPr>
        <w:t>CLOOP áp dụng triệt để nguyên lý 'Privacy by Design' và 'Collect less -&gt; Verify smarter' theo Luật Bảo vệ Dữ liệu Cá nhân số 91/2025/QH15 và Nghị định 356/2025/NĐ-CP (hiệu lực từ 01/01/2026):</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Cấp độ dữ liệu</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Dữ liệu cụ thể</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Mục đích sử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Cơ chế bảo vệ &amp; Phân quyền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Thời hạn lưu trữ &amp; Hủy</w:t>
            </w:r>
          </w:p>
        </w:tc>
      </w:tr>
      <w:tr>
        <w:tc>
          <w:tcPr>
            <w:tcW w:type="dxa" w:w="1814"/>
            <w:shd w:fill="FFFFFF"/>
            <w:tcMar>
              <w:top w:w="80" w:type="dxa"/>
              <w:bottom w:w="80" w:type="dxa"/>
              <w:left w:w="100" w:type="dxa"/>
              <w:right w:w="100" w:type="dxa"/>
            </w:tcMar>
          </w:tcPr>
          <w:p>
            <w:pPr>
              <w:jc w:val="center"/>
            </w:pPr>
            <w:r>
              <w:rPr>
                <w:rFonts w:ascii="Times New Roman" w:hAnsi="Times New Roman"/>
                <w:sz w:val="21"/>
              </w:rPr>
              <w:t>1. Public Data</w:t>
            </w:r>
          </w:p>
        </w:tc>
        <w:tc>
          <w:tcPr>
            <w:tcW w:type="dxa" w:w="1814"/>
            <w:shd w:fill="FFFFFF"/>
            <w:tcMar>
              <w:top w:w="80" w:type="dxa"/>
              <w:bottom w:w="80" w:type="dxa"/>
              <w:left w:w="100" w:type="dxa"/>
              <w:right w:w="100" w:type="dxa"/>
            </w:tcMar>
          </w:tcPr>
          <w:p>
            <w:pPr>
              <w:jc w:val="left"/>
            </w:pPr>
            <w:r>
              <w:rPr>
                <w:rFonts w:ascii="Times New Roman" w:hAnsi="Times New Roman"/>
                <w:sz w:val="21"/>
              </w:rPr>
              <w:t>Tên hiển thị, avatar, review, tủ đồ công khai</w:t>
            </w:r>
          </w:p>
        </w:tc>
        <w:tc>
          <w:tcPr>
            <w:tcW w:type="dxa" w:w="1814"/>
            <w:shd w:fill="FFFFFF"/>
            <w:tcMar>
              <w:top w:w="80" w:type="dxa"/>
              <w:bottom w:w="80" w:type="dxa"/>
              <w:left w:w="100" w:type="dxa"/>
              <w:right w:w="100" w:type="dxa"/>
            </w:tcMar>
          </w:tcPr>
          <w:p>
            <w:pPr>
              <w:jc w:val="left"/>
            </w:pPr>
            <w:r>
              <w:rPr>
                <w:rFonts w:ascii="Times New Roman" w:hAnsi="Times New Roman"/>
                <w:sz w:val="21"/>
              </w:rPr>
              <w:t>Hiển thị storefront, gợi ý lookbook</w:t>
            </w:r>
          </w:p>
        </w:tc>
        <w:tc>
          <w:tcPr>
            <w:tcW w:type="dxa" w:w="1814"/>
            <w:shd w:fill="FFFFFF"/>
            <w:tcMar>
              <w:top w:w="80" w:type="dxa"/>
              <w:bottom w:w="80" w:type="dxa"/>
              <w:left w:w="100" w:type="dxa"/>
              <w:right w:w="100" w:type="dxa"/>
            </w:tcMar>
          </w:tcPr>
          <w:p>
            <w:pPr>
              <w:jc w:val="left"/>
            </w:pPr>
            <w:r>
              <w:rPr>
                <w:rFonts w:ascii="Times New Roman" w:hAnsi="Times New Roman"/>
                <w:sz w:val="21"/>
              </w:rPr>
              <w:t>Công khai toàn hệ thống</w:t>
            </w:r>
          </w:p>
        </w:tc>
        <w:tc>
          <w:tcPr>
            <w:tcW w:type="dxa" w:w="1814"/>
            <w:shd w:fill="FFFFFF"/>
            <w:tcMar>
              <w:top w:w="80" w:type="dxa"/>
              <w:bottom w:w="80" w:type="dxa"/>
              <w:left w:w="100" w:type="dxa"/>
              <w:right w:w="100" w:type="dxa"/>
            </w:tcMar>
          </w:tcPr>
          <w:p>
            <w:pPr>
              <w:jc w:val="center"/>
            </w:pPr>
            <w:r>
              <w:rPr>
                <w:rFonts w:ascii="Times New Roman" w:hAnsi="Times New Roman"/>
                <w:sz w:val="21"/>
              </w:rPr>
              <w:t>Lưu theo vòng đời tài khoản</w:t>
            </w:r>
          </w:p>
        </w:tc>
      </w:tr>
      <w:tr>
        <w:tc>
          <w:tcPr>
            <w:tcW w:type="dxa" w:w="1814"/>
            <w:shd w:fill="F9FBF9"/>
            <w:tcMar>
              <w:top w:w="80" w:type="dxa"/>
              <w:bottom w:w="80" w:type="dxa"/>
              <w:left w:w="100" w:type="dxa"/>
              <w:right w:w="100" w:type="dxa"/>
            </w:tcMar>
          </w:tcPr>
          <w:p>
            <w:pPr>
              <w:jc w:val="center"/>
            </w:pPr>
            <w:r>
              <w:rPr>
                <w:rFonts w:ascii="Times New Roman" w:hAnsi="Times New Roman"/>
                <w:sz w:val="21"/>
              </w:rPr>
              <w:t>2. Account Data</w:t>
            </w:r>
          </w:p>
        </w:tc>
        <w:tc>
          <w:tcPr>
            <w:tcW w:type="dxa" w:w="1814"/>
            <w:shd w:fill="F9FBF9"/>
            <w:tcMar>
              <w:top w:w="80" w:type="dxa"/>
              <w:bottom w:w="80" w:type="dxa"/>
              <w:left w:w="100" w:type="dxa"/>
              <w:right w:w="100" w:type="dxa"/>
            </w:tcMar>
          </w:tcPr>
          <w:p>
            <w:pPr>
              <w:jc w:val="left"/>
            </w:pPr>
            <w:r>
              <w:rPr>
                <w:rFonts w:ascii="Times New Roman" w:hAnsi="Times New Roman"/>
                <w:sz w:val="21"/>
              </w:rPr>
              <w:t>Email đăng ký, số điện thoại</w:t>
            </w:r>
          </w:p>
        </w:tc>
        <w:tc>
          <w:tcPr>
            <w:tcW w:type="dxa" w:w="1814"/>
            <w:shd w:fill="F9FBF9"/>
            <w:tcMar>
              <w:top w:w="80" w:type="dxa"/>
              <w:bottom w:w="80" w:type="dxa"/>
              <w:left w:w="100" w:type="dxa"/>
              <w:right w:w="100" w:type="dxa"/>
            </w:tcMar>
          </w:tcPr>
          <w:p>
            <w:pPr>
              <w:jc w:val="left"/>
            </w:pPr>
            <w:r>
              <w:rPr>
                <w:rFonts w:ascii="Times New Roman" w:hAnsi="Times New Roman"/>
                <w:sz w:val="21"/>
              </w:rPr>
              <w:t>Đăng nhập, thông báo trạng thái đơn</w:t>
            </w:r>
          </w:p>
        </w:tc>
        <w:tc>
          <w:tcPr>
            <w:tcW w:type="dxa" w:w="1814"/>
            <w:shd w:fill="F9FBF9"/>
            <w:tcMar>
              <w:top w:w="80" w:type="dxa"/>
              <w:bottom w:w="80" w:type="dxa"/>
              <w:left w:w="100" w:type="dxa"/>
              <w:right w:w="100" w:type="dxa"/>
            </w:tcMar>
          </w:tcPr>
          <w:p>
            <w:pPr>
              <w:jc w:val="left"/>
            </w:pPr>
            <w:r>
              <w:rPr>
                <w:rFonts w:ascii="Times New Roman" w:hAnsi="Times New Roman"/>
                <w:sz w:val="21"/>
              </w:rPr>
              <w:t>Mã hóa AES-256, che mờ (maskPhone/maskEmail) trên API và UI, chỉ Admin CSKH được truy cập theo phiên</w:t>
            </w:r>
          </w:p>
        </w:tc>
        <w:tc>
          <w:tcPr>
            <w:tcW w:type="dxa" w:w="1814"/>
            <w:shd w:fill="F9FBF9"/>
            <w:tcMar>
              <w:top w:w="80" w:type="dxa"/>
              <w:bottom w:w="80" w:type="dxa"/>
              <w:left w:w="100" w:type="dxa"/>
              <w:right w:w="100" w:type="dxa"/>
            </w:tcMar>
          </w:tcPr>
          <w:p>
            <w:pPr>
              <w:jc w:val="center"/>
            </w:pPr>
            <w:r>
              <w:rPr>
                <w:rFonts w:ascii="Times New Roman" w:hAnsi="Times New Roman"/>
                <w:sz w:val="21"/>
              </w:rPr>
              <w:t>Xóa sau 30 ngày kể từ khi hủy tài khoản</w:t>
            </w:r>
          </w:p>
        </w:tc>
      </w:tr>
      <w:tr>
        <w:tc>
          <w:tcPr>
            <w:tcW w:type="dxa" w:w="1814"/>
            <w:shd w:fill="FFFFFF"/>
            <w:tcMar>
              <w:top w:w="80" w:type="dxa"/>
              <w:bottom w:w="80" w:type="dxa"/>
              <w:left w:w="100" w:type="dxa"/>
              <w:right w:w="100" w:type="dxa"/>
            </w:tcMar>
          </w:tcPr>
          <w:p>
            <w:pPr>
              <w:jc w:val="center"/>
            </w:pPr>
            <w:r>
              <w:rPr>
                <w:rFonts w:ascii="Times New Roman" w:hAnsi="Times New Roman"/>
                <w:sz w:val="21"/>
              </w:rPr>
              <w:t>3. Transaction Data</w:t>
            </w:r>
          </w:p>
        </w:tc>
        <w:tc>
          <w:tcPr>
            <w:tcW w:type="dxa" w:w="1814"/>
            <w:shd w:fill="FFFFFF"/>
            <w:tcMar>
              <w:top w:w="80" w:type="dxa"/>
              <w:bottom w:w="80" w:type="dxa"/>
              <w:left w:w="100" w:type="dxa"/>
              <w:right w:w="100" w:type="dxa"/>
            </w:tcMar>
          </w:tcPr>
          <w:p>
            <w:pPr>
              <w:jc w:val="left"/>
            </w:pPr>
            <w:r>
              <w:rPr>
                <w:rFonts w:ascii="Times New Roman" w:hAnsi="Times New Roman"/>
                <w:sz w:val="21"/>
              </w:rPr>
              <w:t>Lịch sử đơn, mã vận đơn GHN, biến động số dư ví</w:t>
            </w:r>
          </w:p>
        </w:tc>
        <w:tc>
          <w:tcPr>
            <w:tcW w:type="dxa" w:w="1814"/>
            <w:shd w:fill="FFFFFF"/>
            <w:tcMar>
              <w:top w:w="80" w:type="dxa"/>
              <w:bottom w:w="80" w:type="dxa"/>
              <w:left w:w="100" w:type="dxa"/>
              <w:right w:w="100" w:type="dxa"/>
            </w:tcMar>
          </w:tcPr>
          <w:p>
            <w:pPr>
              <w:jc w:val="left"/>
            </w:pPr>
            <w:r>
              <w:rPr>
                <w:rFonts w:ascii="Times New Roman" w:hAnsi="Times New Roman"/>
                <w:sz w:val="21"/>
              </w:rPr>
              <w:t>Kế toán, đối soát, kiểm toán tài chính</w:t>
            </w:r>
          </w:p>
        </w:tc>
        <w:tc>
          <w:tcPr>
            <w:tcW w:type="dxa" w:w="1814"/>
            <w:shd w:fill="FFFFFF"/>
            <w:tcMar>
              <w:top w:w="80" w:type="dxa"/>
              <w:bottom w:w="80" w:type="dxa"/>
              <w:left w:w="100" w:type="dxa"/>
              <w:right w:w="100" w:type="dxa"/>
            </w:tcMar>
          </w:tcPr>
          <w:p>
            <w:pPr>
              <w:jc w:val="left"/>
            </w:pPr>
            <w:r>
              <w:rPr>
                <w:rFonts w:ascii="Times New Roman" w:hAnsi="Times New Roman"/>
                <w:sz w:val="21"/>
              </w:rPr>
              <w:t>Phân quyền RBAC nghiêm ngặt, lưu audit log truy vết</w:t>
            </w:r>
          </w:p>
        </w:tc>
        <w:tc>
          <w:tcPr>
            <w:tcW w:type="dxa" w:w="1814"/>
            <w:shd w:fill="FFFFFF"/>
            <w:tcMar>
              <w:top w:w="80" w:type="dxa"/>
              <w:bottom w:w="80" w:type="dxa"/>
              <w:left w:w="100" w:type="dxa"/>
              <w:right w:w="100" w:type="dxa"/>
            </w:tcMar>
          </w:tcPr>
          <w:p>
            <w:pPr>
              <w:jc w:val="center"/>
            </w:pPr>
            <w:r>
              <w:rPr>
                <w:rFonts w:ascii="Times New Roman" w:hAnsi="Times New Roman"/>
                <w:sz w:val="21"/>
              </w:rPr>
              <w:t>Lưu trữ 5 năm theo Luật Kế toán Việt Nam</w:t>
            </w:r>
          </w:p>
        </w:tc>
      </w:tr>
      <w:tr>
        <w:tc>
          <w:tcPr>
            <w:tcW w:type="dxa" w:w="1814"/>
            <w:shd w:fill="F9FBF9"/>
            <w:tcMar>
              <w:top w:w="80" w:type="dxa"/>
              <w:bottom w:w="80" w:type="dxa"/>
              <w:left w:w="100" w:type="dxa"/>
              <w:right w:w="100" w:type="dxa"/>
            </w:tcMar>
          </w:tcPr>
          <w:p>
            <w:pPr>
              <w:jc w:val="center"/>
            </w:pPr>
            <w:r>
              <w:rPr>
                <w:rFonts w:ascii="Times New Roman" w:hAnsi="Times New Roman"/>
                <w:sz w:val="21"/>
              </w:rPr>
              <w:t>4. Sensitive Identity</w:t>
            </w:r>
          </w:p>
        </w:tc>
        <w:tc>
          <w:tcPr>
            <w:tcW w:type="dxa" w:w="1814"/>
            <w:shd w:fill="F9FBF9"/>
            <w:tcMar>
              <w:top w:w="80" w:type="dxa"/>
              <w:bottom w:w="80" w:type="dxa"/>
              <w:left w:w="100" w:type="dxa"/>
              <w:right w:w="100" w:type="dxa"/>
            </w:tcMar>
          </w:tcPr>
          <w:p>
            <w:pPr>
              <w:jc w:val="left"/>
            </w:pPr>
            <w:r>
              <w:rPr>
                <w:rFonts w:ascii="Times New Roman" w:hAnsi="Times New Roman"/>
                <w:sz w:val="21"/>
              </w:rPr>
              <w:t>Email trường @edu.vn, thông tin định danh</w:t>
            </w:r>
          </w:p>
        </w:tc>
        <w:tc>
          <w:tcPr>
            <w:tcW w:type="dxa" w:w="1814"/>
            <w:shd w:fill="F9FBF9"/>
            <w:tcMar>
              <w:top w:w="80" w:type="dxa"/>
              <w:bottom w:w="80" w:type="dxa"/>
              <w:left w:w="100" w:type="dxa"/>
              <w:right w:w="100" w:type="dxa"/>
            </w:tcMar>
          </w:tcPr>
          <w:p>
            <w:pPr>
              <w:jc w:val="left"/>
            </w:pPr>
            <w:r>
              <w:rPr>
                <w:rFonts w:ascii="Times New Roman" w:hAnsi="Times New Roman"/>
                <w:sz w:val="21"/>
              </w:rPr>
              <w:t>Xét duyệt hạn mức thuê và quyền lợi giảm cọc</w:t>
            </w:r>
          </w:p>
        </w:tc>
        <w:tc>
          <w:tcPr>
            <w:tcW w:type="dxa" w:w="1814"/>
            <w:shd w:fill="F9FBF9"/>
            <w:tcMar>
              <w:top w:w="80" w:type="dxa"/>
              <w:bottom w:w="80" w:type="dxa"/>
              <w:left w:w="100" w:type="dxa"/>
              <w:right w:w="100" w:type="dxa"/>
            </w:tcMar>
          </w:tcPr>
          <w:p>
            <w:pPr>
              <w:jc w:val="left"/>
            </w:pPr>
            <w:r>
              <w:rPr>
                <w:rFonts w:ascii="Times New Roman" w:hAnsi="Times New Roman"/>
                <w:sz w:val="21"/>
              </w:rPr>
              <w:t>Che mờ (Masking), mã hóa cấp cơ sở dữ liệu, không lưu CCCD thô</w:t>
            </w:r>
          </w:p>
        </w:tc>
        <w:tc>
          <w:tcPr>
            <w:tcW w:type="dxa" w:w="1814"/>
            <w:shd w:fill="F9FBF9"/>
            <w:tcMar>
              <w:top w:w="80" w:type="dxa"/>
              <w:bottom w:w="80" w:type="dxa"/>
              <w:left w:w="100" w:type="dxa"/>
              <w:right w:w="100" w:type="dxa"/>
            </w:tcMar>
          </w:tcPr>
          <w:p>
            <w:pPr>
              <w:jc w:val="center"/>
            </w:pPr>
            <w:r>
              <w:rPr>
                <w:rFonts w:ascii="Times New Roman" w:hAnsi="Times New Roman"/>
                <w:sz w:val="21"/>
              </w:rPr>
              <w:t>Hủy sau khi hết chu kỳ xác thực (1 năm)</w:t>
            </w:r>
          </w:p>
        </w:tc>
      </w:tr>
      <w:tr>
        <w:tc>
          <w:tcPr>
            <w:tcW w:type="dxa" w:w="1814"/>
            <w:shd w:fill="FFFFFF"/>
            <w:tcMar>
              <w:top w:w="80" w:type="dxa"/>
              <w:bottom w:w="80" w:type="dxa"/>
              <w:left w:w="100" w:type="dxa"/>
              <w:right w:w="100" w:type="dxa"/>
            </w:tcMar>
          </w:tcPr>
          <w:p>
            <w:pPr>
              <w:jc w:val="center"/>
            </w:pPr>
            <w:r>
              <w:rPr>
                <w:rFonts w:ascii="Times New Roman" w:hAnsi="Times New Roman"/>
                <w:sz w:val="21"/>
              </w:rPr>
              <w:t>5. Evidence Media</w:t>
            </w:r>
          </w:p>
        </w:tc>
        <w:tc>
          <w:tcPr>
            <w:tcW w:type="dxa" w:w="1814"/>
            <w:shd w:fill="FFFFFF"/>
            <w:tcMar>
              <w:top w:w="80" w:type="dxa"/>
              <w:bottom w:w="80" w:type="dxa"/>
              <w:left w:w="100" w:type="dxa"/>
              <w:right w:w="100" w:type="dxa"/>
            </w:tcMar>
          </w:tcPr>
          <w:p>
            <w:pPr>
              <w:jc w:val="left"/>
            </w:pPr>
            <w:r>
              <w:rPr>
                <w:rFonts w:ascii="Times New Roman" w:hAnsi="Times New Roman"/>
                <w:sz w:val="21"/>
              </w:rPr>
              <w:t>Video niêm phong đóng gói, video unboxing mở hộp</w:t>
            </w:r>
          </w:p>
        </w:tc>
        <w:tc>
          <w:tcPr>
            <w:tcW w:type="dxa" w:w="1814"/>
            <w:shd w:fill="FFFFFF"/>
            <w:tcMar>
              <w:top w:w="80" w:type="dxa"/>
              <w:bottom w:w="80" w:type="dxa"/>
              <w:left w:w="100" w:type="dxa"/>
              <w:right w:w="100" w:type="dxa"/>
            </w:tcMar>
          </w:tcPr>
          <w:p>
            <w:pPr>
              <w:jc w:val="left"/>
            </w:pPr>
            <w:r>
              <w:rPr>
                <w:rFonts w:ascii="Times New Roman" w:hAnsi="Times New Roman"/>
                <w:sz w:val="21"/>
              </w:rPr>
              <w:t>Đối soát khiếu nại tranh chấp khi phát sinh sự cố</w:t>
            </w:r>
          </w:p>
        </w:tc>
        <w:tc>
          <w:tcPr>
            <w:tcW w:type="dxa" w:w="1814"/>
            <w:shd w:fill="FFFFFF"/>
            <w:tcMar>
              <w:top w:w="80" w:type="dxa"/>
              <w:bottom w:w="80" w:type="dxa"/>
              <w:left w:w="100" w:type="dxa"/>
              <w:right w:w="100" w:type="dxa"/>
            </w:tcMar>
          </w:tcPr>
          <w:p>
            <w:pPr>
              <w:jc w:val="left"/>
            </w:pPr>
            <w:r>
              <w:rPr>
                <w:rFonts w:ascii="Times New Roman" w:hAnsi="Times New Roman"/>
                <w:sz w:val="21"/>
              </w:rPr>
              <w:t>Lưu trữ phân vùng bảo mật riêng (Cold Storage GCS), cấp link có hạn giờ</w:t>
            </w:r>
          </w:p>
        </w:tc>
        <w:tc>
          <w:tcPr>
            <w:tcW w:type="dxa" w:w="1814"/>
            <w:shd w:fill="FFFFFF"/>
            <w:tcMar>
              <w:top w:w="80" w:type="dxa"/>
              <w:bottom w:w="80" w:type="dxa"/>
              <w:left w:w="100" w:type="dxa"/>
              <w:right w:w="100" w:type="dxa"/>
            </w:tcMar>
          </w:tcPr>
          <w:p>
            <w:pPr>
              <w:jc w:val="center"/>
            </w:pPr>
            <w:r>
              <w:rPr>
                <w:rFonts w:ascii="Times New Roman" w:hAnsi="Times New Roman"/>
                <w:sz w:val="21"/>
              </w:rPr>
              <w:t>Tự động xóa vĩnh viễn sau 60 ngày kể từ khi đơn hoàn tất</w:t>
            </w:r>
          </w:p>
        </w:tc>
      </w:tr>
    </w:tbl>
    <w:p>
      <w:pPr>
        <w:keepNext/>
        <w:spacing w:before="320" w:after="120"/>
      </w:pPr>
      <w:r>
        <w:rPr>
          <w:rFonts w:ascii="Times New Roman" w:hAnsi="Times New Roman"/>
          <w:b/>
          <w:color w:val="0F4A34"/>
          <w:sz w:val="28"/>
        </w:rPr>
        <w:t>IX. CHUẨN HÓA THƯƠNG HIỆU &amp; TỐI ƯU TRẢI NGHIỆM NGƯỜI DÙNG (UI/UX POLISHING)</w:t>
      </w:r>
    </w:p>
    <w:p>
      <w:pPr>
        <w:spacing w:after="80"/>
        <w:jc w:val="both"/>
      </w:pPr>
      <w:r>
        <w:rPr>
          <w:rFonts w:ascii="Times New Roman" w:hAnsi="Times New Roman"/>
          <w:sz w:val="25"/>
        </w:rPr>
        <w:t>Để nâng cao sự tin cậy của nền tảng đối với cả khách hàng cao cấp và các Quỹ đầu tư mạo hiểm, CLOOP đã tiến hành chiến dịch chuẩn hóa giao diện người dùng toàn diện:</w:t>
      </w:r>
    </w:p>
    <w:p>
      <w:pPr>
        <w:pStyle w:val="ListBullet"/>
        <w:spacing w:after="60"/>
        <w:jc w:val="both"/>
      </w:pPr>
      <w:r>
        <w:rPr>
          <w:rFonts w:ascii="Times New Roman" w:hAnsi="Times New Roman"/>
          <w:b/>
          <w:sz w:val="25"/>
        </w:rPr>
        <w:t xml:space="preserve">1. Bãi bỏ 100% biểu tượng sao 4 cánh lấp lánh (Sparkles / ✨ / ✦): </w:t>
      </w:r>
      <w:r>
        <w:rPr>
          <w:rFonts w:ascii="Times New Roman" w:hAnsi="Times New Roman"/>
          <w:sz w:val="25"/>
        </w:rPr>
        <w:t>Toàn bộ các biểu tượng lấp lánh (Sparkles của thư viện Lucide và các ký tự emoji lấp lánh) từng gây cảm giác thiếu nghiêm túc hoặc tạo ấn tượng 'tiếp thị ảo' đã được gỡ bỏ triệt để khỏi toàn bộ mã nguồn.</w:t>
      </w:r>
    </w:p>
    <w:p>
      <w:pPr>
        <w:pStyle w:val="ListBullet"/>
        <w:spacing w:after="60"/>
        <w:jc w:val="both"/>
      </w:pPr>
      <w:r>
        <w:rPr>
          <w:rFonts w:ascii="Times New Roman" w:hAnsi="Times New Roman"/>
          <w:b/>
          <w:sz w:val="25"/>
        </w:rPr>
        <w:t xml:space="preserve">2. Chuyển đổi sang hệ thống biểu tượng ngữ nghĩa cao cấp (Semantic Icons): </w:t>
      </w:r>
      <w:r>
        <w:rPr>
          <w:rFonts w:ascii="Times New Roman" w:hAnsi="Times New Roman"/>
          <w:sz w:val="25"/>
        </w:rPr>
        <w:t>Thay thế bằng các biểu tượng chuẩn mực của hệ thống Fintech và Logistics: Khiên bảo chứng (ShieldCheck) cho khối Fast-Track và huy hiệu thành viên; Dấu tích kiểm định (CheckCircle2) cho lịch sử thuê hoàn tất; Đồng hồ thời gian (Clock) cho chặng trải nghiệm sự kiện; Biểu tượng trợ lý thông minh (Bot) cho AI Stylist; và Tia chớp công nghệ (Zap) cho sơ đồ mạch dòng tiền.</w:t>
      </w:r>
    </w:p>
    <w:p>
      <w:pPr>
        <w:pStyle w:val="ListBullet"/>
        <w:spacing w:after="60"/>
        <w:jc w:val="both"/>
      </w:pPr>
      <w:r>
        <w:rPr>
          <w:rFonts w:ascii="Times New Roman" w:hAnsi="Times New Roman"/>
          <w:b/>
          <w:sz w:val="25"/>
        </w:rPr>
        <w:t xml:space="preserve">3. Tối ưu trải nghiệm đặt lịch &amp; Chọn ngày thuê (Preserved Date State): </w:t>
      </w:r>
      <w:r>
        <w:rPr>
          <w:rFonts w:ascii="Times New Roman" w:hAnsi="Times New Roman"/>
          <w:sz w:val="25"/>
        </w:rPr>
        <w:t>Khắc phục triệt để hiện tượng reset ngày thuê ngoài ý muốn khi người dùng chuyển tab gói dịch vụ hoặc khi hệ thống tính cước GHN. Trạng thái ngày bắt đầu do khách chọn (hasUserCustomizedStartDate) luôn được ưu tiên bảo toàn.</w:t>
      </w:r>
    </w:p>
    <w:p>
      <w:pPr>
        <w:keepNext/>
        <w:spacing w:before="320" w:after="120"/>
      </w:pPr>
      <w:r>
        <w:rPr>
          <w:rFonts w:ascii="Times New Roman" w:hAnsi="Times New Roman"/>
          <w:b/>
          <w:color w:val="0F4A34"/>
          <w:sz w:val="28"/>
        </w:rPr>
        <w:t>X. BÁO CÁO KIỂM THỬ TỰ ĐỘNG &amp; BẢO CHỨNG SẴN SÀNG TRIỂN KHAI (TEST SUITE)</w:t>
      </w:r>
    </w:p>
    <w:p>
      <w:pPr>
        <w:spacing w:after="80"/>
        <w:jc w:val="both"/>
      </w:pPr>
      <w:r>
        <w:rPr>
          <w:rFonts w:ascii="Times New Roman" w:hAnsi="Times New Roman"/>
          <w:sz w:val="25"/>
        </w:rPr>
        <w:t>Hệ thống CLOOP được trang bị bộ kiểm thử tự động toàn diện hai lớp (Unit Tests &amp; Integration Tests) chạy trực tiếp trên mã nguồn TypeScript, đảm bảo mọi logic kinh tế học và an ninh đều được bảo chứng trước khi đưa vào sản xuất:</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2268"/>
        <w:gridCol w:w="2268"/>
        <w:gridCol w:w="2268"/>
        <w:gridCol w:w="2268"/>
      </w:tblGrid>
      <w:tr>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Phân Nhóm Kiểm Thử</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Số Lượng Bài Test</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Trọng Tâm Xác Thực</w:t>
            </w:r>
          </w:p>
        </w:tc>
        <w:tc>
          <w:tcPr>
            <w:tcW w:type="dxa" w:w="2268"/>
            <w:shd w:fill="E6F4EA"/>
            <w:tcMar>
              <w:top w:w="120" w:type="dxa"/>
              <w:bottom w:w="120" w:type="dxa"/>
              <w:left w:w="100" w:type="dxa"/>
              <w:right w:w="100" w:type="dxa"/>
            </w:tcMar>
          </w:tcPr>
          <w:p>
            <w:pPr>
              <w:jc w:val="center"/>
            </w:pPr>
            <w:r>
              <w:rPr>
                <w:rFonts w:ascii="Times New Roman" w:hAnsi="Times New Roman"/>
                <w:b/>
                <w:color w:val="0A2517"/>
                <w:sz w:val="22"/>
              </w:rPr>
              <w:t>Kết Quả Thực Tế</w:t>
            </w:r>
          </w:p>
        </w:tc>
      </w:tr>
      <w:tr>
        <w:tc>
          <w:tcPr>
            <w:tcW w:type="dxa" w:w="2268"/>
            <w:shd w:fill="FFFFFF"/>
            <w:tcMar>
              <w:top w:w="80" w:type="dxa"/>
              <w:bottom w:w="80" w:type="dxa"/>
              <w:left w:w="100" w:type="dxa"/>
              <w:right w:w="100" w:type="dxa"/>
            </w:tcMar>
          </w:tcPr>
          <w:p>
            <w:pPr>
              <w:jc w:val="left"/>
            </w:pPr>
            <w:r>
              <w:rPr>
                <w:rFonts w:ascii="Times New Roman" w:hAnsi="Times New Roman"/>
                <w:sz w:val="20"/>
              </w:rPr>
              <w:t>1. Định Giá Tài Sản Chuẩn Hóa (getItemValuation)</w:t>
            </w:r>
          </w:p>
        </w:tc>
        <w:tc>
          <w:tcPr>
            <w:tcW w:type="dxa" w:w="2268"/>
            <w:shd w:fill="FFFFFF"/>
            <w:tcMar>
              <w:top w:w="80" w:type="dxa"/>
              <w:bottom w:w="80" w:type="dxa"/>
              <w:left w:w="100" w:type="dxa"/>
              <w:right w:w="100" w:type="dxa"/>
            </w:tcMar>
          </w:tcPr>
          <w:p>
            <w:pPr>
              <w:jc w:val="center"/>
            </w:pPr>
            <w:r>
              <w:rPr>
                <w:rFonts w:ascii="Times New Roman" w:hAnsi="Times New Roman"/>
                <w:sz w:val="20"/>
              </w:rPr>
              <w:t>5 tests</w:t>
            </w:r>
          </w:p>
        </w:tc>
        <w:tc>
          <w:tcPr>
            <w:tcW w:type="dxa" w:w="2268"/>
            <w:shd w:fill="FFFFFF"/>
            <w:tcMar>
              <w:top w:w="80" w:type="dxa"/>
              <w:bottom w:w="80" w:type="dxa"/>
              <w:left w:w="100" w:type="dxa"/>
              <w:right w:w="100" w:type="dxa"/>
            </w:tcMar>
          </w:tcPr>
          <w:p>
            <w:pPr>
              <w:jc w:val="left"/>
            </w:pPr>
            <w:r>
              <w:rPr>
                <w:rFonts w:ascii="Times New Roman" w:hAnsi="Times New Roman"/>
                <w:sz w:val="20"/>
              </w:rPr>
              <w:t>Sàn giá 500k, tỷ lệ giá bán/giá gốc/giá thuê, fallback an toàn</w:t>
            </w:r>
          </w:p>
        </w:tc>
        <w:tc>
          <w:tcPr>
            <w:tcW w:type="dxa" w:w="2268"/>
            <w:shd w:fill="FFFFFF"/>
            <w:tcMar>
              <w:top w:w="80" w:type="dxa"/>
              <w:bottom w:w="80" w:type="dxa"/>
              <w:left w:w="100" w:type="dxa"/>
              <w:right w:w="100" w:type="dxa"/>
            </w:tcMar>
          </w:tcPr>
          <w:p>
            <w:pPr>
              <w:jc w:val="center"/>
            </w:pPr>
            <w:r>
              <w:rPr>
                <w:rFonts w:ascii="Times New Roman" w:hAnsi="Times New Roman"/>
                <w:sz w:val="20"/>
              </w:rPr>
              <w:t>5/5 PASSED (100%)</w:t>
            </w:r>
          </w:p>
        </w:tc>
      </w:tr>
      <w:tr>
        <w:tc>
          <w:tcPr>
            <w:tcW w:type="dxa" w:w="2268"/>
            <w:shd w:fill="F9FBF9"/>
            <w:tcMar>
              <w:top w:w="80" w:type="dxa"/>
              <w:bottom w:w="80" w:type="dxa"/>
              <w:left w:w="100" w:type="dxa"/>
              <w:right w:w="100" w:type="dxa"/>
            </w:tcMar>
          </w:tcPr>
          <w:p>
            <w:pPr>
              <w:jc w:val="left"/>
            </w:pPr>
            <w:r>
              <w:rPr>
                <w:rFonts w:ascii="Times New Roman" w:hAnsi="Times New Roman"/>
                <w:sz w:val="20"/>
              </w:rPr>
              <w:t>2. Thuật Toán Trust Score &amp; Điều Kiện Đa Yếu Tố</w:t>
            </w:r>
          </w:p>
        </w:tc>
        <w:tc>
          <w:tcPr>
            <w:tcW w:type="dxa" w:w="2268"/>
            <w:shd w:fill="F9FBF9"/>
            <w:tcMar>
              <w:top w:w="80" w:type="dxa"/>
              <w:bottom w:w="80" w:type="dxa"/>
              <w:left w:w="100" w:type="dxa"/>
              <w:right w:w="100" w:type="dxa"/>
            </w:tcMar>
          </w:tcPr>
          <w:p>
            <w:pPr>
              <w:jc w:val="center"/>
            </w:pPr>
            <w:r>
              <w:rPr>
                <w:rFonts w:ascii="Times New Roman" w:hAnsi="Times New Roman"/>
                <w:sz w:val="20"/>
              </w:rPr>
              <w:t>15 tests</w:t>
            </w:r>
          </w:p>
        </w:tc>
        <w:tc>
          <w:tcPr>
            <w:tcW w:type="dxa" w:w="2268"/>
            <w:shd w:fill="F9FBF9"/>
            <w:tcMar>
              <w:top w:w="80" w:type="dxa"/>
              <w:bottom w:w="80" w:type="dxa"/>
              <w:left w:w="100" w:type="dxa"/>
              <w:right w:w="100" w:type="dxa"/>
            </w:tcMar>
          </w:tcPr>
          <w:p>
            <w:pPr>
              <w:jc w:val="left"/>
            </w:pPr>
            <w:r>
              <w:rPr>
                <w:rFonts w:ascii="Times New Roman" w:hAnsi="Times New Roman"/>
                <w:sz w:val="20"/>
              </w:rPr>
              <w:t>Level 0, Student email không giảm cọc, chống cày đơn ảo, chống thông đồng 1 chủ đồ, phân tách lỗi vi phạm (hạ Level 0) vs hủy đơn hợp lệ (không phạt), trả trễ nặng, khiếu nại mở chỉ tạm đóng băng quyền cọc, thời gian quan sát 14 ngày</w:t>
            </w:r>
          </w:p>
        </w:tc>
        <w:tc>
          <w:tcPr>
            <w:tcW w:type="dxa" w:w="2268"/>
            <w:shd w:fill="F9FBF9"/>
            <w:tcMar>
              <w:top w:w="80" w:type="dxa"/>
              <w:bottom w:w="80" w:type="dxa"/>
              <w:left w:w="100" w:type="dxa"/>
              <w:right w:w="100" w:type="dxa"/>
            </w:tcMar>
          </w:tcPr>
          <w:p>
            <w:pPr>
              <w:jc w:val="center"/>
            </w:pPr>
            <w:r>
              <w:rPr>
                <w:rFonts w:ascii="Times New Roman" w:hAnsi="Times New Roman"/>
                <w:sz w:val="20"/>
              </w:rPr>
              <w:t>15/15 PASSED (100%)</w:t>
            </w:r>
          </w:p>
        </w:tc>
      </w:tr>
      <w:tr>
        <w:tc>
          <w:tcPr>
            <w:tcW w:type="dxa" w:w="2268"/>
            <w:shd w:fill="FFFFFF"/>
            <w:tcMar>
              <w:top w:w="80" w:type="dxa"/>
              <w:bottom w:w="80" w:type="dxa"/>
              <w:left w:w="100" w:type="dxa"/>
              <w:right w:w="100" w:type="dxa"/>
            </w:tcMar>
          </w:tcPr>
          <w:p>
            <w:pPr>
              <w:jc w:val="left"/>
            </w:pPr>
            <w:r>
              <w:rPr>
                <w:rFonts w:ascii="Times New Roman" w:hAnsi="Times New Roman"/>
                <w:sz w:val="20"/>
              </w:rPr>
              <w:t>3. Công Thức Cọc Động, Hạn Mức Tài Khoản &amp; Quỹ Khả Dụng</w:t>
            </w:r>
          </w:p>
        </w:tc>
        <w:tc>
          <w:tcPr>
            <w:tcW w:type="dxa" w:w="2268"/>
            <w:shd w:fill="FFFFFF"/>
            <w:tcMar>
              <w:top w:w="80" w:type="dxa"/>
              <w:bottom w:w="80" w:type="dxa"/>
              <w:left w:w="100" w:type="dxa"/>
              <w:right w:w="100" w:type="dxa"/>
            </w:tcMar>
          </w:tcPr>
          <w:p>
            <w:pPr>
              <w:jc w:val="center"/>
            </w:pPr>
            <w:r>
              <w:rPr>
                <w:rFonts w:ascii="Times New Roman" w:hAnsi="Times New Roman"/>
                <w:sz w:val="20"/>
              </w:rPr>
              <w:t>16 tests</w:t>
            </w:r>
          </w:p>
        </w:tc>
        <w:tc>
          <w:tcPr>
            <w:tcW w:type="dxa" w:w="2268"/>
            <w:shd w:fill="FFFFFF"/>
            <w:tcMar>
              <w:top w:w="80" w:type="dxa"/>
              <w:bottom w:w="80" w:type="dxa"/>
              <w:left w:w="100" w:type="dxa"/>
              <w:right w:w="100" w:type="dxa"/>
            </w:tcMar>
          </w:tcPr>
          <w:p>
            <w:pPr>
              <w:jc w:val="left"/>
            </w:pPr>
            <w:r>
              <w:rPr>
                <w:rFonts w:ascii="Times New Roman" w:hAnsi="Times New Roman"/>
                <w:sz w:val="20"/>
              </w:rPr>
              <w:t>Cọc 100% -&gt; 90% -&gt; 80% -&gt; 70%, trần bảo lãnh 200k, ngắt Circuit Breaker tại 30%, cọc 100% khi quỹ &lt; 5tr, hạ cấp khi quỹ 10tr, ép 100% Fast-Track, trần rủi ro tài khoản Level 1 (500k), trần số đơn đồng thời (2 đơn), quỹ khả dụng availableReserve, bất biến giới hạn trách nhiệm sàn</w:t>
            </w:r>
          </w:p>
        </w:tc>
        <w:tc>
          <w:tcPr>
            <w:tcW w:type="dxa" w:w="2268"/>
            <w:shd w:fill="FFFFFF"/>
            <w:tcMar>
              <w:top w:w="80" w:type="dxa"/>
              <w:bottom w:w="80" w:type="dxa"/>
              <w:left w:w="100" w:type="dxa"/>
              <w:right w:w="100" w:type="dxa"/>
            </w:tcMar>
          </w:tcPr>
          <w:p>
            <w:pPr>
              <w:jc w:val="center"/>
            </w:pPr>
            <w:r>
              <w:rPr>
                <w:rFonts w:ascii="Times New Roman" w:hAnsi="Times New Roman"/>
                <w:sz w:val="20"/>
              </w:rPr>
              <w:t>16/16 PASSED (100%)</w:t>
            </w:r>
          </w:p>
        </w:tc>
      </w:tr>
      <w:tr>
        <w:tc>
          <w:tcPr>
            <w:tcW w:type="dxa" w:w="2268"/>
            <w:shd w:fill="F9FBF9"/>
            <w:tcMar>
              <w:top w:w="80" w:type="dxa"/>
              <w:bottom w:w="80" w:type="dxa"/>
              <w:left w:w="100" w:type="dxa"/>
              <w:right w:w="100" w:type="dxa"/>
            </w:tcMar>
          </w:tcPr>
          <w:p>
            <w:pPr>
              <w:jc w:val="left"/>
            </w:pPr>
            <w:r>
              <w:rPr>
                <w:rFonts w:ascii="Times New Roman" w:hAnsi="Times New Roman"/>
                <w:sz w:val="20"/>
              </w:rPr>
              <w:t>4. Trần Thiệt Hại &amp; Hạn Mức Fast-Track</w:t>
            </w:r>
          </w:p>
        </w:tc>
        <w:tc>
          <w:tcPr>
            <w:tcW w:type="dxa" w:w="2268"/>
            <w:shd w:fill="F9FBF9"/>
            <w:tcMar>
              <w:top w:w="80" w:type="dxa"/>
              <w:bottom w:w="80" w:type="dxa"/>
              <w:left w:w="100" w:type="dxa"/>
              <w:right w:w="100" w:type="dxa"/>
            </w:tcMar>
          </w:tcPr>
          <w:p>
            <w:pPr>
              <w:jc w:val="center"/>
            </w:pPr>
            <w:r>
              <w:rPr>
                <w:rFonts w:ascii="Times New Roman" w:hAnsi="Times New Roman"/>
                <w:sz w:val="20"/>
              </w:rPr>
              <w:t>1 test</w:t>
            </w:r>
          </w:p>
        </w:tc>
        <w:tc>
          <w:tcPr>
            <w:tcW w:type="dxa" w:w="2268"/>
            <w:shd w:fill="F9FBF9"/>
            <w:tcMar>
              <w:top w:w="80" w:type="dxa"/>
              <w:bottom w:w="80" w:type="dxa"/>
              <w:left w:w="100" w:type="dxa"/>
              <w:right w:w="100" w:type="dxa"/>
            </w:tcMar>
          </w:tcPr>
          <w:p>
            <w:pPr>
              <w:jc w:val="left"/>
            </w:pPr>
            <w:r>
              <w:rPr>
                <w:rFonts w:ascii="Times New Roman" w:hAnsi="Times New Roman"/>
                <w:sz w:val="20"/>
              </w:rPr>
              <w:t>Kiểm tra trần Fast-Track tuyệt đối theo từng cấp độ tín nhiệm</w:t>
            </w:r>
          </w:p>
        </w:tc>
        <w:tc>
          <w:tcPr>
            <w:tcW w:type="dxa" w:w="2268"/>
            <w:shd w:fill="F9FBF9"/>
            <w:tcMar>
              <w:top w:w="80" w:type="dxa"/>
              <w:bottom w:w="80" w:type="dxa"/>
              <w:left w:w="100" w:type="dxa"/>
              <w:right w:w="100" w:type="dxa"/>
            </w:tcMar>
          </w:tcPr>
          <w:p>
            <w:pPr>
              <w:jc w:val="center"/>
            </w:pPr>
            <w:r>
              <w:rPr>
                <w:rFonts w:ascii="Times New Roman" w:hAnsi="Times New Roman"/>
                <w:sz w:val="20"/>
              </w:rPr>
              <w:t>1/1 PASSED (100%)</w:t>
            </w:r>
          </w:p>
        </w:tc>
      </w:tr>
      <w:tr>
        <w:tc>
          <w:tcPr>
            <w:tcW w:type="dxa" w:w="2268"/>
            <w:shd w:fill="FFFFFF"/>
            <w:tcMar>
              <w:top w:w="80" w:type="dxa"/>
              <w:bottom w:w="80" w:type="dxa"/>
              <w:left w:w="100" w:type="dxa"/>
              <w:right w:w="100" w:type="dxa"/>
            </w:tcMar>
          </w:tcPr>
          <w:p>
            <w:pPr>
              <w:jc w:val="left"/>
            </w:pPr>
            <w:r>
              <w:rPr>
                <w:rFonts w:ascii="Times New Roman" w:hAnsi="Times New Roman"/>
                <w:sz w:val="20"/>
              </w:rPr>
              <w:t>5. Nguyên Lý Bảo Toàn Quỹ Tranh Chấp (Dispute Math)</w:t>
            </w:r>
          </w:p>
        </w:tc>
        <w:tc>
          <w:tcPr>
            <w:tcW w:type="dxa" w:w="2268"/>
            <w:shd w:fill="FFFFFF"/>
            <w:tcMar>
              <w:top w:w="80" w:type="dxa"/>
              <w:bottom w:w="80" w:type="dxa"/>
              <w:left w:w="100" w:type="dxa"/>
              <w:right w:w="100" w:type="dxa"/>
            </w:tcMar>
          </w:tcPr>
          <w:p>
            <w:pPr>
              <w:jc w:val="center"/>
            </w:pPr>
            <w:r>
              <w:rPr>
                <w:rFonts w:ascii="Times New Roman" w:hAnsi="Times New Roman"/>
                <w:sz w:val="20"/>
              </w:rPr>
              <w:t>4 tests</w:t>
            </w:r>
          </w:p>
        </w:tc>
        <w:tc>
          <w:tcPr>
            <w:tcW w:type="dxa" w:w="2268"/>
            <w:shd w:fill="FFFFFF"/>
            <w:tcMar>
              <w:top w:w="80" w:type="dxa"/>
              <w:bottom w:w="80" w:type="dxa"/>
              <w:left w:w="100" w:type="dxa"/>
              <w:right w:w="100" w:type="dxa"/>
            </w:tcMar>
          </w:tcPr>
          <w:p>
            <w:pPr>
              <w:jc w:val="left"/>
            </w:pPr>
            <w:r>
              <w:rPr>
                <w:rFonts w:ascii="Times New Roman" w:hAnsi="Times New Roman"/>
                <w:sz w:val="20"/>
              </w:rPr>
              <w:t>Khấu trừ 100%, một phần, 0% (Wear &amp; Tear), từ chối số âm/vượt cọc</w:t>
            </w:r>
          </w:p>
        </w:tc>
        <w:tc>
          <w:tcPr>
            <w:tcW w:type="dxa" w:w="2268"/>
            <w:shd w:fill="FFFFFF"/>
            <w:tcMar>
              <w:top w:w="80" w:type="dxa"/>
              <w:bottom w:w="80" w:type="dxa"/>
              <w:left w:w="100" w:type="dxa"/>
              <w:right w:w="100" w:type="dxa"/>
            </w:tcMar>
          </w:tcPr>
          <w:p>
            <w:pPr>
              <w:jc w:val="center"/>
            </w:pPr>
            <w:r>
              <w:rPr>
                <w:rFonts w:ascii="Times New Roman" w:hAnsi="Times New Roman"/>
                <w:sz w:val="20"/>
              </w:rPr>
              <w:t>4/4 PASSED (100%)</w:t>
            </w:r>
          </w:p>
        </w:tc>
      </w:tr>
      <w:tr>
        <w:tc>
          <w:tcPr>
            <w:tcW w:type="dxa" w:w="2268"/>
            <w:shd w:fill="F9FBF9"/>
            <w:tcMar>
              <w:top w:w="80" w:type="dxa"/>
              <w:bottom w:w="80" w:type="dxa"/>
              <w:left w:w="100" w:type="dxa"/>
              <w:right w:w="100" w:type="dxa"/>
            </w:tcMar>
          </w:tcPr>
          <w:p>
            <w:pPr>
              <w:jc w:val="left"/>
            </w:pPr>
            <w:r>
              <w:rPr>
                <w:rFonts w:ascii="Times New Roman" w:hAnsi="Times New Roman"/>
                <w:sz w:val="20"/>
              </w:rPr>
              <w:t>6. Bảo Mật Dữ Liệu &amp; Masking (Luật 91/2025/QH15)</w:t>
            </w:r>
          </w:p>
        </w:tc>
        <w:tc>
          <w:tcPr>
            <w:tcW w:type="dxa" w:w="2268"/>
            <w:shd w:fill="F9FBF9"/>
            <w:tcMar>
              <w:top w:w="80" w:type="dxa"/>
              <w:bottom w:w="80" w:type="dxa"/>
              <w:left w:w="100" w:type="dxa"/>
              <w:right w:w="100" w:type="dxa"/>
            </w:tcMar>
          </w:tcPr>
          <w:p>
            <w:pPr>
              <w:jc w:val="center"/>
            </w:pPr>
            <w:r>
              <w:rPr>
                <w:rFonts w:ascii="Times New Roman" w:hAnsi="Times New Roman"/>
                <w:sz w:val="20"/>
              </w:rPr>
              <w:t>2 tests</w:t>
            </w:r>
          </w:p>
        </w:tc>
        <w:tc>
          <w:tcPr>
            <w:tcW w:type="dxa" w:w="2268"/>
            <w:shd w:fill="F9FBF9"/>
            <w:tcMar>
              <w:top w:w="80" w:type="dxa"/>
              <w:bottom w:w="80" w:type="dxa"/>
              <w:left w:w="100" w:type="dxa"/>
              <w:right w:w="100" w:type="dxa"/>
            </w:tcMar>
          </w:tcPr>
          <w:p>
            <w:pPr>
              <w:jc w:val="left"/>
            </w:pPr>
            <w:r>
              <w:rPr>
                <w:rFonts w:ascii="Times New Roman" w:hAnsi="Times New Roman"/>
                <w:sz w:val="20"/>
              </w:rPr>
              <w:t>Che mờ số điện thoại (maskPhone) và email (maskEmail) chuẩn xác</w:t>
            </w:r>
          </w:p>
        </w:tc>
        <w:tc>
          <w:tcPr>
            <w:tcW w:type="dxa" w:w="2268"/>
            <w:shd w:fill="F9FBF9"/>
            <w:tcMar>
              <w:top w:w="80" w:type="dxa"/>
              <w:bottom w:w="80" w:type="dxa"/>
              <w:left w:w="100" w:type="dxa"/>
              <w:right w:w="100" w:type="dxa"/>
            </w:tcMar>
          </w:tcPr>
          <w:p>
            <w:pPr>
              <w:jc w:val="center"/>
            </w:pPr>
            <w:r>
              <w:rPr>
                <w:rFonts w:ascii="Times New Roman" w:hAnsi="Times New Roman"/>
                <w:sz w:val="20"/>
              </w:rPr>
              <w:t>2/2 PASSED (100%)</w:t>
            </w:r>
          </w:p>
        </w:tc>
      </w:tr>
    </w:tbl>
    <w:p>
      <w:pPr>
        <w:spacing w:after="80"/>
        <w:jc w:val="both"/>
      </w:pPr>
      <w:r>
        <w:rPr>
          <w:rFonts w:ascii="Times New Roman" w:hAnsi="Times New Roman"/>
          <w:b/>
          <w:color w:val="111827"/>
          <w:sz w:val="25"/>
        </w:rPr>
        <w:t xml:space="preserve">Bảo chứng Giao dịch &amp; An ninh Đám mây (14/14 Integration Tests PASSED): </w:t>
      </w:r>
      <w:r>
        <w:rPr>
          <w:rFonts w:ascii="Times New Roman" w:hAnsi="Times New Roman"/>
          <w:sz w:val="25"/>
        </w:rPr>
        <w:t>Bên cạnh 43 Unit Tests, bộ 14 Integration Tests (Fail-Closed &amp; Transactions) xác nhận tính toàn vẹn của hệ thống khi chạy thực tế (Tổng cộng: 57/57 bài kiểm thử PASSED 100%):</w:t>
      </w:r>
    </w:p>
    <w:p>
      <w:pPr>
        <w:pStyle w:val="ListBullet"/>
        <w:spacing w:after="60"/>
        <w:jc w:val="both"/>
      </w:pPr>
      <w:r>
        <w:rPr>
          <w:rFonts w:ascii="Times New Roman" w:hAnsi="Times New Roman"/>
          <w:b/>
          <w:sz w:val="25"/>
        </w:rPr>
        <w:t xml:space="preserve">• Atomicity &amp; Rollback: </w:t>
      </w:r>
      <w:r>
        <w:rPr>
          <w:rFonts w:ascii="Times New Roman" w:hAnsi="Times New Roman"/>
          <w:sz w:val="25"/>
        </w:rPr>
        <w:t>Đảm bảo hủy toàn bộ phiên giao dịch cơ sở dữ liệu nếu có lỗi, không sinh dữ liệu mồ côi.</w:t>
      </w:r>
    </w:p>
    <w:p>
      <w:pPr>
        <w:pStyle w:val="ListBullet"/>
        <w:spacing w:after="60"/>
        <w:jc w:val="both"/>
      </w:pPr>
      <w:r>
        <w:rPr>
          <w:rFonts w:ascii="Times New Roman" w:hAnsi="Times New Roman"/>
          <w:b/>
          <w:sz w:val="25"/>
        </w:rPr>
        <w:t xml:space="preserve">• Mật mã Webhook PayOS: </w:t>
      </w:r>
      <w:r>
        <w:rPr>
          <w:rFonts w:ascii="Times New Roman" w:hAnsi="Times New Roman"/>
          <w:sz w:val="25"/>
        </w:rPr>
        <w:t>Xác thực chữ ký HMAC-SHA256, từ chối gói tin bị sửa đổi số tiền, chống chi tiêu lặp (Idempotency).</w:t>
      </w:r>
    </w:p>
    <w:p>
      <w:pPr>
        <w:pStyle w:val="ListBullet"/>
        <w:spacing w:after="60"/>
        <w:jc w:val="both"/>
      </w:pPr>
      <w:r>
        <w:rPr>
          <w:rFonts w:ascii="Times New Roman" w:hAnsi="Times New Roman"/>
          <w:b/>
          <w:sz w:val="25"/>
        </w:rPr>
        <w:t xml:space="preserve">• GCS Fail-Closed Policy: </w:t>
      </w:r>
      <w:r>
        <w:rPr>
          <w:rFonts w:ascii="Times New Roman" w:hAnsi="Times New Roman"/>
          <w:sz w:val="25"/>
        </w:rPr>
        <w:t>Từ chối mọi yêu cầu đọc/ghi khi thiếu thông tin xác thực đám mây, từ chối file không tồn tại, không dùng mock fallback.</w:t>
      </w:r>
    </w:p>
    <w:p>
      <w:pPr>
        <w:pStyle w:val="ListBullet"/>
        <w:spacing w:after="60"/>
        <w:jc w:val="both"/>
      </w:pPr>
      <w:r>
        <w:rPr>
          <w:rFonts w:ascii="Times New Roman" w:hAnsi="Times New Roman"/>
          <w:b/>
          <w:sz w:val="25"/>
        </w:rPr>
        <w:t xml:space="preserve">• Fast-Track 4 Phòng Tuyến: </w:t>
      </w:r>
      <w:r>
        <w:rPr>
          <w:rFonts w:ascii="Times New Roman" w:hAnsi="Times New Roman"/>
          <w:sz w:val="25"/>
        </w:rPr>
        <w:t>Xác thực chặn đứng tài khoản Level 0 chưa eKYC, chặn tài khoản đang có tranh chấp, chặn vượt quá 1 đơn đồng thời, chặn vượt trần tài sản.</w:t>
      </w:r>
    </w:p>
    <w:p>
      <w:pPr>
        <w:pStyle w:val="ListBullet"/>
        <w:spacing w:after="60"/>
        <w:jc w:val="both"/>
      </w:pPr>
      <w:r>
        <w:rPr>
          <w:rFonts w:ascii="Times New Roman" w:hAnsi="Times New Roman"/>
          <w:b/>
          <w:sz w:val="25"/>
        </w:rPr>
        <w:t xml:space="preserve">• Zero IDOR Authorization: </w:t>
      </w:r>
      <w:r>
        <w:rPr>
          <w:rFonts w:ascii="Times New Roman" w:hAnsi="Times New Roman"/>
          <w:sz w:val="25"/>
        </w:rPr>
        <w:t>Bảo đảm người dùng chỉ được quyền truy xuất các tập tin bằng chứng thuộc chính đơn hàng tranh chấp của mình.</w:t>
      </w:r>
    </w:p>
    <w:p>
      <w:pPr>
        <w:keepNext/>
        <w:spacing w:before="320" w:after="120"/>
      </w:pPr>
      <w:r>
        <w:rPr>
          <w:rFonts w:ascii="Times New Roman" w:hAnsi="Times New Roman"/>
          <w:b/>
          <w:color w:val="0F4A34"/>
          <w:sz w:val="28"/>
        </w:rPr>
        <w:t>XI. LỘ TRÌNH TRIỂN KHAI 3 GIAI ĐOẠN (PRODUCT ROADMAP)</w:t>
      </w:r>
    </w:p>
    <w:p>
      <w:pPr>
        <w:spacing w:after="80"/>
        <w:jc w:val="both"/>
      </w:pPr>
      <w:r>
        <w:rPr>
          <w:rFonts w:ascii="Times New Roman" w:hAnsi="Times New Roman"/>
          <w:sz w:val="25"/>
        </w:rPr>
        <w:t>Để tránh bẫy 'Over-engineering' và đảm bảo tính khả thi thực tế của một Startup sinh viên, kiến trúc của CLOOP được phân kỳ rõ ràng:</w:t>
      </w:r>
    </w:p>
    <w:p>
      <w:pPr>
        <w:pStyle w:val="ListBullet"/>
        <w:spacing w:after="60"/>
        <w:jc w:val="both"/>
      </w:pPr>
      <w:r>
        <w:rPr>
          <w:rFonts w:ascii="Times New Roman" w:hAnsi="Times New Roman"/>
          <w:b/>
          <w:sz w:val="25"/>
        </w:rPr>
        <w:t xml:space="preserve">1. PHASE 1: LIVE NOW (Phiên bản MVP Techfest): </w:t>
      </w:r>
      <w:r>
        <w:rPr>
          <w:rFonts w:ascii="Times New Roman" w:hAnsi="Times New Roman"/>
          <w:sz w:val="25"/>
        </w:rPr>
        <w:t>Next.js + Supabase Auth (Email/Phone OTP) + VietQR PayOS Orchestration + Trust Score V1 (cọc 100% với user mới) + Upload video Before/After + Logistics GHN san sẻ ship 50/50 + Digital Damage Protocol (3 cấp độ) + Fast-Track 4 Phòng Tuyến + Cho phép khách vãng lai trải nghiệm đăng đồ. Chi phí eKYC: 0 đồng.</w:t>
      </w:r>
    </w:p>
    <w:p>
      <w:pPr>
        <w:pStyle w:val="ListBullet"/>
        <w:spacing w:after="60"/>
        <w:jc w:val="both"/>
      </w:pPr>
      <w:r>
        <w:rPr>
          <w:rFonts w:ascii="Times New Roman" w:hAnsi="Times New Roman"/>
          <w:b/>
          <w:sz w:val="25"/>
        </w:rPr>
        <w:t xml:space="preserve">2. PHASE 2: MVP NEXT (Giai đoạn Growth 2028): </w:t>
      </w:r>
      <w:r>
        <w:rPr>
          <w:rFonts w:ascii="Times New Roman" w:hAnsi="Times New Roman"/>
          <w:sz w:val="25"/>
        </w:rPr>
        <w:t>Tự động hóa Exposure Limit Engine + Progressive Trust tự giảm cọc theo hạn mức quỹ khả dụng + Hạn mức nợ bảo lãnh tài khoản + Digital Evidence Timeline UI + Pessimistic locking tại DB khi concurrency cao + Micro-resolution tự động giải quyết khiếu nại nhỏ dưới 50k.</w:t>
      </w:r>
    </w:p>
    <w:p>
      <w:pPr>
        <w:pStyle w:val="ListBullet"/>
        <w:spacing w:after="60"/>
        <w:jc w:val="both"/>
      </w:pPr>
      <w:r>
        <w:rPr>
          <w:rFonts w:ascii="Times New Roman" w:hAnsi="Times New Roman"/>
          <w:b/>
          <w:sz w:val="25"/>
        </w:rPr>
        <w:t xml:space="preserve">3. PHASE 3: SCALE-UP ARCHITECTURE (Giai đoạn gọi vốn VC 2029+): </w:t>
      </w:r>
      <w:r>
        <w:rPr>
          <w:rFonts w:ascii="Times New Roman" w:hAnsi="Times New Roman"/>
          <w:sz w:val="25"/>
        </w:rPr>
        <w:t>Tích hợp đối tác eKYC chuyên dụng (Face match/Liveness) + AI Computer Vision tự động so khớp xước/bẩn + Multi-carrier failover (GHN/GHTK) + Cold storage R2/Google One.</w:t>
      </w:r>
    </w:p>
    <w:p>
      <w:pPr>
        <w:spacing w:before="280" w:after="280"/>
        <w:jc w:val="both"/>
      </w:pPr>
      <w:r>
        <w:rPr>
          <w:rFonts w:ascii="Times New Roman" w:hAnsi="Times New Roman"/>
          <w:b/>
          <w:i/>
          <w:color w:val="0F4A34"/>
          <w:sz w:val="25"/>
        </w:rPr>
        <w:t>KẾT LUẬN TOÀN DIỆN: Báo cáo v5.2 khẳng định CLOOP không né tránh rủi ro mà trực diện đối thoại và hóa giải 4 Tử huyệt lớn nhất của ngành kinh tế chia sẻ thời trang. Bằng sự kết hợp giữa Digital Damage Protocol, Lớp Điều Phối Thanh Toán VietQR, 4 Lớp Phòng Tuyến Fast-Track, Cơ chế Bảo lãnh Cọc Giới hạn Năng lực Quỹ &amp; Hạn Mức Từng Tài Khoản, Khung Bảo Vệ Dữ Liệu Cá Nhân Chuẩn Luật 91/2025/QH15, Bộ Kiểm Thử Tự Động 57/57 PASSED và Lộ trình phân kỳ 3 giai đoạn sắc bén, CLOOP chứng minh năng lực sẵn sàng bảo vệ thành công trước Hội Đồng Giám Khảo Techfest và tự tin tiến vào vòng gọi vốn hạt giống (Seed Round).</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