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65F46"/>
          <w:sz w:val="22"/>
        </w:rPr>
        <w:t>CUỘC THI KHỞI NGHIỆP ĐỔI MỚI SÁNG TẠO TECHFEST 2026</w:t>
        <w:br/>
        <w:t>DỰ ÁN NỀN TẢNG THỜI TRANG TUẦN HOÀN CLOOP</w:t>
      </w:r>
    </w:p>
    <w:p>
      <w:pPr>
        <w:spacing w:after="280"/>
        <w:jc w:val="center"/>
      </w:pPr>
      <w:r>
        <w:rPr>
          <w:rFonts w:ascii="Times New Roman" w:hAnsi="Times New Roman"/>
          <w:color w:val="9CA3AF"/>
          <w:sz w:val="20"/>
        </w:rPr>
        <w:t>――――――――――――――――――――――――――――</w:t>
      </w:r>
    </w:p>
    <w:p>
      <w:pPr>
        <w:spacing w:before="80" w:after="120"/>
        <w:jc w:val="center"/>
      </w:pPr>
      <w:r>
        <w:rPr>
          <w:rFonts w:ascii="Times New Roman" w:hAnsi="Times New Roman"/>
          <w:b/>
          <w:color w:val="111827"/>
          <w:sz w:val="30"/>
        </w:rPr>
        <w:t>BỘ TÀI LIỆU THAM VẤN CHUYÊN GIA KẾ TOÁN – TÀI CHÍNH</w:t>
      </w:r>
    </w:p>
    <w:p>
      <w:pPr>
        <w:spacing w:after="320"/>
        <w:jc w:val="center"/>
      </w:pPr>
      <w:r>
        <w:rPr>
          <w:rFonts w:ascii="Times New Roman" w:hAnsi="Times New Roman"/>
          <w:b/>
          <w:color w:val="047857"/>
          <w:sz w:val="24"/>
        </w:rPr>
        <w:t>SƠ ĐỒ NGHIỆP VỤ LUÂN CHUYỂN DÒNG TIỀN, HỆ THỐNG TIỂU KHOẢN VÀ MA TRẬN ĐỊNH KHOẢN KẾ TOÁN KÉP THEO CHUẨN THÔNG TƯ 99/2025/TT-BTC</w:t>
      </w:r>
    </w:p>
    <w:p>
      <w:pPr>
        <w:keepNext/>
        <w:spacing w:before="280" w:after="120"/>
      </w:pPr>
      <w:r>
        <w:rPr>
          <w:rFonts w:ascii="Times New Roman" w:hAnsi="Times New Roman"/>
          <w:b/>
          <w:color w:val="064E3B"/>
          <w:sz w:val="26"/>
        </w:rPr>
        <w:t>I. TỔNG QUAN MÔ HÌNH VẬN HÀNH &amp; BẢN CHẤT KINH TẾ (SUBSTANCE OVER FORM)</w:t>
      </w:r>
    </w:p>
    <w:p>
      <w:pPr>
        <w:spacing w:after="80" w:line="288" w:lineRule="auto"/>
      </w:pPr>
      <w:r>
        <w:rPr>
          <w:rFonts w:ascii="Times New Roman" w:hAnsi="Times New Roman"/>
          <w:sz w:val="26"/>
        </w:rPr>
        <w:t>CLOOP là nền tảng thương mại điện tử tuần hoàn (Circular Fashion Platform) hoạt động theo mô hình Peer-to-Peer (C2C). Nền tảng kết nối trực tiếp Người có tủ đồ thời trang nhàn rỗi (Chủ tủ - Lender) và Người có nhu cầu thuê trang phục ngắn ngày (Khách thuê - Renter).</w:t>
      </w:r>
    </w:p>
    <w:p>
      <w:pPr>
        <w:spacing w:after="80" w:line="288" w:lineRule="auto"/>
      </w:pPr>
      <w:r>
        <w:rPr>
          <w:rFonts w:ascii="Times New Roman" w:hAnsi="Times New Roman"/>
          <w:b/>
          <w:sz w:val="26"/>
        </w:rPr>
        <w:t xml:space="preserve">1. Vai trò của Nền tảng CLOOP: </w:t>
      </w:r>
      <w:r>
        <w:rPr>
          <w:rFonts w:ascii="Times New Roman" w:hAnsi="Times New Roman"/>
          <w:sz w:val="26"/>
        </w:rPr>
        <w:t>CLOOP đóng vai trò là Đại lý sàn giao dịch thương mại điện tử kết nối trung gian (Thu hộ – Chi hộ). Nền tảng không nắm quyền sở hữu tài sản trang phục, không phát sinh hàng tồn kho và không ghi nhận toàn bộ giá trị đơn thuê vào doanh thu thuần của doanh nghiệp.</w:t>
      </w:r>
    </w:p>
    <w:p>
      <w:pPr>
        <w:spacing w:after="80" w:line="288" w:lineRule="auto"/>
      </w:pPr>
      <w:r>
        <w:rPr>
          <w:rFonts w:ascii="Times New Roman" w:hAnsi="Times New Roman"/>
          <w:b/>
          <w:sz w:val="26"/>
        </w:rPr>
        <w:t xml:space="preserve">2. Cơ chế Két Ký quỹ cọc Escrow độc lập: </w:t>
      </w:r>
      <w:r>
        <w:rPr>
          <w:rFonts w:ascii="Times New Roman" w:hAnsi="Times New Roman"/>
          <w:sz w:val="26"/>
        </w:rPr>
        <w:t>Để triệt tiêu rủi ro mất đồ hoặc hư hỏng trang phục giữa hai cá nhân xa lạ, CLOOP triển khai Két cọc giữ hộ an toàn (Escrow Deposit Vault). Tiền cọc của khách thuê được tách biệt hoàn toàn khỏi dòng vốn lưu động của sàn, bảo đảm hoàn trả 100% khi kết thúc hợp đồng.</w:t>
      </w:r>
    </w:p>
    <w:p>
      <w:pPr>
        <w:spacing w:after="80" w:line="288" w:lineRule="auto"/>
      </w:pPr>
      <w:r>
        <w:rPr>
          <w:rFonts w:ascii="Times New Roman" w:hAnsi="Times New Roman"/>
          <w:b/>
          <w:sz w:val="26"/>
        </w:rPr>
        <w:t xml:space="preserve">3. Căn cứ Pháp lý &amp; Chuẩn mực Kế toán áp dụng: </w:t>
      </w:r>
      <w:r>
        <w:rPr>
          <w:rFonts w:ascii="Times New Roman" w:hAnsi="Times New Roman"/>
          <w:sz w:val="26"/>
        </w:rPr>
        <w:t>Hệ thống định khoản được xây dựng tuân thủ nghiêm ngặt Thông tư 99/2025/TT-BTC của Bộ Tài chính hướng dẫn Chế độ kế toán doanh nghiệp (thay thế, kế thừa và cập nhật Thông tư 200/2014/TT-BTC và Thông tư 133/2016/TT-BTC). Trọng tâm của Thông tư 99 là nguyên tắc “Bản chất kinh tế quan trọng hơn hình thức” (Substance Over Form), hợp thức hóa quyền tự quyết của doanh nghiệp trong việc thiết lập hệ thống tiểu khoản và sổ cái nội bộ điện tử.</w:t>
      </w:r>
    </w:p>
    <w:tbl>
      <w:tblPr>
        <w:tblW w:type="auto" w:w="0"/>
        <w:jc w:val="center"/>
        <w:tblLook w:firstColumn="1" w:firstRow="1" w:lastColumn="0" w:lastRow="0" w:noHBand="0" w:noVBand="1" w:val="04A0"/>
      </w:tblPr>
      <w:tblGrid>
        <w:gridCol w:w="9071"/>
      </w:tblGrid>
      <w:tr>
        <w:tc>
          <w:tcPr>
            <w:tcW w:type="dxa" w:w="9071"/>
            <w:shd w:fill="F0FDF4"/>
            <w:tcMar>
              <w:top w:w="140" w:type="dxa"/>
              <w:bottom w:w="140" w:type="dxa"/>
              <w:left w:w="200" w:type="dxa"/>
              <w:right w:w="200" w:type="dxa"/>
            </w:tcMar>
            <w:tcBorders>
              <w:left w:val="single" w:sz="24" w:space="0" w:color="059669"/>
              <w:top w:val="single" w:sz="4" w:space="0" w:color="A7F3D0"/>
              <w:right w:val="single" w:sz="4" w:space="0" w:color="A7F3D0"/>
              <w:bottom w:val="single" w:sz="4" w:space="0" w:color="A7F3D0"/>
            </w:tcBorders>
          </w:tcPr>
          <w:p>
            <w:pPr>
              <w:spacing w:after="40"/>
            </w:pPr>
            <w:r>
              <w:rPr>
                <w:rFonts w:ascii="Times New Roman" w:hAnsi="Times New Roman"/>
                <w:b/>
                <w:color w:val="065F46"/>
                <w:sz w:val="24"/>
              </w:rPr>
              <w:t xml:space="preserve">📌 CĂN CỨ PHÁP LÝ THÔNG TƯ 99/2025/TT-BTC: </w:t>
            </w:r>
            <w:r>
              <w:rPr>
                <w:rFonts w:ascii="Times New Roman" w:hAnsi="Times New Roman"/>
                <w:color w:val="1F2937"/>
                <w:sz w:val="24"/>
              </w:rPr>
              <w:t>Theo Thông tư 99/2025/TT-BTC, doanh nghiệp được trao quyền tự chủ hoàn toàn trong việc mở các tiểu khoản chi tiết (cấp 2, cấp 3) và thiết kế biểu mẫu sổ kế toán nội bộ mà không cần văn bản xin phép Bộ Tài chính, miễn là phản ánh trung thực bản chất giao dịch và không làm biến dạng báo cáo tài chính.</w:t>
            </w:r>
          </w:p>
        </w:tc>
      </w:tr>
    </w:tbl>
    <w:p>
      <w:pPr>
        <w:spacing w:after="80"/>
      </w:pPr>
    </w:p>
    <w:p>
      <w:pPr>
        <w:keepNext/>
        <w:spacing w:before="280" w:after="120"/>
      </w:pPr>
      <w:r>
        <w:rPr>
          <w:rFonts w:ascii="Times New Roman" w:hAnsi="Times New Roman"/>
          <w:b/>
          <w:color w:val="064E3B"/>
          <w:sz w:val="26"/>
        </w:rPr>
        <w:t>II. HỆ THỐNG DANH MỤC TÀI KHOẢN VÀ TIỂU KHOẢN NỘI BỘ</w:t>
      </w:r>
    </w:p>
    <w:p>
      <w:pPr>
        <w:spacing w:after="80" w:line="288" w:lineRule="auto"/>
      </w:pPr>
      <w:r>
        <w:rPr>
          <w:rFonts w:ascii="Times New Roman" w:hAnsi="Times New Roman"/>
          <w:sz w:val="26"/>
        </w:rPr>
        <w:t>Nhằm minh bạch hóa tối đa dòng tiền và phục vụ kiểm toán độc lập, CLOOP thiết lập danh mục tài khoản chi tiết như sau:</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insideV w:val="single" w:sz="4" w:space="0" w:color="D1D5DB"/>
          <w:left w:val="single" w:sz="6" w:space="0" w:color="D1D5DB"/>
          <w:right w:val="single" w:sz="6" w:space="0" w:color="D1D5DB"/>
        </w:tblBorders>
      </w:tblPr>
      <w:tblGrid>
        <w:gridCol w:w="2268"/>
        <w:gridCol w:w="2268"/>
        <w:gridCol w:w="2268"/>
        <w:gridCol w:w="2268"/>
      </w:tblGrid>
      <w:tr>
        <w:tc>
          <w:tcPr>
            <w:tcW w:type="dxa" w:w="1134"/>
            <w:shd w:fill="065F46"/>
            <w:tcMar>
              <w:top w:w="120" w:type="dxa"/>
              <w:bottom w:w="120" w:type="dxa"/>
              <w:left w:w="120" w:type="dxa"/>
              <w:right w:w="120" w:type="dxa"/>
            </w:tcMar>
          </w:tcPr>
          <w:p>
            <w:pPr>
              <w:jc w:val="center"/>
            </w:pPr>
            <w:r>
              <w:rPr>
                <w:rFonts w:ascii="Times New Roman" w:hAnsi="Times New Roman"/>
                <w:b/>
                <w:color w:val="FFFFFF"/>
                <w:sz w:val="22"/>
              </w:rPr>
              <w:t>Mã TK</w:t>
            </w:r>
          </w:p>
        </w:tc>
        <w:tc>
          <w:tcPr>
            <w:tcW w:type="dxa" w:w="2551"/>
            <w:shd w:fill="065F46"/>
            <w:tcMar>
              <w:top w:w="120" w:type="dxa"/>
              <w:bottom w:w="120" w:type="dxa"/>
              <w:left w:w="120" w:type="dxa"/>
              <w:right w:w="120" w:type="dxa"/>
            </w:tcMar>
          </w:tcPr>
          <w:p>
            <w:pPr>
              <w:jc w:val="center"/>
            </w:pPr>
            <w:r>
              <w:rPr>
                <w:rFonts w:ascii="Times New Roman" w:hAnsi="Times New Roman"/>
                <w:b/>
                <w:color w:val="FFFFFF"/>
                <w:sz w:val="22"/>
              </w:rPr>
              <w:t>Tên Tài Khoản (Theo TT 99/2025)</w:t>
            </w:r>
          </w:p>
        </w:tc>
        <w:tc>
          <w:tcPr>
            <w:tcW w:type="dxa" w:w="2551"/>
            <w:shd w:fill="065F46"/>
            <w:tcMar>
              <w:top w:w="120" w:type="dxa"/>
              <w:bottom w:w="120" w:type="dxa"/>
              <w:left w:w="120" w:type="dxa"/>
              <w:right w:w="120" w:type="dxa"/>
            </w:tcMar>
          </w:tcPr>
          <w:p>
            <w:pPr>
              <w:jc w:val="center"/>
            </w:pPr>
            <w:r>
              <w:rPr>
                <w:rFonts w:ascii="Times New Roman" w:hAnsi="Times New Roman"/>
                <w:b/>
                <w:color w:val="FFFFFF"/>
                <w:sz w:val="22"/>
              </w:rPr>
              <w:t>Phân Loại Tiểu Khoản CLOOP</w:t>
            </w:r>
          </w:p>
        </w:tc>
        <w:tc>
          <w:tcPr>
            <w:tcW w:type="dxa" w:w="2835"/>
            <w:shd w:fill="065F46"/>
            <w:tcMar>
              <w:top w:w="120" w:type="dxa"/>
              <w:bottom w:w="120" w:type="dxa"/>
              <w:left w:w="120" w:type="dxa"/>
              <w:right w:w="120" w:type="dxa"/>
            </w:tcMar>
          </w:tcPr>
          <w:p>
            <w:pPr>
              <w:jc w:val="center"/>
            </w:pPr>
            <w:r>
              <w:rPr>
                <w:rFonts w:ascii="Times New Roman" w:hAnsi="Times New Roman"/>
                <w:b/>
                <w:color w:val="FFFFFF"/>
                <w:sz w:val="22"/>
              </w:rPr>
              <w:t>Bản Chất Kinh Tế &amp; Mục Đích Quản Trị</w:t>
            </w:r>
          </w:p>
        </w:tc>
      </w:tr>
      <w:tr>
        <w:tc>
          <w:tcPr>
            <w:tcW w:type="dxa" w:w="1134"/>
            <w:shd w:fill="FFFFFF"/>
            <w:tcMar>
              <w:top w:w="100" w:type="dxa"/>
              <w:bottom w:w="100" w:type="dxa"/>
              <w:left w:w="120" w:type="dxa"/>
              <w:right w:w="120" w:type="dxa"/>
            </w:tcMar>
          </w:tcPr>
          <w:p>
            <w:pPr>
              <w:spacing w:line="276" w:lineRule="auto" w:after="0"/>
              <w:jc w:val="center"/>
            </w:pPr>
            <w:r>
              <w:rPr>
                <w:rFonts w:ascii="Times New Roman" w:hAnsi="Times New Roman"/>
                <w:b/>
                <w:sz w:val="22"/>
              </w:rPr>
              <w:t>112</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Tiền gửi không kỳ hạn</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TK 1121 - Ngân hàng số</w:t>
            </w:r>
          </w:p>
        </w:tc>
        <w:tc>
          <w:tcPr>
            <w:tcW w:type="dxa" w:w="2835"/>
            <w:shd w:fill="FFFFFF"/>
            <w:tcMar>
              <w:top w:w="100" w:type="dxa"/>
              <w:bottom w:w="100" w:type="dxa"/>
              <w:left w:w="120" w:type="dxa"/>
              <w:right w:w="120" w:type="dxa"/>
            </w:tcMar>
          </w:tcPr>
          <w:p>
            <w:pPr>
              <w:spacing w:line="276" w:lineRule="auto" w:after="0"/>
              <w:jc w:val="left"/>
            </w:pPr>
            <w:r>
              <w:rPr>
                <w:rFonts w:ascii="Times New Roman" w:hAnsi="Times New Roman"/>
                <w:sz w:val="22"/>
              </w:rPr>
              <w:t>Tài khoản thanh toán ngân hàng liên kết cổng VietQR / PayOS, tự động khớp lệnh nhận cọc và giải ngân Payout 24/7.</w:t>
            </w:r>
          </w:p>
        </w:tc>
      </w:tr>
      <w:tr>
        <w:tc>
          <w:tcPr>
            <w:tcW w:type="dxa" w:w="1134"/>
            <w:shd w:fill="F9FAFB"/>
            <w:tcMar>
              <w:top w:w="100" w:type="dxa"/>
              <w:bottom w:w="100" w:type="dxa"/>
              <w:left w:w="120" w:type="dxa"/>
              <w:right w:w="120" w:type="dxa"/>
            </w:tcMar>
          </w:tcPr>
          <w:p>
            <w:pPr>
              <w:spacing w:line="276" w:lineRule="auto" w:after="0"/>
              <w:jc w:val="center"/>
            </w:pPr>
            <w:r>
              <w:rPr>
                <w:rFonts w:ascii="Times New Roman" w:hAnsi="Times New Roman"/>
                <w:b/>
                <w:sz w:val="22"/>
              </w:rPr>
              <w:t>3386</w:t>
              <w:br/>
              <w:t>(33881)</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Ký cược, ký quỹ ngắn hạn</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TK 3386 - Két Cọc Escrow</w:t>
            </w:r>
          </w:p>
        </w:tc>
        <w:tc>
          <w:tcPr>
            <w:tcW w:type="dxa" w:w="2835"/>
            <w:shd w:fill="F9FAFB"/>
            <w:tcMar>
              <w:top w:w="100" w:type="dxa"/>
              <w:bottom w:w="100" w:type="dxa"/>
              <w:left w:w="120" w:type="dxa"/>
              <w:right w:w="120" w:type="dxa"/>
            </w:tcMar>
          </w:tcPr>
          <w:p>
            <w:pPr>
              <w:spacing w:line="276" w:lineRule="auto" w:after="0"/>
              <w:jc w:val="left"/>
            </w:pPr>
            <w:r>
              <w:rPr>
                <w:rFonts w:ascii="Times New Roman" w:hAnsi="Times New Roman"/>
                <w:sz w:val="22"/>
              </w:rPr>
              <w:t>Ghi nhận tiền đặt cọc giữ đồ của khách thuê. Đây là tài sản giữ hộ, bảo toàn 100%, tuyệt đối không ghi nhận vào doanh thu.</w:t>
            </w:r>
          </w:p>
        </w:tc>
      </w:tr>
      <w:tr>
        <w:tc>
          <w:tcPr>
            <w:tcW w:type="dxa" w:w="1134"/>
            <w:shd w:fill="FFFFFF"/>
            <w:tcMar>
              <w:top w:w="100" w:type="dxa"/>
              <w:bottom w:w="100" w:type="dxa"/>
              <w:left w:w="120" w:type="dxa"/>
              <w:right w:w="120" w:type="dxa"/>
            </w:tcMar>
          </w:tcPr>
          <w:p>
            <w:pPr>
              <w:spacing w:line="276" w:lineRule="auto" w:after="0"/>
              <w:jc w:val="center"/>
            </w:pPr>
            <w:r>
              <w:rPr>
                <w:rFonts w:ascii="Times New Roman" w:hAnsi="Times New Roman"/>
                <w:b/>
                <w:sz w:val="22"/>
              </w:rPr>
              <w:t>3388</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Phải trả, phải nộp khác</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TK 33882 - Thu hộ Chủ tủ</w:t>
            </w:r>
          </w:p>
        </w:tc>
        <w:tc>
          <w:tcPr>
            <w:tcW w:type="dxa" w:w="2835"/>
            <w:shd w:fill="FFFFFF"/>
            <w:tcMar>
              <w:top w:w="100" w:type="dxa"/>
              <w:bottom w:w="100" w:type="dxa"/>
              <w:left w:w="120" w:type="dxa"/>
              <w:right w:w="120" w:type="dxa"/>
            </w:tcMar>
          </w:tcPr>
          <w:p>
            <w:pPr>
              <w:spacing w:line="276" w:lineRule="auto" w:after="0"/>
              <w:jc w:val="left"/>
            </w:pPr>
            <w:r>
              <w:rPr>
                <w:rFonts w:ascii="Times New Roman" w:hAnsi="Times New Roman"/>
                <w:sz w:val="22"/>
              </w:rPr>
              <w:t>Khoản tiền thuê trang phục thu hộ từ khách thuê, có nghĩa vụ thanh toán lại cho Chủ tủ sau khi cấn trừ hoa hồng sàn.</w:t>
            </w:r>
          </w:p>
        </w:tc>
      </w:tr>
      <w:tr>
        <w:tc>
          <w:tcPr>
            <w:tcW w:type="dxa" w:w="1134"/>
            <w:shd w:fill="F9FAFB"/>
            <w:tcMar>
              <w:top w:w="100" w:type="dxa"/>
              <w:bottom w:w="100" w:type="dxa"/>
              <w:left w:w="120" w:type="dxa"/>
              <w:right w:w="120" w:type="dxa"/>
            </w:tcMar>
          </w:tcPr>
          <w:p>
            <w:pPr>
              <w:spacing w:line="276" w:lineRule="auto" w:after="0"/>
              <w:jc w:val="center"/>
            </w:pPr>
            <w:r>
              <w:rPr>
                <w:rFonts w:ascii="Times New Roman" w:hAnsi="Times New Roman"/>
                <w:b/>
                <w:sz w:val="22"/>
              </w:rPr>
              <w:t>3388</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Phải trả, phải nộp khác</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TK 33883 - Thu hộ GHN</w:t>
            </w:r>
          </w:p>
        </w:tc>
        <w:tc>
          <w:tcPr>
            <w:tcW w:type="dxa" w:w="2835"/>
            <w:shd w:fill="F9FAFB"/>
            <w:tcMar>
              <w:top w:w="100" w:type="dxa"/>
              <w:bottom w:w="100" w:type="dxa"/>
              <w:left w:w="120" w:type="dxa"/>
              <w:right w:w="120" w:type="dxa"/>
            </w:tcMar>
          </w:tcPr>
          <w:p>
            <w:pPr>
              <w:spacing w:line="276" w:lineRule="auto" w:after="0"/>
              <w:jc w:val="left"/>
            </w:pPr>
            <w:r>
              <w:rPr>
                <w:rFonts w:ascii="Times New Roman" w:hAnsi="Times New Roman"/>
                <w:sz w:val="22"/>
              </w:rPr>
              <w:t>Thu hộ cước vận chuyển bưu tá khứ hồi từ hai đầu giao dịch (khách thuê chịu chiều đi, chủ tủ chịu chiều về).</w:t>
            </w:r>
          </w:p>
        </w:tc>
      </w:tr>
      <w:tr>
        <w:tc>
          <w:tcPr>
            <w:tcW w:type="dxa" w:w="1134"/>
            <w:shd w:fill="FFFFFF"/>
            <w:tcMar>
              <w:top w:w="100" w:type="dxa"/>
              <w:bottom w:w="100" w:type="dxa"/>
              <w:left w:w="120" w:type="dxa"/>
              <w:right w:w="120" w:type="dxa"/>
            </w:tcMar>
          </w:tcPr>
          <w:p>
            <w:pPr>
              <w:spacing w:line="276" w:lineRule="auto" w:after="0"/>
              <w:jc w:val="center"/>
            </w:pPr>
            <w:r>
              <w:rPr>
                <w:rFonts w:ascii="Times New Roman" w:hAnsi="Times New Roman"/>
                <w:b/>
                <w:sz w:val="22"/>
              </w:rPr>
              <w:t>3388</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Phải trả, phải nộp khác</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TK 3388_BUFFER</w:t>
              <w:br/>
              <w:t>(hoặc TK 711)</w:t>
            </w:r>
          </w:p>
        </w:tc>
        <w:tc>
          <w:tcPr>
            <w:tcW w:type="dxa" w:w="2835"/>
            <w:shd w:fill="FFFFFF"/>
            <w:tcMar>
              <w:top w:w="100" w:type="dxa"/>
              <w:bottom w:w="100" w:type="dxa"/>
              <w:left w:w="120" w:type="dxa"/>
              <w:right w:w="120" w:type="dxa"/>
            </w:tcMar>
          </w:tcPr>
          <w:p>
            <w:pPr>
              <w:spacing w:line="276" w:lineRule="auto" w:after="0"/>
              <w:jc w:val="left"/>
            </w:pPr>
            <w:r>
              <w:rPr>
                <w:rFonts w:ascii="Times New Roman" w:hAnsi="Times New Roman"/>
                <w:sz w:val="22"/>
              </w:rPr>
              <w:t>Quỹ đệm an toàn vận chuyển: Ghi nhận phần chênh lệch thặng dư +8.000đ/đơn từ thuật toán Block 5K so với cước GHN B2B.</w:t>
            </w:r>
          </w:p>
        </w:tc>
      </w:tr>
      <w:tr>
        <w:tc>
          <w:tcPr>
            <w:tcW w:type="dxa" w:w="1134"/>
            <w:shd w:fill="F9FAFB"/>
            <w:tcMar>
              <w:top w:w="100" w:type="dxa"/>
              <w:bottom w:w="100" w:type="dxa"/>
              <w:left w:w="120" w:type="dxa"/>
              <w:right w:w="120" w:type="dxa"/>
            </w:tcMar>
          </w:tcPr>
          <w:p>
            <w:pPr>
              <w:spacing w:line="276" w:lineRule="auto" w:after="0"/>
              <w:jc w:val="center"/>
            </w:pPr>
            <w:r>
              <w:rPr>
                <w:rFonts w:ascii="Times New Roman" w:hAnsi="Times New Roman"/>
                <w:b/>
                <w:sz w:val="22"/>
              </w:rPr>
              <w:t>5113</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Doanh thu cung cấp dịch vụ</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TK 5113 - Doanh thu sàn</w:t>
            </w:r>
          </w:p>
        </w:tc>
        <w:tc>
          <w:tcPr>
            <w:tcW w:type="dxa" w:w="2835"/>
            <w:shd w:fill="F9FAFB"/>
            <w:tcMar>
              <w:top w:w="100" w:type="dxa"/>
              <w:bottom w:w="100" w:type="dxa"/>
              <w:left w:w="120" w:type="dxa"/>
              <w:right w:w="120" w:type="dxa"/>
            </w:tcMar>
          </w:tcPr>
          <w:p>
            <w:pPr>
              <w:spacing w:line="276" w:lineRule="auto" w:after="0"/>
              <w:jc w:val="left"/>
            </w:pPr>
            <w:r>
              <w:rPr>
                <w:rFonts w:ascii="Times New Roman" w:hAnsi="Times New Roman"/>
                <w:sz w:val="22"/>
              </w:rPr>
              <w:t>Doanh thu thuần thực tế của CLOOP: Chỉ bao gồm phí hoa hồng nền tảng (Platform Fee 10-12%) chưa bao gồm thuế GTGT.</w:t>
            </w:r>
          </w:p>
        </w:tc>
      </w:tr>
      <w:tr>
        <w:tc>
          <w:tcPr>
            <w:tcW w:type="dxa" w:w="1134"/>
            <w:shd w:fill="FFFFFF"/>
            <w:tcMar>
              <w:top w:w="100" w:type="dxa"/>
              <w:bottom w:w="100" w:type="dxa"/>
              <w:left w:w="120" w:type="dxa"/>
              <w:right w:w="120" w:type="dxa"/>
            </w:tcMar>
          </w:tcPr>
          <w:p>
            <w:pPr>
              <w:spacing w:line="276" w:lineRule="auto" w:after="0"/>
              <w:jc w:val="center"/>
            </w:pPr>
            <w:r>
              <w:rPr>
                <w:rFonts w:ascii="Times New Roman" w:hAnsi="Times New Roman"/>
                <w:b/>
                <w:sz w:val="22"/>
              </w:rPr>
              <w:t>33311</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Thuế GTGT đầu ra</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TK 33311 - Thuế VAT sàn</w:t>
            </w:r>
          </w:p>
        </w:tc>
        <w:tc>
          <w:tcPr>
            <w:tcW w:type="dxa" w:w="2835"/>
            <w:shd w:fill="FFFFFF"/>
            <w:tcMar>
              <w:top w:w="100" w:type="dxa"/>
              <w:bottom w:w="100" w:type="dxa"/>
              <w:left w:w="120" w:type="dxa"/>
              <w:right w:w="120" w:type="dxa"/>
            </w:tcMar>
          </w:tcPr>
          <w:p>
            <w:pPr>
              <w:spacing w:line="276" w:lineRule="auto" w:after="0"/>
              <w:jc w:val="left"/>
            </w:pPr>
            <w:r>
              <w:rPr>
                <w:rFonts w:ascii="Times New Roman" w:hAnsi="Times New Roman"/>
                <w:sz w:val="22"/>
              </w:rPr>
              <w:t>Nghĩa vụ thuế GTGT (10%) đối với phí dịch vụ sàn TMĐT xuất hóa đơn điện tử định kỳ theo quy định thuế hiện hành.</w:t>
            </w:r>
          </w:p>
        </w:tc>
      </w:tr>
      <w:tr>
        <w:tc>
          <w:tcPr>
            <w:tcW w:type="dxa" w:w="1134"/>
            <w:shd w:fill="F9FAFB"/>
            <w:tcMar>
              <w:top w:w="100" w:type="dxa"/>
              <w:bottom w:w="100" w:type="dxa"/>
              <w:left w:w="120" w:type="dxa"/>
              <w:right w:w="120" w:type="dxa"/>
            </w:tcMar>
          </w:tcPr>
          <w:p>
            <w:pPr>
              <w:spacing w:line="276" w:lineRule="auto" w:after="0"/>
              <w:jc w:val="center"/>
            </w:pPr>
            <w:r>
              <w:rPr>
                <w:rFonts w:ascii="Times New Roman" w:hAnsi="Times New Roman"/>
                <w:b/>
                <w:sz w:val="22"/>
              </w:rPr>
              <w:t>331</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Phải trả cho người bán</w:t>
            </w:r>
          </w:p>
        </w:tc>
        <w:tc>
          <w:tcPr>
            <w:tcW w:type="dxa" w:w="2551"/>
            <w:shd w:fill="F9FAFB"/>
            <w:tcMar>
              <w:top w:w="100" w:type="dxa"/>
              <w:bottom w:w="100" w:type="dxa"/>
              <w:left w:w="120" w:type="dxa"/>
              <w:right w:w="120" w:type="dxa"/>
            </w:tcMar>
          </w:tcPr>
          <w:p>
            <w:pPr>
              <w:spacing w:line="276" w:lineRule="auto" w:after="0"/>
              <w:jc w:val="left"/>
            </w:pPr>
            <w:r>
              <w:rPr>
                <w:rFonts w:ascii="Times New Roman" w:hAnsi="Times New Roman"/>
                <w:sz w:val="22"/>
              </w:rPr>
              <w:t>TK 331_GHN - Bưu tá</w:t>
            </w:r>
          </w:p>
        </w:tc>
        <w:tc>
          <w:tcPr>
            <w:tcW w:type="dxa" w:w="2835"/>
            <w:shd w:fill="F9FAFB"/>
            <w:tcMar>
              <w:top w:w="100" w:type="dxa"/>
              <w:bottom w:w="100" w:type="dxa"/>
              <w:left w:w="120" w:type="dxa"/>
              <w:right w:w="120" w:type="dxa"/>
            </w:tcMar>
          </w:tcPr>
          <w:p>
            <w:pPr>
              <w:spacing w:line="276" w:lineRule="auto" w:after="0"/>
              <w:jc w:val="left"/>
            </w:pPr>
            <w:r>
              <w:rPr>
                <w:rFonts w:ascii="Times New Roman" w:hAnsi="Times New Roman"/>
                <w:sz w:val="22"/>
              </w:rPr>
              <w:t>Công nợ thực tế phải chi trả cho đối tác vận chuyển Giao Hàng Nhanh (GHN) dựa trên biên bản đối soát điện tử định kỳ.</w:t>
            </w:r>
          </w:p>
        </w:tc>
      </w:tr>
      <w:tr>
        <w:tc>
          <w:tcPr>
            <w:tcW w:type="dxa" w:w="1134"/>
            <w:shd w:fill="FFFFFF"/>
            <w:tcMar>
              <w:top w:w="100" w:type="dxa"/>
              <w:bottom w:w="100" w:type="dxa"/>
              <w:left w:w="120" w:type="dxa"/>
              <w:right w:w="120" w:type="dxa"/>
            </w:tcMar>
          </w:tcPr>
          <w:p>
            <w:pPr>
              <w:spacing w:line="276" w:lineRule="auto" w:after="0"/>
              <w:jc w:val="center"/>
            </w:pPr>
            <w:r>
              <w:rPr>
                <w:rFonts w:ascii="Times New Roman" w:hAnsi="Times New Roman"/>
                <w:b/>
                <w:sz w:val="22"/>
              </w:rPr>
              <w:t>6427</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Chi phí dịch vụ mua ngoài</w:t>
            </w:r>
          </w:p>
        </w:tc>
        <w:tc>
          <w:tcPr>
            <w:tcW w:type="dxa" w:w="2551"/>
            <w:shd w:fill="FFFFFF"/>
            <w:tcMar>
              <w:top w:w="100" w:type="dxa"/>
              <w:bottom w:w="100" w:type="dxa"/>
              <w:left w:w="120" w:type="dxa"/>
              <w:right w:w="120" w:type="dxa"/>
            </w:tcMar>
          </w:tcPr>
          <w:p>
            <w:pPr>
              <w:spacing w:line="276" w:lineRule="auto" w:after="0"/>
              <w:jc w:val="left"/>
            </w:pPr>
            <w:r>
              <w:rPr>
                <w:rFonts w:ascii="Times New Roman" w:hAnsi="Times New Roman"/>
                <w:sz w:val="22"/>
              </w:rPr>
              <w:t>TK 6427_GATEWAY</w:t>
            </w:r>
          </w:p>
        </w:tc>
        <w:tc>
          <w:tcPr>
            <w:tcW w:type="dxa" w:w="2835"/>
            <w:shd w:fill="FFFFFF"/>
            <w:tcMar>
              <w:top w:w="100" w:type="dxa"/>
              <w:bottom w:w="100" w:type="dxa"/>
              <w:left w:w="120" w:type="dxa"/>
              <w:right w:w="120" w:type="dxa"/>
            </w:tcMar>
          </w:tcPr>
          <w:p>
            <w:pPr>
              <w:spacing w:line="276" w:lineRule="auto" w:after="0"/>
              <w:jc w:val="left"/>
            </w:pPr>
            <w:r>
              <w:rPr>
                <w:rFonts w:ascii="Times New Roman" w:hAnsi="Times New Roman"/>
                <w:sz w:val="22"/>
              </w:rPr>
              <w:t>Phí xử lý giao dịch cổng thanh toán VietQR / PayOS hoặc ngân hàng phát sinh trong chu trình luân chuyển dòng tiền.</w:t>
            </w:r>
          </w:p>
        </w:tc>
      </w:tr>
    </w:tbl>
    <w:p>
      <w:pPr>
        <w:spacing w:after="120"/>
      </w:pPr>
    </w:p>
    <w:p>
      <w:pPr>
        <w:keepNext/>
        <w:spacing w:before="280" w:after="120"/>
      </w:pPr>
      <w:r>
        <w:rPr>
          <w:rFonts w:ascii="Times New Roman" w:hAnsi="Times New Roman"/>
          <w:b/>
          <w:color w:val="064E3B"/>
          <w:sz w:val="26"/>
        </w:rPr>
        <w:t>III. SƠ ĐỒ NGHIỆP VỤ LUÂN CHUYỂN DÒNG TIỀN THEO CHUẨN THÔNG TƯ 99</w:t>
      </w:r>
    </w:p>
    <w:p>
      <w:pPr>
        <w:spacing w:after="80" w:line="288" w:lineRule="auto"/>
      </w:pPr>
      <w:r>
        <w:rPr>
          <w:rFonts w:ascii="Times New Roman" w:hAnsi="Times New Roman"/>
          <w:sz w:val="26"/>
        </w:rPr>
        <w:t>Dòng tiền trong một chu trình cho thuê trang phục tuần hoàn chuẩn mực (Happy Path) trải qua 4 giai đoạn khép kín:</w:t>
      </w:r>
    </w:p>
    <w:p>
      <w:pPr>
        <w:spacing w:line="276" w:lineRule="auto" w:after="160"/>
        <w:ind w:left="283"/>
      </w:pPr>
      <w:r>
        <w:rPr>
          <w:rFonts w:ascii="Consolas" w:hAnsi="Consolas"/>
          <w:color w:val="064E3B"/>
          <w:sz w:val="21"/>
        </w:rPr>
        <w:t>[GIAI ĐOẠN 1: KHÁCH NẠP TIỀN ĐƠN THUÊ QUA VIETQR]</w:t>
        <w:br/>
        <w:t xml:space="preserve">    ├── (1a) Ký cược tiền cọc giữ đồ 100% ────► Có TK 3386 / TK 33881</w:t>
        <w:br/>
        <w:t xml:space="preserve">    ├── (1b) Thu hộ tiền thuê đồ cho Chủ tủ ──► Có TK 33882</w:t>
        <w:br/>
        <w:t xml:space="preserve">    └── (1c) Thu hộ cước ship chiều đi ───────► Có TK 33883</w:t>
        <w:br/>
        <w:t xml:space="preserve">         (Toàn bộ dòng tiền vào Nợ TK 112 - Tiền gửi không kỳ hạn)</w:t>
        <w:br/>
        <w:t xml:space="preserve">                               │</w:t>
        <w:br/>
        <w:t xml:space="preserve">                               ▼</w:t>
        <w:br/>
        <w:t>[GIAI ĐOẠN 2: GIAO HÀNG KHỨ HỒI &amp; ĐỐI SOÁT BLOCK 5K]</w:t>
        <w:br/>
        <w:t xml:space="preserve">    ├── Cước thực trả bưu tá GHN (42.000đ) ──► Nợ TK 33883 / Có TK 331</w:t>
        <w:br/>
        <w:t xml:space="preserve">    └── Thặng dư an toàn Block 5K (+8.000đ) ──► Nợ TK 33883 / Có TK 3388_BUFFER</w:t>
        <w:br/>
        <w:t xml:space="preserve">                               │</w:t>
        <w:br/>
        <w:t xml:space="preserve">                               ▼</w:t>
        <w:br/>
        <w:t>[GIAI ĐOẠN 3: HOÀN TẤT ĐƠN HÀNG &amp; TRẢ CỌC KHÁCH THUÊ]</w:t>
        <w:br/>
        <w:t xml:space="preserve">    └── Nghiệm thu váy áo nguyên vẹn 100% ──► Nợ TK 3386 / Có TK 112 (1.000.000đ)</w:t>
        <w:br/>
        <w:t xml:space="preserve">                               │</w:t>
        <w:br/>
        <w:t xml:space="preserve">                               ▼</w:t>
        <w:br/>
        <w:t>[GIAI ĐOẠN 4: GIẢI NGÂN CHO CHỦ TỦ &amp; GHI NHẬN DOANH THU]</w:t>
        <w:br/>
        <w:t xml:space="preserve">    ├── Doanh thu thuần dịch vụ sàn CLOOP ────► Nợ TK 33882 / Có TK 5113</w:t>
        <w:br/>
        <w:t xml:space="preserve">    ├── Thuế GTGT đầu ra (VAT 10%) ──────────► Nợ TK 33882 / Có TK 33311</w:t>
        <w:br/>
        <w:t xml:space="preserve">    ├── Cấn trừ cước ship chiều về bưu tá ──► Nợ TK 33882 / Có TK 33883</w:t>
        <w:br/>
        <w:t xml:space="preserve">    └── Thực chuyển khoản ví Chủ tủ ─────────► Nợ TK 33882 / Có TK 112</w:t>
      </w:r>
    </w:p>
    <w:p>
      <w:pPr>
        <w:keepNext/>
        <w:spacing w:before="280" w:after="120"/>
      </w:pPr>
      <w:r>
        <w:rPr>
          <w:rFonts w:ascii="Times New Roman" w:hAnsi="Times New Roman"/>
          <w:b/>
          <w:color w:val="064E3B"/>
          <w:sz w:val="26"/>
        </w:rPr>
        <w:t>IV. MA TRẬN ĐỊNH KHOẢN CHI TIẾT KÈM VÍ DỤ SỐ LIỆU CHUẨN TECHFEST 2026</w:t>
      </w:r>
    </w:p>
    <w:p>
      <w:pPr>
        <w:spacing w:after="80" w:line="288" w:lineRule="auto"/>
      </w:pPr>
      <w:r>
        <w:rPr>
          <w:rFonts w:ascii="Times New Roman" w:hAnsi="Times New Roman"/>
          <w:sz w:val="26"/>
        </w:rPr>
        <w:t>Giả định một giao dịch chuẩn mẫu được ghi nhận trên hệ thống CLOOP:</w:t>
      </w:r>
    </w:p>
    <w:p>
      <w:pPr>
        <w:spacing w:after="80" w:line="288" w:lineRule="auto"/>
        <w:ind w:left="425"/>
      </w:pPr>
      <w:r>
        <w:rPr>
          <w:rFonts w:ascii="Times New Roman" w:hAnsi="Times New Roman"/>
          <w:sz w:val="26"/>
        </w:rPr>
        <w:t>• Tên sản phẩm: Đầm Dạ Hội Lụa Satin Cao Cấp (Mã hợp đồng: ORD-202609-088, Chứng từ: PC-CLP-2026-DH88)</w:t>
      </w:r>
    </w:p>
    <w:p>
      <w:pPr>
        <w:spacing w:after="80" w:line="288" w:lineRule="auto"/>
        <w:ind w:left="425"/>
      </w:pPr>
      <w:r>
        <w:rPr>
          <w:rFonts w:ascii="Times New Roman" w:hAnsi="Times New Roman"/>
          <w:sz w:val="26"/>
        </w:rPr>
        <w:t>• Tiền đặt cọc giữ đồ: 1.000.000 VNĐ | Tiền thuê trang phục: 350.000 VNĐ</w:t>
      </w:r>
    </w:p>
    <w:p>
      <w:pPr>
        <w:spacing w:after="80" w:line="288" w:lineRule="auto"/>
        <w:ind w:left="425"/>
      </w:pPr>
      <w:r>
        <w:rPr>
          <w:rFonts w:ascii="Times New Roman" w:hAnsi="Times New Roman"/>
          <w:sz w:val="26"/>
        </w:rPr>
        <w:t>• Cước vận chuyển khứ hồi Block 5K: 50.000 VNĐ (Khách trả chiều đi 25.000đ; Chủ tủ chịu cước chiều về 25.000đ)</w:t>
      </w:r>
    </w:p>
    <w:p>
      <w:pPr>
        <w:spacing w:after="80" w:line="288" w:lineRule="auto"/>
        <w:ind w:left="425"/>
      </w:pPr>
      <w:r>
        <w:rPr>
          <w:rFonts w:ascii="Times New Roman" w:hAnsi="Times New Roman"/>
          <w:sz w:val="26"/>
        </w:rPr>
        <w:t>• Cước bưu tá thực tế thanh toán cho GHN B2B: 42.000 VNĐ (21.000đ x 2 chiều)</w:t>
      </w:r>
    </w:p>
    <w:p>
      <w:pPr>
        <w:spacing w:after="80" w:line="288" w:lineRule="auto"/>
        <w:ind w:left="425"/>
      </w:pPr>
      <w:r>
        <w:rPr>
          <w:rFonts w:ascii="Times New Roman" w:hAnsi="Times New Roman"/>
          <w:sz w:val="26"/>
        </w:rPr>
        <w:t>• Phí dịch vụ nền tảng CLOOP (12%): 42.000 VNĐ (Doanh thu chưa thuế: 38.182đ; Thuế VAT 10%: 3.818đ)</w:t>
      </w:r>
    </w:p>
    <w:p>
      <w:pPr>
        <w:spacing w:after="80" w:line="288" w:lineRule="auto"/>
        <w:ind w:left="425"/>
      </w:pPr>
      <w:r>
        <w:rPr>
          <w:rFonts w:ascii="Times New Roman" w:hAnsi="Times New Roman"/>
          <w:sz w:val="26"/>
        </w:rPr>
        <w:t>• Số tiền thực nhận chuyển khoản về ví Chủ tủ: 350.000 - 42.000 - 25.000 = 283.000 VNĐ</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insideV w:val="single" w:sz="4" w:space="0" w:color="D1D5DB"/>
          <w:left w:val="single" w:sz="6" w:space="0" w:color="D1D5DB"/>
          <w:right w:val="single" w:sz="6" w:space="0" w:color="D1D5DB"/>
        </w:tblBorders>
      </w:tblPr>
      <w:tblGrid>
        <w:gridCol w:w="1814"/>
        <w:gridCol w:w="1814"/>
        <w:gridCol w:w="1814"/>
        <w:gridCol w:w="1814"/>
        <w:gridCol w:w="1814"/>
      </w:tblGrid>
      <w:tr>
        <w:tc>
          <w:tcPr>
            <w:tcW w:type="dxa" w:w="680"/>
            <w:shd w:fill="065F46"/>
            <w:tcMar>
              <w:top w:w="120" w:type="dxa"/>
              <w:bottom w:w="120" w:type="dxa"/>
              <w:left w:w="120" w:type="dxa"/>
              <w:right w:w="120" w:type="dxa"/>
            </w:tcMar>
          </w:tcPr>
          <w:p>
            <w:pPr>
              <w:jc w:val="center"/>
            </w:pPr>
            <w:r>
              <w:rPr>
                <w:rFonts w:ascii="Times New Roman" w:hAnsi="Times New Roman"/>
                <w:b/>
                <w:color w:val="FFFFFF"/>
                <w:sz w:val="22"/>
              </w:rPr>
              <w:t>Bước</w:t>
            </w:r>
          </w:p>
        </w:tc>
        <w:tc>
          <w:tcPr>
            <w:tcW w:type="dxa" w:w="3855"/>
            <w:shd w:fill="065F46"/>
            <w:tcMar>
              <w:top w:w="120" w:type="dxa"/>
              <w:bottom w:w="120" w:type="dxa"/>
              <w:left w:w="120" w:type="dxa"/>
              <w:right w:w="120" w:type="dxa"/>
            </w:tcMar>
          </w:tcPr>
          <w:p>
            <w:pPr>
              <w:jc w:val="center"/>
            </w:pPr>
            <w:r>
              <w:rPr>
                <w:rFonts w:ascii="Times New Roman" w:hAnsi="Times New Roman"/>
                <w:b/>
                <w:color w:val="FFFFFF"/>
                <w:sz w:val="22"/>
              </w:rPr>
              <w:t>Nghiệp Vụ Kinh Tế Phát Sinh</w:t>
            </w:r>
          </w:p>
        </w:tc>
        <w:tc>
          <w:tcPr>
            <w:tcW w:type="dxa" w:w="1814"/>
            <w:shd w:fill="065F46"/>
            <w:tcMar>
              <w:top w:w="120" w:type="dxa"/>
              <w:bottom w:w="120" w:type="dxa"/>
              <w:left w:w="120" w:type="dxa"/>
              <w:right w:w="120" w:type="dxa"/>
            </w:tcMar>
          </w:tcPr>
          <w:p>
            <w:pPr>
              <w:jc w:val="center"/>
            </w:pPr>
            <w:r>
              <w:rPr>
                <w:rFonts w:ascii="Times New Roman" w:hAnsi="Times New Roman"/>
                <w:b/>
                <w:color w:val="FFFFFF"/>
                <w:sz w:val="22"/>
              </w:rPr>
              <w:t>Tài Khoản Nợ</w:t>
            </w:r>
          </w:p>
        </w:tc>
        <w:tc>
          <w:tcPr>
            <w:tcW w:type="dxa" w:w="1814"/>
            <w:shd w:fill="065F46"/>
            <w:tcMar>
              <w:top w:w="120" w:type="dxa"/>
              <w:bottom w:w="120" w:type="dxa"/>
              <w:left w:w="120" w:type="dxa"/>
              <w:right w:w="120" w:type="dxa"/>
            </w:tcMar>
          </w:tcPr>
          <w:p>
            <w:pPr>
              <w:jc w:val="center"/>
            </w:pPr>
            <w:r>
              <w:rPr>
                <w:rFonts w:ascii="Times New Roman" w:hAnsi="Times New Roman"/>
                <w:b/>
                <w:color w:val="FFFFFF"/>
                <w:sz w:val="22"/>
              </w:rPr>
              <w:t>Tài Khoản Có</w:t>
            </w:r>
          </w:p>
        </w:tc>
        <w:tc>
          <w:tcPr>
            <w:tcW w:type="dxa" w:w="1474"/>
            <w:shd w:fill="065F46"/>
            <w:tcMar>
              <w:top w:w="120" w:type="dxa"/>
              <w:bottom w:w="120" w:type="dxa"/>
              <w:left w:w="120" w:type="dxa"/>
              <w:right w:w="120" w:type="dxa"/>
            </w:tcMar>
          </w:tcPr>
          <w:p>
            <w:pPr>
              <w:jc w:val="center"/>
            </w:pPr>
            <w:r>
              <w:rPr>
                <w:rFonts w:ascii="Times New Roman" w:hAnsi="Times New Roman"/>
                <w:b/>
                <w:color w:val="FFFFFF"/>
                <w:sz w:val="22"/>
              </w:rPr>
              <w:t>Số Tiền (VNĐ)</w:t>
            </w:r>
          </w:p>
        </w:tc>
      </w:tr>
      <w:tr>
        <w:tc>
          <w:tcPr>
            <w:tcW w:type="dxa" w:w="680"/>
            <w:shd w:fill="FFFFFF"/>
            <w:tcMar>
              <w:top w:w="100" w:type="dxa"/>
              <w:bottom w:w="100" w:type="dxa"/>
              <w:left w:w="100" w:type="dxa"/>
              <w:right w:w="100" w:type="dxa"/>
            </w:tcMar>
          </w:tcPr>
          <w:p>
            <w:pPr>
              <w:spacing w:line="276" w:lineRule="auto" w:after="0"/>
              <w:jc w:val="center"/>
            </w:pPr>
            <w:r>
              <w:rPr>
                <w:rFonts w:ascii="Times New Roman" w:hAnsi="Times New Roman"/>
                <w:b/>
                <w:sz w:val="21"/>
              </w:rPr>
              <w:t>1</w:t>
            </w:r>
          </w:p>
        </w:tc>
        <w:tc>
          <w:tcPr>
            <w:tcW w:type="dxa" w:w="3855"/>
            <w:shd w:fill="FFFFFF"/>
            <w:tcMar>
              <w:top w:w="100" w:type="dxa"/>
              <w:bottom w:w="100" w:type="dxa"/>
              <w:left w:w="100" w:type="dxa"/>
              <w:right w:w="100" w:type="dxa"/>
            </w:tcMar>
          </w:tcPr>
          <w:p>
            <w:pPr>
              <w:spacing w:line="276" w:lineRule="auto" w:after="0"/>
              <w:jc w:val="left"/>
            </w:pPr>
            <w:r>
              <w:rPr>
                <w:rFonts w:ascii="Times New Roman" w:hAnsi="Times New Roman"/>
                <w:sz w:val="21"/>
              </w:rPr>
              <w:t>Khách quét VietQR thanh toán trọn gói đơn thuê</w:t>
              <w:br/>
              <w:t>(Phân rã tiền nạp vào ngay tại nguồn)</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112</w:t>
              <w:br/>
              <w:t>(Tiền gửi KKH)</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3386 (Cọc Escrow)</w:t>
              <w:br/>
              <w:t>TK 33882 (Tiền thuê)</w:t>
              <w:br/>
              <w:t>TK 33883 (Ship đi)</w:t>
            </w:r>
          </w:p>
        </w:tc>
        <w:tc>
          <w:tcPr>
            <w:tcW w:type="dxa" w:w="1474"/>
            <w:shd w:fill="FFFFFF"/>
            <w:tcMar>
              <w:top w:w="100" w:type="dxa"/>
              <w:bottom w:w="100" w:type="dxa"/>
              <w:left w:w="100" w:type="dxa"/>
              <w:right w:w="100" w:type="dxa"/>
            </w:tcMar>
          </w:tcPr>
          <w:p>
            <w:pPr>
              <w:spacing w:line="276" w:lineRule="auto" w:after="0"/>
              <w:jc w:val="right"/>
            </w:pPr>
            <w:r>
              <w:rPr>
                <w:rFonts w:ascii="Times New Roman" w:hAnsi="Times New Roman"/>
                <w:b/>
                <w:sz w:val="21"/>
              </w:rPr>
              <w:t>1.375.000</w:t>
              <w:br/>
              <w:t>1.000.000</w:t>
              <w:br/>
              <w:t>350.000</w:t>
              <w:br/>
              <w:t>25.000</w:t>
            </w:r>
          </w:p>
        </w:tc>
      </w:tr>
      <w:tr>
        <w:tc>
          <w:tcPr>
            <w:tcW w:type="dxa" w:w="680"/>
            <w:shd w:fill="F9FAFB"/>
            <w:tcMar>
              <w:top w:w="100" w:type="dxa"/>
              <w:bottom w:w="100" w:type="dxa"/>
              <w:left w:w="100" w:type="dxa"/>
              <w:right w:w="100" w:type="dxa"/>
            </w:tcMar>
          </w:tcPr>
          <w:p>
            <w:pPr>
              <w:spacing w:line="276" w:lineRule="auto" w:after="0"/>
              <w:jc w:val="center"/>
            </w:pPr>
            <w:r>
              <w:rPr>
                <w:rFonts w:ascii="Times New Roman" w:hAnsi="Times New Roman"/>
                <w:b/>
                <w:sz w:val="21"/>
              </w:rPr>
              <w:t>2a</w:t>
            </w:r>
          </w:p>
        </w:tc>
        <w:tc>
          <w:tcPr>
            <w:tcW w:type="dxa" w:w="3855"/>
            <w:shd w:fill="F9FAFB"/>
            <w:tcMar>
              <w:top w:w="100" w:type="dxa"/>
              <w:bottom w:w="100" w:type="dxa"/>
              <w:left w:w="100" w:type="dxa"/>
              <w:right w:w="100" w:type="dxa"/>
            </w:tcMar>
          </w:tcPr>
          <w:p>
            <w:pPr>
              <w:spacing w:line="276" w:lineRule="auto" w:after="0"/>
              <w:jc w:val="left"/>
            </w:pPr>
            <w:r>
              <w:rPr>
                <w:rFonts w:ascii="Times New Roman" w:hAnsi="Times New Roman"/>
                <w:sz w:val="21"/>
              </w:rPr>
              <w:t>Ghi nhận công nợ cước thực tế với bưu tá GHN</w:t>
              <w:br/>
              <w:t>(Khớp đúng 100% biên bản đối soát GHN)</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33883</w:t>
              <w:br/>
              <w:t>(Thu hộ ship)</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331_GHN</w:t>
              <w:br/>
              <w:t>(Phải trả bưu tá)</w:t>
            </w:r>
          </w:p>
        </w:tc>
        <w:tc>
          <w:tcPr>
            <w:tcW w:type="dxa" w:w="1474"/>
            <w:shd w:fill="F9FAFB"/>
            <w:tcMar>
              <w:top w:w="100" w:type="dxa"/>
              <w:bottom w:w="100" w:type="dxa"/>
              <w:left w:w="100" w:type="dxa"/>
              <w:right w:w="100" w:type="dxa"/>
            </w:tcMar>
          </w:tcPr>
          <w:p>
            <w:pPr>
              <w:spacing w:line="276" w:lineRule="auto" w:after="0"/>
              <w:jc w:val="right"/>
            </w:pPr>
            <w:r>
              <w:rPr>
                <w:rFonts w:ascii="Times New Roman" w:hAnsi="Times New Roman"/>
                <w:b/>
                <w:sz w:val="21"/>
              </w:rPr>
              <w:t>42.000</w:t>
            </w:r>
          </w:p>
        </w:tc>
      </w:tr>
      <w:tr>
        <w:tc>
          <w:tcPr>
            <w:tcW w:type="dxa" w:w="680"/>
            <w:shd w:fill="FFFFFF"/>
            <w:tcMar>
              <w:top w:w="100" w:type="dxa"/>
              <w:bottom w:w="100" w:type="dxa"/>
              <w:left w:w="100" w:type="dxa"/>
              <w:right w:w="100" w:type="dxa"/>
            </w:tcMar>
          </w:tcPr>
          <w:p>
            <w:pPr>
              <w:spacing w:line="276" w:lineRule="auto" w:after="0"/>
              <w:jc w:val="center"/>
            </w:pPr>
            <w:r>
              <w:rPr>
                <w:rFonts w:ascii="Times New Roman" w:hAnsi="Times New Roman"/>
                <w:b/>
                <w:sz w:val="21"/>
              </w:rPr>
              <w:t>2b</w:t>
            </w:r>
          </w:p>
        </w:tc>
        <w:tc>
          <w:tcPr>
            <w:tcW w:type="dxa" w:w="3855"/>
            <w:shd w:fill="FFFFFF"/>
            <w:tcMar>
              <w:top w:w="100" w:type="dxa"/>
              <w:bottom w:w="100" w:type="dxa"/>
              <w:left w:w="100" w:type="dxa"/>
              <w:right w:w="100" w:type="dxa"/>
            </w:tcMar>
          </w:tcPr>
          <w:p>
            <w:pPr>
              <w:spacing w:line="276" w:lineRule="auto" w:after="0"/>
              <w:jc w:val="left"/>
            </w:pPr>
            <w:r>
              <w:rPr>
                <w:rFonts w:ascii="Times New Roman" w:hAnsi="Times New Roman"/>
                <w:sz w:val="21"/>
              </w:rPr>
              <w:t>Trích lập thặng dư an toàn thuật toán Block 5K</w:t>
              <w:br/>
              <w:t>(Quỹ phòng vệ giao lại / vượt kích thước)</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33883</w:t>
              <w:br/>
              <w:t>(Thu hộ ship)</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3388_BUFFER</w:t>
              <w:br/>
              <w:t>(hoặc TK 711)</w:t>
            </w:r>
          </w:p>
        </w:tc>
        <w:tc>
          <w:tcPr>
            <w:tcW w:type="dxa" w:w="1474"/>
            <w:shd w:fill="FFFFFF"/>
            <w:tcMar>
              <w:top w:w="100" w:type="dxa"/>
              <w:bottom w:w="100" w:type="dxa"/>
              <w:left w:w="100" w:type="dxa"/>
              <w:right w:w="100" w:type="dxa"/>
            </w:tcMar>
          </w:tcPr>
          <w:p>
            <w:pPr>
              <w:spacing w:line="276" w:lineRule="auto" w:after="0"/>
              <w:jc w:val="right"/>
            </w:pPr>
            <w:r>
              <w:rPr>
                <w:rFonts w:ascii="Times New Roman" w:hAnsi="Times New Roman"/>
                <w:b/>
                <w:sz w:val="21"/>
              </w:rPr>
              <w:t>8.000</w:t>
            </w:r>
          </w:p>
        </w:tc>
      </w:tr>
      <w:tr>
        <w:tc>
          <w:tcPr>
            <w:tcW w:type="dxa" w:w="680"/>
            <w:shd w:fill="F9FAFB"/>
            <w:tcMar>
              <w:top w:w="100" w:type="dxa"/>
              <w:bottom w:w="100" w:type="dxa"/>
              <w:left w:w="100" w:type="dxa"/>
              <w:right w:w="100" w:type="dxa"/>
            </w:tcMar>
          </w:tcPr>
          <w:p>
            <w:pPr>
              <w:spacing w:line="276" w:lineRule="auto" w:after="0"/>
              <w:jc w:val="center"/>
            </w:pPr>
            <w:r>
              <w:rPr>
                <w:rFonts w:ascii="Times New Roman" w:hAnsi="Times New Roman"/>
                <w:b/>
                <w:sz w:val="21"/>
              </w:rPr>
              <w:t>3</w:t>
            </w:r>
          </w:p>
        </w:tc>
        <w:tc>
          <w:tcPr>
            <w:tcW w:type="dxa" w:w="3855"/>
            <w:shd w:fill="F9FAFB"/>
            <w:tcMar>
              <w:top w:w="100" w:type="dxa"/>
              <w:bottom w:w="100" w:type="dxa"/>
              <w:left w:w="100" w:type="dxa"/>
              <w:right w:w="100" w:type="dxa"/>
            </w:tcMar>
          </w:tcPr>
          <w:p>
            <w:pPr>
              <w:spacing w:line="276" w:lineRule="auto" w:after="0"/>
              <w:jc w:val="left"/>
            </w:pPr>
            <w:r>
              <w:rPr>
                <w:rFonts w:ascii="Times New Roman" w:hAnsi="Times New Roman"/>
                <w:sz w:val="21"/>
              </w:rPr>
              <w:t>Nghiệm thu đồ hoàn hảo, tất toán hoàn 100% cọc</w:t>
              <w:br/>
              <w:t>(Hoàn trả nghĩa vụ giữ hộ về thẻ khách)</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3386</w:t>
              <w:br/>
              <w:t>(Két Cọc Escrow)</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112</w:t>
              <w:br/>
              <w:t>(Tiền gửi KKH)</w:t>
            </w:r>
          </w:p>
        </w:tc>
        <w:tc>
          <w:tcPr>
            <w:tcW w:type="dxa" w:w="1474"/>
            <w:shd w:fill="F9FAFB"/>
            <w:tcMar>
              <w:top w:w="100" w:type="dxa"/>
              <w:bottom w:w="100" w:type="dxa"/>
              <w:left w:w="100" w:type="dxa"/>
              <w:right w:w="100" w:type="dxa"/>
            </w:tcMar>
          </w:tcPr>
          <w:p>
            <w:pPr>
              <w:spacing w:line="276" w:lineRule="auto" w:after="0"/>
              <w:jc w:val="right"/>
            </w:pPr>
            <w:r>
              <w:rPr>
                <w:rFonts w:ascii="Times New Roman" w:hAnsi="Times New Roman"/>
                <w:b/>
                <w:sz w:val="21"/>
              </w:rPr>
              <w:t>1.000.000</w:t>
            </w:r>
          </w:p>
        </w:tc>
      </w:tr>
      <w:tr>
        <w:tc>
          <w:tcPr>
            <w:tcW w:type="dxa" w:w="680"/>
            <w:shd w:fill="FFFFFF"/>
            <w:tcMar>
              <w:top w:w="100" w:type="dxa"/>
              <w:bottom w:w="100" w:type="dxa"/>
              <w:left w:w="100" w:type="dxa"/>
              <w:right w:w="100" w:type="dxa"/>
            </w:tcMar>
          </w:tcPr>
          <w:p>
            <w:pPr>
              <w:spacing w:line="276" w:lineRule="auto" w:after="0"/>
              <w:jc w:val="center"/>
            </w:pPr>
            <w:r>
              <w:rPr>
                <w:rFonts w:ascii="Times New Roman" w:hAnsi="Times New Roman"/>
                <w:b/>
                <w:sz w:val="21"/>
              </w:rPr>
              <w:t>4a</w:t>
            </w:r>
          </w:p>
        </w:tc>
        <w:tc>
          <w:tcPr>
            <w:tcW w:type="dxa" w:w="3855"/>
            <w:shd w:fill="FFFFFF"/>
            <w:tcMar>
              <w:top w:w="100" w:type="dxa"/>
              <w:bottom w:w="100" w:type="dxa"/>
              <w:left w:w="100" w:type="dxa"/>
              <w:right w:w="100" w:type="dxa"/>
            </w:tcMar>
          </w:tcPr>
          <w:p>
            <w:pPr>
              <w:spacing w:line="276" w:lineRule="auto" w:after="0"/>
              <w:jc w:val="left"/>
            </w:pPr>
            <w:r>
              <w:rPr>
                <w:rFonts w:ascii="Times New Roman" w:hAnsi="Times New Roman"/>
                <w:sz w:val="21"/>
              </w:rPr>
              <w:t>Cấn trừ cước vận chuyển chiều về của Chủ tủ</w:t>
              <w:br/>
              <w:t>(Chủ tủ chịu chi phí thu hồi tài sản)</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33882</w:t>
              <w:br/>
              <w:t>(Thu hộ Chủ tủ)</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33883</w:t>
              <w:br/>
              <w:t>(Cấn trừ ship về)</w:t>
            </w:r>
          </w:p>
        </w:tc>
        <w:tc>
          <w:tcPr>
            <w:tcW w:type="dxa" w:w="1474"/>
            <w:shd w:fill="FFFFFF"/>
            <w:tcMar>
              <w:top w:w="100" w:type="dxa"/>
              <w:bottom w:w="100" w:type="dxa"/>
              <w:left w:w="100" w:type="dxa"/>
              <w:right w:w="100" w:type="dxa"/>
            </w:tcMar>
          </w:tcPr>
          <w:p>
            <w:pPr>
              <w:spacing w:line="276" w:lineRule="auto" w:after="0"/>
              <w:jc w:val="right"/>
            </w:pPr>
            <w:r>
              <w:rPr>
                <w:rFonts w:ascii="Times New Roman" w:hAnsi="Times New Roman"/>
                <w:b/>
                <w:sz w:val="21"/>
              </w:rPr>
              <w:t>25.000</w:t>
            </w:r>
          </w:p>
        </w:tc>
      </w:tr>
      <w:tr>
        <w:tc>
          <w:tcPr>
            <w:tcW w:type="dxa" w:w="680"/>
            <w:shd w:fill="F9FAFB"/>
            <w:tcMar>
              <w:top w:w="100" w:type="dxa"/>
              <w:bottom w:w="100" w:type="dxa"/>
              <w:left w:w="100" w:type="dxa"/>
              <w:right w:w="100" w:type="dxa"/>
            </w:tcMar>
          </w:tcPr>
          <w:p>
            <w:pPr>
              <w:spacing w:line="276" w:lineRule="auto" w:after="0"/>
              <w:jc w:val="center"/>
            </w:pPr>
            <w:r>
              <w:rPr>
                <w:rFonts w:ascii="Times New Roman" w:hAnsi="Times New Roman"/>
                <w:b/>
                <w:sz w:val="21"/>
              </w:rPr>
              <w:t>4b</w:t>
            </w:r>
          </w:p>
        </w:tc>
        <w:tc>
          <w:tcPr>
            <w:tcW w:type="dxa" w:w="3855"/>
            <w:shd w:fill="F9FAFB"/>
            <w:tcMar>
              <w:top w:w="100" w:type="dxa"/>
              <w:bottom w:w="100" w:type="dxa"/>
              <w:left w:w="100" w:type="dxa"/>
              <w:right w:w="100" w:type="dxa"/>
            </w:tcMar>
          </w:tcPr>
          <w:p>
            <w:pPr>
              <w:spacing w:line="276" w:lineRule="auto" w:after="0"/>
              <w:jc w:val="left"/>
            </w:pPr>
            <w:r>
              <w:rPr>
                <w:rFonts w:ascii="Times New Roman" w:hAnsi="Times New Roman"/>
                <w:sz w:val="21"/>
              </w:rPr>
              <w:t>Khấu trừ Doanh thu hoa hồng sàn CLOOP</w:t>
              <w:br/>
              <w:t>(Ghi nhận doanh thu thuần chưa bao gồm thuế)</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33882</w:t>
              <w:br/>
              <w:t>(Thu hộ Chủ tủ)</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5113</w:t>
              <w:br/>
              <w:t>(Doanh thu dịch vụ)</w:t>
            </w:r>
          </w:p>
        </w:tc>
        <w:tc>
          <w:tcPr>
            <w:tcW w:type="dxa" w:w="1474"/>
            <w:shd w:fill="F9FAFB"/>
            <w:tcMar>
              <w:top w:w="100" w:type="dxa"/>
              <w:bottom w:w="100" w:type="dxa"/>
              <w:left w:w="100" w:type="dxa"/>
              <w:right w:w="100" w:type="dxa"/>
            </w:tcMar>
          </w:tcPr>
          <w:p>
            <w:pPr>
              <w:spacing w:line="276" w:lineRule="auto" w:after="0"/>
              <w:jc w:val="right"/>
            </w:pPr>
            <w:r>
              <w:rPr>
                <w:rFonts w:ascii="Times New Roman" w:hAnsi="Times New Roman"/>
                <w:b/>
                <w:sz w:val="21"/>
              </w:rPr>
              <w:t>38.182</w:t>
            </w:r>
          </w:p>
        </w:tc>
      </w:tr>
      <w:tr>
        <w:tc>
          <w:tcPr>
            <w:tcW w:type="dxa" w:w="680"/>
            <w:shd w:fill="FFFFFF"/>
            <w:tcMar>
              <w:top w:w="100" w:type="dxa"/>
              <w:bottom w:w="100" w:type="dxa"/>
              <w:left w:w="100" w:type="dxa"/>
              <w:right w:w="100" w:type="dxa"/>
            </w:tcMar>
          </w:tcPr>
          <w:p>
            <w:pPr>
              <w:spacing w:line="276" w:lineRule="auto" w:after="0"/>
              <w:jc w:val="center"/>
            </w:pPr>
            <w:r>
              <w:rPr>
                <w:rFonts w:ascii="Times New Roman" w:hAnsi="Times New Roman"/>
                <w:b/>
                <w:sz w:val="21"/>
              </w:rPr>
              <w:t>4c</w:t>
            </w:r>
          </w:p>
        </w:tc>
        <w:tc>
          <w:tcPr>
            <w:tcW w:type="dxa" w:w="3855"/>
            <w:shd w:fill="FFFFFF"/>
            <w:tcMar>
              <w:top w:w="100" w:type="dxa"/>
              <w:bottom w:w="100" w:type="dxa"/>
              <w:left w:w="100" w:type="dxa"/>
              <w:right w:w="100" w:type="dxa"/>
            </w:tcMar>
          </w:tcPr>
          <w:p>
            <w:pPr>
              <w:spacing w:line="276" w:lineRule="auto" w:after="0"/>
              <w:jc w:val="left"/>
            </w:pPr>
            <w:r>
              <w:rPr>
                <w:rFonts w:ascii="Times New Roman" w:hAnsi="Times New Roman"/>
                <w:sz w:val="21"/>
              </w:rPr>
              <w:t>Ghi nhận nghĩa vụ Thuế GTGT đầu ra (VAT 10%)</w:t>
              <w:br/>
              <w:t>(Căn cứ xuất hóa đơn điện tử định kỳ)</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33882</w:t>
              <w:br/>
              <w:t>(Thu hộ Chủ tủ)</w:t>
            </w:r>
          </w:p>
        </w:tc>
        <w:tc>
          <w:tcPr>
            <w:tcW w:type="dxa" w:w="1814"/>
            <w:shd w:fill="FFFFFF"/>
            <w:tcMar>
              <w:top w:w="100" w:type="dxa"/>
              <w:bottom w:w="100" w:type="dxa"/>
              <w:left w:w="100" w:type="dxa"/>
              <w:right w:w="100" w:type="dxa"/>
            </w:tcMar>
          </w:tcPr>
          <w:p>
            <w:pPr>
              <w:spacing w:line="276" w:lineRule="auto" w:after="0"/>
              <w:jc w:val="center"/>
            </w:pPr>
            <w:r>
              <w:rPr>
                <w:rFonts w:ascii="Times New Roman" w:hAnsi="Times New Roman"/>
                <w:sz w:val="21"/>
              </w:rPr>
              <w:t>TK 33311</w:t>
              <w:br/>
              <w:t>(Thuế GTGT đầu ra)</w:t>
            </w:r>
          </w:p>
        </w:tc>
        <w:tc>
          <w:tcPr>
            <w:tcW w:type="dxa" w:w="1474"/>
            <w:shd w:fill="FFFFFF"/>
            <w:tcMar>
              <w:top w:w="100" w:type="dxa"/>
              <w:bottom w:w="100" w:type="dxa"/>
              <w:left w:w="100" w:type="dxa"/>
              <w:right w:w="100" w:type="dxa"/>
            </w:tcMar>
          </w:tcPr>
          <w:p>
            <w:pPr>
              <w:spacing w:line="276" w:lineRule="auto" w:after="0"/>
              <w:jc w:val="right"/>
            </w:pPr>
            <w:r>
              <w:rPr>
                <w:rFonts w:ascii="Times New Roman" w:hAnsi="Times New Roman"/>
                <w:b/>
                <w:sz w:val="21"/>
              </w:rPr>
              <w:t>3.818</w:t>
            </w:r>
          </w:p>
        </w:tc>
      </w:tr>
      <w:tr>
        <w:tc>
          <w:tcPr>
            <w:tcW w:type="dxa" w:w="680"/>
            <w:shd w:fill="F9FAFB"/>
            <w:tcMar>
              <w:top w:w="100" w:type="dxa"/>
              <w:bottom w:w="100" w:type="dxa"/>
              <w:left w:w="100" w:type="dxa"/>
              <w:right w:w="100" w:type="dxa"/>
            </w:tcMar>
          </w:tcPr>
          <w:p>
            <w:pPr>
              <w:spacing w:line="276" w:lineRule="auto" w:after="0"/>
              <w:jc w:val="center"/>
            </w:pPr>
            <w:r>
              <w:rPr>
                <w:rFonts w:ascii="Times New Roman" w:hAnsi="Times New Roman"/>
                <w:b/>
                <w:sz w:val="21"/>
              </w:rPr>
              <w:t>4d</w:t>
            </w:r>
          </w:p>
        </w:tc>
        <w:tc>
          <w:tcPr>
            <w:tcW w:type="dxa" w:w="3855"/>
            <w:shd w:fill="F9FAFB"/>
            <w:tcMar>
              <w:top w:w="100" w:type="dxa"/>
              <w:bottom w:w="100" w:type="dxa"/>
              <w:left w:w="100" w:type="dxa"/>
              <w:right w:w="100" w:type="dxa"/>
            </w:tcMar>
          </w:tcPr>
          <w:p>
            <w:pPr>
              <w:spacing w:line="276" w:lineRule="auto" w:after="0"/>
              <w:jc w:val="left"/>
            </w:pPr>
            <w:r>
              <w:rPr>
                <w:rFonts w:ascii="Times New Roman" w:hAnsi="Times New Roman"/>
                <w:sz w:val="21"/>
              </w:rPr>
              <w:t>Giải ngân tiền thuê thực nhận về ví/TK Chủ tủ</w:t>
              <w:br/>
              <w:t>(Tất toán nghĩa vụ thu hộ - chi hộ)</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33882</w:t>
              <w:br/>
              <w:t>(Thu hộ Chủ tủ)</w:t>
            </w:r>
          </w:p>
        </w:tc>
        <w:tc>
          <w:tcPr>
            <w:tcW w:type="dxa" w:w="1814"/>
            <w:shd w:fill="F9FAFB"/>
            <w:tcMar>
              <w:top w:w="100" w:type="dxa"/>
              <w:bottom w:w="100" w:type="dxa"/>
              <w:left w:w="100" w:type="dxa"/>
              <w:right w:w="100" w:type="dxa"/>
            </w:tcMar>
          </w:tcPr>
          <w:p>
            <w:pPr>
              <w:spacing w:line="276" w:lineRule="auto" w:after="0"/>
              <w:jc w:val="center"/>
            </w:pPr>
            <w:r>
              <w:rPr>
                <w:rFonts w:ascii="Times New Roman" w:hAnsi="Times New Roman"/>
                <w:sz w:val="21"/>
              </w:rPr>
              <w:t>TK 112</w:t>
              <w:br/>
              <w:t>(Tiền gửi KKH)</w:t>
            </w:r>
          </w:p>
        </w:tc>
        <w:tc>
          <w:tcPr>
            <w:tcW w:type="dxa" w:w="1474"/>
            <w:shd w:fill="F9FAFB"/>
            <w:tcMar>
              <w:top w:w="100" w:type="dxa"/>
              <w:bottom w:w="100" w:type="dxa"/>
              <w:left w:w="100" w:type="dxa"/>
              <w:right w:w="100" w:type="dxa"/>
            </w:tcMar>
          </w:tcPr>
          <w:p>
            <w:pPr>
              <w:spacing w:line="276" w:lineRule="auto" w:after="0"/>
              <w:jc w:val="right"/>
            </w:pPr>
            <w:r>
              <w:rPr>
                <w:rFonts w:ascii="Times New Roman" w:hAnsi="Times New Roman"/>
                <w:b/>
                <w:sz w:val="21"/>
              </w:rPr>
              <w:t>283.000</w:t>
            </w:r>
          </w:p>
        </w:tc>
      </w:tr>
    </w:tbl>
    <w:p>
      <w:pPr>
        <w:spacing w:after="120"/>
      </w:pPr>
    </w:p>
    <w:p>
      <w:pPr>
        <w:keepNext/>
        <w:spacing w:before="280" w:after="120"/>
      </w:pPr>
      <w:r>
        <w:rPr>
          <w:rFonts w:ascii="Times New Roman" w:hAnsi="Times New Roman"/>
          <w:b/>
          <w:color w:val="064E3B"/>
          <w:sz w:val="26"/>
        </w:rPr>
        <w:t>V. XỬ LÝ CÁC TÌNH HUỐNG NGOẠI LỆ &amp; BẢO VỆ TÍNH TOÀN VẸN SỔ CÁI</w:t>
      </w:r>
    </w:p>
    <w:p>
      <w:pPr>
        <w:keepNext/>
        <w:spacing w:before="200" w:after="80"/>
      </w:pPr>
      <w:r>
        <w:rPr>
          <w:rFonts w:ascii="Times New Roman" w:hAnsi="Times New Roman"/>
          <w:b/>
          <w:i/>
          <w:color w:val="1F2937"/>
          <w:sz w:val="26"/>
        </w:rPr>
        <w:t>1. Xử lý Tranh chấp bồi thường một phần (Partial Dispute - Váy rách nhẹ)</w:t>
      </w:r>
    </w:p>
    <w:p>
      <w:pPr>
        <w:spacing w:after="80" w:line="288" w:lineRule="auto"/>
      </w:pPr>
      <w:r>
        <w:rPr>
          <w:rFonts w:ascii="Times New Roman" w:hAnsi="Times New Roman"/>
          <w:sz w:val="26"/>
        </w:rPr>
        <w:t>Giả định khách làm rách nhẹ đuôi váy, hội đồng thẩm định quyết định trừ 300.000đ từ cọc 1.000.000đ để bồi thường cho Chủ tủ, 700.000đ còn lại trả lại khách:</w:t>
      </w:r>
    </w:p>
    <w:p>
      <w:pPr>
        <w:spacing w:after="80" w:line="288" w:lineRule="auto"/>
        <w:ind w:left="425"/>
      </w:pPr>
      <w:r>
        <w:rPr>
          <w:rFonts w:ascii="Times New Roman" w:hAnsi="Times New Roman"/>
          <w:sz w:val="26"/>
        </w:rPr>
        <w:t>• Bút toán 1 (Trích tiền đền bù): Nợ TK 3386 / Có TK 112 (hoặc ví Chủ tủ): 300.000 VNĐ.</w:t>
      </w:r>
    </w:p>
    <w:p>
      <w:pPr>
        <w:spacing w:after="80" w:line="288" w:lineRule="auto"/>
        <w:ind w:left="425"/>
      </w:pPr>
      <w:r>
        <w:rPr>
          <w:rFonts w:ascii="Times New Roman" w:hAnsi="Times New Roman"/>
          <w:sz w:val="26"/>
        </w:rPr>
        <w:t>• Bút toán 2 (Hoàn tiền cọc dôi dư): Nợ TK 3386 / Có TK 112 (ví Khách thuê): 700.000 VNĐ.</w:t>
      </w:r>
    </w:p>
    <w:tbl>
      <w:tblPr>
        <w:tblW w:type="auto" w:w="0"/>
        <w:jc w:val="center"/>
        <w:tblLook w:firstColumn="1" w:firstRow="1" w:lastColumn="0" w:lastRow="0" w:noHBand="0" w:noVBand="1" w:val="04A0"/>
      </w:tblPr>
      <w:tblGrid>
        <w:gridCol w:w="9071"/>
      </w:tblGrid>
      <w:tr>
        <w:tc>
          <w:tcPr>
            <w:tcW w:type="dxa" w:w="9071"/>
            <w:shd w:fill="F0FDF4"/>
            <w:tcMar>
              <w:top w:w="140" w:type="dxa"/>
              <w:bottom w:w="140" w:type="dxa"/>
              <w:left w:w="200" w:type="dxa"/>
              <w:right w:w="200" w:type="dxa"/>
            </w:tcMar>
            <w:tcBorders>
              <w:left w:val="single" w:sz="24" w:space="0" w:color="059669"/>
              <w:top w:val="single" w:sz="4" w:space="0" w:color="A7F3D0"/>
              <w:right w:val="single" w:sz="4" w:space="0" w:color="A7F3D0"/>
              <w:bottom w:val="single" w:sz="4" w:space="0" w:color="A7F3D0"/>
            </w:tcBorders>
          </w:tcPr>
          <w:p>
            <w:pPr>
              <w:spacing w:after="40"/>
            </w:pPr>
            <w:r>
              <w:rPr>
                <w:rFonts w:ascii="Times New Roman" w:hAnsi="Times New Roman"/>
                <w:b/>
                <w:color w:val="065F46"/>
                <w:sz w:val="24"/>
              </w:rPr>
              <w:t xml:space="preserve">📌 NGUYÊN TẮC BẢO TOÀN NGUYÊN TỬ (ATOMIC SETTLEMENT): </w:t>
            </w:r>
            <w:r>
              <w:rPr>
                <w:rFonts w:ascii="Times New Roman" w:hAnsi="Times New Roman"/>
                <w:color w:val="1F2937"/>
                <w:sz w:val="24"/>
              </w:rPr>
              <w:t>Hai bút toán trên được thực thi trong một Database Transaction nguyên tử duy nhất (Atomic Execution). Tổng tiền hoàn + đền bù luôn luôn bằng đúng 100% số dư TK 3386 (300k + 700k = 1.000k), triệt tiêu hoàn toàn nguy cơ cọc dôi dư bị treo 'mồ côi' trong két Escrow.</w:t>
            </w:r>
          </w:p>
        </w:tc>
      </w:tr>
    </w:tbl>
    <w:p>
      <w:pPr>
        <w:spacing w:after="80"/>
      </w:pPr>
    </w:p>
    <w:p>
      <w:pPr>
        <w:keepNext/>
        <w:spacing w:before="200" w:after="80"/>
      </w:pPr>
      <w:r>
        <w:rPr>
          <w:rFonts w:ascii="Times New Roman" w:hAnsi="Times New Roman"/>
          <w:b/>
          <w:i/>
          <w:color w:val="1F2937"/>
          <w:sz w:val="26"/>
        </w:rPr>
        <w:t>2. Xử lý Vi phạm thời gian giữ đồ trễ hạn (Overdue Penalty Fee)</w:t>
      </w:r>
    </w:p>
    <w:p>
      <w:pPr>
        <w:spacing w:after="80" w:line="288" w:lineRule="auto"/>
      </w:pPr>
      <w:r>
        <w:rPr>
          <w:rFonts w:ascii="Times New Roman" w:hAnsi="Times New Roman"/>
          <w:sz w:val="26"/>
        </w:rPr>
        <w:t>Nếu khách trả trễ 1 ngày (phí phạt hợp đồng 50.000đ/ngày theo điều khoản dịch vụ):</w:t>
      </w:r>
    </w:p>
    <w:p>
      <w:pPr>
        <w:spacing w:after="80" w:line="288" w:lineRule="auto"/>
        <w:ind w:left="425"/>
      </w:pPr>
      <w:r>
        <w:rPr>
          <w:rFonts w:ascii="Times New Roman" w:hAnsi="Times New Roman"/>
          <w:sz w:val="26"/>
        </w:rPr>
        <w:t>• Khoản phạt được khấu trừ trực tiếp từ tiền cọc của khách:</w:t>
      </w:r>
    </w:p>
    <w:p>
      <w:pPr>
        <w:spacing w:after="80" w:line="288" w:lineRule="auto"/>
        <w:ind w:left="425"/>
      </w:pPr>
      <w:r>
        <w:rPr>
          <w:rFonts w:ascii="Times New Roman" w:hAnsi="Times New Roman"/>
          <w:sz w:val="26"/>
        </w:rPr>
        <w:t xml:space="preserve">  - Nợ TK 3386 (Két cọc): 50.000 VNĐ</w:t>
      </w:r>
    </w:p>
    <w:p>
      <w:pPr>
        <w:spacing w:after="80" w:line="288" w:lineRule="auto"/>
        <w:ind w:left="425"/>
      </w:pPr>
      <w:r>
        <w:rPr>
          <w:rFonts w:ascii="Times New Roman" w:hAnsi="Times New Roman"/>
          <w:sz w:val="26"/>
        </w:rPr>
        <w:t xml:space="preserve">  - Có TK 711 (Thu nhập khác của sàn CLOOP): 50.000 VNĐ</w:t>
      </w:r>
    </w:p>
    <w:p>
      <w:pPr>
        <w:spacing w:after="80" w:line="288" w:lineRule="auto"/>
        <w:ind w:left="425"/>
      </w:pPr>
      <w:r>
        <w:rPr>
          <w:rFonts w:ascii="Times New Roman" w:hAnsi="Times New Roman"/>
          <w:sz w:val="26"/>
        </w:rPr>
        <w:t>• Số tiền cọc còn lại (950.000đ) được tất toán hoàn trả bình thường cho khách thuê (Nợ TK 3386 / Có TK 112).</w:t>
      </w:r>
    </w:p>
    <w:p>
      <w:pPr>
        <w:keepNext/>
        <w:spacing w:before="200" w:after="80"/>
      </w:pPr>
      <w:r>
        <w:rPr>
          <w:rFonts w:ascii="Times New Roman" w:hAnsi="Times New Roman"/>
          <w:b/>
          <w:i/>
          <w:color w:val="1F2937"/>
          <w:sz w:val="26"/>
        </w:rPr>
        <w:t>3. Hạch toán Chi phí cổng thanh toán (Payment Gateway Fee)</w:t>
      </w:r>
    </w:p>
    <w:p>
      <w:pPr>
        <w:spacing w:after="80" w:line="288" w:lineRule="auto"/>
      </w:pPr>
      <w:r>
        <w:rPr>
          <w:rFonts w:ascii="Times New Roman" w:hAnsi="Times New Roman"/>
          <w:sz w:val="26"/>
        </w:rPr>
        <w:t>Khi phát sinh phí giao dịch thanh toán VietQR / PayOS (ví dụ 1.500đ/giao dịch):</w:t>
      </w:r>
    </w:p>
    <w:p>
      <w:pPr>
        <w:spacing w:after="80" w:line="288" w:lineRule="auto"/>
        <w:ind w:left="425"/>
      </w:pPr>
      <w:r>
        <w:rPr>
          <w:rFonts w:ascii="Times New Roman" w:hAnsi="Times New Roman"/>
          <w:sz w:val="26"/>
        </w:rPr>
        <w:t>• Nợ TK 6427 (Chi phí dịch vụ mua ngoài - Phí thanh toán): 1.500 VNĐ</w:t>
      </w:r>
    </w:p>
    <w:p>
      <w:pPr>
        <w:spacing w:after="80" w:line="288" w:lineRule="auto"/>
        <w:ind w:left="425"/>
      </w:pPr>
      <w:r>
        <w:rPr>
          <w:rFonts w:ascii="Times New Roman" w:hAnsi="Times New Roman"/>
          <w:sz w:val="26"/>
        </w:rPr>
        <w:t>• Có TK 112 (Tiền gửi không kỳ hạn): 1.500 VNĐ</w:t>
      </w:r>
    </w:p>
    <w:p>
      <w:pPr>
        <w:spacing w:after="80" w:line="288" w:lineRule="auto"/>
        <w:ind w:left="425"/>
      </w:pPr>
      <w:r>
        <w:rPr>
          <w:rFonts w:ascii="Times New Roman" w:hAnsi="Times New Roman"/>
          <w:sz w:val="26"/>
        </w:rPr>
        <w:t>• Việc hạch toán này bảo đảm số dư thực tế trong tài khoản ngân hàng khớp từng đồng với Sổ cái tổng hợp.</w:t>
      </w:r>
    </w:p>
    <w:p>
      <w:pPr>
        <w:keepNext/>
        <w:spacing w:before="280" w:after="120"/>
      </w:pPr>
      <w:r>
        <w:rPr>
          <w:rFonts w:ascii="Times New Roman" w:hAnsi="Times New Roman"/>
          <w:b/>
          <w:color w:val="064E3B"/>
          <w:sz w:val="26"/>
        </w:rPr>
        <w:t>VI. BỘ 6 CÂU HỎI THAM VẤN CHUYÊN GIA KẾ TOÁN &amp; KIỂM TOÁN VIỆT NAM</w:t>
      </w:r>
    </w:p>
    <w:p>
      <w:pPr>
        <w:spacing w:after="80" w:line="288" w:lineRule="auto"/>
      </w:pPr>
      <w:r>
        <w:rPr>
          <w:rFonts w:ascii="Times New Roman" w:hAnsi="Times New Roman"/>
          <w:sz w:val="26"/>
        </w:rPr>
        <w:t>Khi đem tài liệu này đi tham vấn ý kiến các giảng viên/chuyên gia kế toán, bạn nên đặt 6 câu hỏi trọng tâm sau để nhận góp ý hoàn thiện hồ sơ dự thi:</w:t>
      </w:r>
    </w:p>
    <w:p>
      <w:pPr>
        <w:spacing w:after="80" w:line="288" w:lineRule="auto"/>
        <w:ind w:left="425"/>
      </w:pPr>
      <w:r>
        <w:rPr>
          <w:rFonts w:ascii="Times New Roman" w:hAnsi="Times New Roman"/>
          <w:b/>
          <w:sz w:val="26"/>
        </w:rPr>
        <w:t xml:space="preserve">Câu hỏi 1 (Về việc mở tiểu khoản TK 3386 &amp; TK 3388): </w:t>
      </w:r>
      <w:r>
        <w:rPr>
          <w:rFonts w:ascii="Times New Roman" w:hAnsi="Times New Roman"/>
          <w:sz w:val="26"/>
        </w:rPr>
        <w:t>“Thưa thầy/cô, theo Thông tư 99/2025/TT-BTC, việc CLOOP tự chủ mở hệ thống tiểu khoản cấp 2 (TK 3386 - Két cọc Escrow, TK 33882 - Thu hộ tiền thuê, TK 33883 - Thu hộ cước ship) để quản trị rủi ro sàn TMĐT đã hoàn toàn đáp ứng nguyên tắc 'Bản chất kinh tế quan trọng hơn hình thức' chưa? Có cần lưu ý gì thêm về quy chế tài chính nội bộ không?”</w:t>
      </w:r>
    </w:p>
    <w:p>
      <w:pPr>
        <w:spacing w:after="80" w:line="288" w:lineRule="auto"/>
        <w:ind w:left="425"/>
      </w:pPr>
      <w:r>
        <w:rPr>
          <w:rFonts w:ascii="Times New Roman" w:hAnsi="Times New Roman"/>
          <w:b/>
          <w:sz w:val="26"/>
        </w:rPr>
        <w:t xml:space="preserve">Câu hỏi 2 (Về quỹ phòng vệ Block 5K): </w:t>
      </w:r>
      <w:r>
        <w:rPr>
          <w:rFonts w:ascii="Times New Roman" w:hAnsi="Times New Roman"/>
          <w:sz w:val="26"/>
        </w:rPr>
        <w:t>“Khoản thặng dư +8.000đ từ thuật toán Block 5K dùng làm Quỹ phòng vệ vận chuyển (bù rủi ro giao lại hoặc sai lệch kích thước). Về mặt kế toán tài chính, nên duy trì ở tài khoản công nợ trung gian TK 3388_BUFFER hay nên kết chuyển định kỳ hàng tháng sang TK 711 (Thu nhập khác)?”</w:t>
      </w:r>
    </w:p>
    <w:p>
      <w:pPr>
        <w:spacing w:after="80" w:line="288" w:lineRule="auto"/>
        <w:ind w:left="425"/>
      </w:pPr>
      <w:r>
        <w:rPr>
          <w:rFonts w:ascii="Times New Roman" w:hAnsi="Times New Roman"/>
          <w:b/>
          <w:sz w:val="26"/>
        </w:rPr>
        <w:t xml:space="preserve">Câu hỏi 3 (Về xuất hóa đơn điện tử &amp; Thuế GTGT): </w:t>
      </w:r>
      <w:r>
        <w:rPr>
          <w:rFonts w:ascii="Times New Roman" w:hAnsi="Times New Roman"/>
          <w:sz w:val="26"/>
        </w:rPr>
        <w:t>“Doanh thu của CLOOP chỉ là phí hoa hồng sàn (10-12%). Khi xuất hóa đơn GTGT cho Chủ tủ, việc hạch toán tách bạch Nợ TK 33882 / Có TK 5113 (Doanh thu thuần) và Có TK 33311 (Thuế GTGT 10%) như trên đã hoàn toàn chuẩn hóa nghĩa vụ thuế TMĐT chưa?”</w:t>
      </w:r>
    </w:p>
    <w:p>
      <w:pPr>
        <w:spacing w:after="80" w:line="288" w:lineRule="auto"/>
        <w:ind w:left="425"/>
      </w:pPr>
      <w:r>
        <w:rPr>
          <w:rFonts w:ascii="Times New Roman" w:hAnsi="Times New Roman"/>
          <w:b/>
          <w:sz w:val="26"/>
        </w:rPr>
        <w:t xml:space="preserve">Câu hỏi 4 (Về đối soát công nợ bưu tá GHN): </w:t>
      </w:r>
      <w:r>
        <w:rPr>
          <w:rFonts w:ascii="Times New Roman" w:hAnsi="Times New Roman"/>
          <w:sz w:val="26"/>
        </w:rPr>
        <w:t>“Việc ghi nhận Có TK 331 đúng bằng 42.000đ (cước thực tế trên biên bản đối soát GHN) thay vì 50.000đ (tiền thu từ khách) đã triệt tiêu được rủi ro lệch sổ công nợ phải trả bưu tá chưa?”</w:t>
      </w:r>
    </w:p>
    <w:p>
      <w:pPr>
        <w:spacing w:after="80" w:line="288" w:lineRule="auto"/>
        <w:ind w:left="425"/>
      </w:pPr>
      <w:r>
        <w:rPr>
          <w:rFonts w:ascii="Times New Roman" w:hAnsi="Times New Roman"/>
          <w:b/>
          <w:sz w:val="26"/>
        </w:rPr>
        <w:t xml:space="preserve">Câu hỏi 5 (Về tính bất biến của Sổ cái điện tử): </w:t>
      </w:r>
      <w:r>
        <w:rPr>
          <w:rFonts w:ascii="Times New Roman" w:hAnsi="Times New Roman"/>
          <w:sz w:val="26"/>
        </w:rPr>
        <w:t>“Hệ thống nhúng trực tiếp cơ chế kiểm toán kép (Double-entry Ledger) bằng giao dịch ACID trong cơ sở dữ liệu và lưu vết Audit Log. Theo góc nhìn kiểm toán độc lập, cơ chế này có đủ điều kiện làm bằng chứng kiểm toán (Audit Evidence) cho dữ liệu giao dịch tự động không?”</w:t>
      </w:r>
    </w:p>
    <w:p>
      <w:pPr>
        <w:spacing w:after="80" w:line="288" w:lineRule="auto"/>
        <w:ind w:left="425"/>
      </w:pPr>
      <w:r>
        <w:rPr>
          <w:rFonts w:ascii="Times New Roman" w:hAnsi="Times New Roman"/>
          <w:b/>
          <w:sz w:val="26"/>
        </w:rPr>
        <w:t xml:space="preserve">Câu hỏi 6 (Về trình bày Báo cáo tài chính): </w:t>
      </w:r>
      <w:r>
        <w:rPr>
          <w:rFonts w:ascii="Times New Roman" w:hAnsi="Times New Roman"/>
          <w:sz w:val="26"/>
        </w:rPr>
        <w:t>“Trên Báo cáo tình hình tài chính (theo tên gọi mới của TT 99), số dư Két cọc Escrow (TK 3386) nên được trình bày ở chỉ tiêu nào trong phần Nợ phải trả ngắn hạn, và cần thuyết minh những điểm nào để làm nổi bật tính minh bạch?”</w:t>
      </w:r>
    </w:p>
    <w:p>
      <w:pPr>
        <w:spacing w:before="320" w:after="0"/>
        <w:jc w:val="right"/>
      </w:pPr>
      <w:r>
        <w:rPr>
          <w:rFonts w:ascii="Times New Roman" w:hAnsi="Times New Roman"/>
          <w:b/>
          <w:i/>
          <w:color w:val="4B5563"/>
          <w:sz w:val="22"/>
        </w:rPr>
        <w:t>Hà Nội, Ngày 05 Tháng 09 Năm 2026</w:t>
        <w:br/>
        <w:t>BAN DỰ ÁN CÔNG NGHỆ TÀI CHÍNH CLOOP</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