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A2517"/>
          <w:sz w:val="31"/>
        </w:rPr>
        <w:t>BÁO CÁO TOÀN DIỆN KIẾN TRÚC HỆ THỐNG VẬN HÀNH &amp; KINH TẾ HỌC NỀN TẢNG THỜI TRANG TUẦN HOÀN CLOOP</w:t>
      </w:r>
    </w:p>
    <w:p>
      <w:pPr>
        <w:spacing w:before="0" w:after="280"/>
        <w:jc w:val="center"/>
      </w:pPr>
      <w:r>
        <w:rPr>
          <w:rFonts w:ascii="Times New Roman" w:hAnsi="Times New Roman"/>
          <w:i/>
          <w:color w:val="4B5563"/>
          <w:sz w:val="23"/>
        </w:rPr>
        <w:t>Tài liệu Kỹ thuật, Luận giải Kiến trúc &amp; Chiến lược Thẩm định Techfest</w:t>
        <w:br/>
        <w:t>Phiên bản 3.0 Enterprise • Cập nhật: Tháng 09/2026 • Trạng thái: Live Production</w:t>
      </w:r>
    </w:p>
    <w:p>
      <w:pPr>
        <w:spacing w:after="80"/>
        <w:jc w:val="both"/>
      </w:pPr>
      <w:r>
        <w:rPr>
          <w:rFonts w:ascii="Times New Roman" w:hAnsi="Times New Roman"/>
          <w:sz w:val="25"/>
        </w:rPr>
        <w:t>Báo cáo này trình bày chi tiết toàn bộ kiến trúc hạ tầng công nghệ thời gian thực, mô hình dòng tiền Két Escrow, thuật toán logistics san sẻ 50/50, cơ chế quản trị rủi ro và bài toán kinh tế học của nền tảng thời trang tuần hoàn CLOOP. Đặc biệt, tài liệu áp dụng phương pháp luận Đánh giá Kiến trúc và Đánh đổi Chiến lược (Architecture Trade-off &amp; Strategic Evaluation Framework), bóc tách từng quyết định công nghệ và chính sách vận hành theo 5 tầng phân tích: Mục đích thiết kế, Lợi ích thực tế, Ưu điểm vượt trội, Mặt trái/Thách thức tiềm ẩn, và Phương án thay thế dự phòng.</w:t>
      </w:r>
    </w:p>
    <w:p>
      <w:pPr>
        <w:keepNext/>
        <w:spacing w:before="320" w:after="120"/>
      </w:pPr>
      <w:r>
        <w:rPr>
          <w:rFonts w:ascii="Times New Roman" w:hAnsi="Times New Roman"/>
          <w:b/>
          <w:color w:val="0F4A34"/>
          <w:sz w:val="28"/>
        </w:rPr>
        <w:t>I. KIẾN TRÚC HỆ THỐNG THỜI GIAN THỰC (REAL-TIME ARCHITECTURE)</w:t>
      </w:r>
    </w:p>
    <w:p>
      <w:pPr>
        <w:spacing w:after="80"/>
        <w:jc w:val="both"/>
      </w:pPr>
      <w:r>
        <w:rPr>
          <w:rFonts w:ascii="Times New Roman" w:hAnsi="Times New Roman"/>
          <w:sz w:val="25"/>
        </w:rPr>
        <w:t>Nền tảng CLOOP vận hành trên mô hình API-First kết hợp Serverless Microservices. Toàn bộ các tương tác từ định tuyến logistics, dòng tiền thanh toán đến phân bổ dữ liệu đều được tự động hóa 100% không qua can thiệp thủ công.</w:t>
      </w:r>
    </w:p>
    <w:p>
      <w:pPr>
        <w:keepNext/>
        <w:spacing w:before="200" w:after="80"/>
      </w:pPr>
      <w:r>
        <w:rPr>
          <w:rFonts w:ascii="Times New Roman" w:hAnsi="Times New Roman"/>
          <w:b/>
          <w:color w:val="183A2D"/>
          <w:sz w:val="26"/>
        </w:rPr>
        <w:t>1. Tích hợp Logistics Động (GHN Gateway API - online-gateway.ghn.vn)</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Hệ thống kết nối trực tiếp với máy chủ Giao Hàng Nhanh thông qua Token và ShopID chuyên biệt. Khi khách hàng nhập địa chỉ nhận hàng, API tự động đối soát tọa độ bưu cục hành chính, tính toán khoảng cách thực tế giữa Tủ đồ (Người gửi) và Khách thuê (Người nhận), đo lường trọng lượng trang phục và áp bảng cước thời gian thực.</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Khách hàng biết chính xác 100% phí giao hàng trước khi thanh toán, triệt tiêu hoàn toàn tình trạng 'báo giá một đằng, shipper thu một nẻo'. Chủ tủ không cần tự liên hệ bưu tá hay ghi phiếu gửi thủ công; mã vận đơn (Tracking Code) tự động được cấp phát và đồng bộ trực tiếp vào giao diện quản trị đơn.</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Độ phủ rộng khắp 63 tỉnh thành đến tận cấp xã/phường; cơ chế Webhook hai chiều tự động kích hoạt cập nhật trạng thái đơn (Đang giao -&gt; Đã giao) mà không cần bưu tá hay người dùng bấm tay.</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Phụ thuộc hoàn toàn vào uptime của máy chủ GHN. Nếu API bên thứ 3 bảo trì hoặc quá tải, luồng thanh toán có thể bị nghẽn ở bước tính phí ship. Ngoài ra, người dùng nhập sai định dạng địa chỉ có thể khiến API trả về mã lỗi không tìm thấy bưu cục.</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Chiến lược Multi-Carrier Failover: Tích hợp thêm Giao Hàng Tiết Kiệm (GHTK) hoặc Viettel Post làm đối tác dự phòng (Fallback Provider). Khi hệ thống phát hiện GHN timeout quá 3 giây, thuật toán tự động chuyển hướng tính cước sang GHTK. Đối với các đơn tiệc cưới gấp nội thành (dưới 15km), bổ sung lựa chọn giao siêu tốc qua Ahamove/GrabExpress.</w:t>
      </w:r>
    </w:p>
    <w:p>
      <w:pPr>
        <w:keepNext/>
        <w:spacing w:before="200" w:after="80"/>
      </w:pPr>
      <w:r>
        <w:rPr>
          <w:rFonts w:ascii="Times New Roman" w:hAnsi="Times New Roman"/>
          <w:b/>
          <w:color w:val="183A2D"/>
          <w:sz w:val="26"/>
        </w:rPr>
        <w:t>2. Cổng Thanh Toán Trực Tuyến &amp; Két Bảo Chứng Escrow (PayOS / VietQR Động)</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Mỗi giao dịch thuê phát sinh một mã QR động (VietQR NAPAS247) mã hóa chính xác số tiền cần thanh toán lẻ đến từng đồng và kèm mã định danh giao dịch độc nhất. Toàn bộ số tiền (Tiền thuê + Tiền cọc đồ + Cước ship lượt đi) được gom và khóa chặt trong Két Escrow của CLOOP, chỉ giải ngân cho Chủ tủ sau khi kết thúc chu kỳ thuê an toàn.</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Tạo niềm tin tuyệt đối (Zero-Doubt) cho cả hai phía: Khách thuê không sợ chủ tủ lừa tiền cọc rồi ôm đồ mất tích; Chủ tủ hoàn toàn an tâm gửi trang phục trị giá hàng triệu đồng vì toàn bộ giá trị đã được ký quỹ sẵn trong két bảo chứng.</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Chi phí vận hành giao dịch cực thấp (gần như 0đ qua cổng thanh toán chuyển khoản NAPAS247 so với mức phí 2.5% - 3.5% của thẻ tín dụng quốc tế Visa/Mastercard); tốc độ xác nhận biến động số dư qua Webhook diễn ra tức thì trong 1 - 2 giây.</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Khách hàng buộc phải có tài khoản ngân hàng nội địa Việt Nam và sử dụng Mobile Banking. Nếu người dùng quét mã xong nhưng tự ý sửa số tiền hoặc nhập sai nội dung chuyển khoản thủ công, hệ thống phải kích hoạt cơ chế đối soát ngoại lệ (Exception Handling) qua Admin.</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Mở rộng cổng thanh toán đa kênh (Omni-channel Payments): Tích hợp bổ sung cổng Stripe / VNPay cho thẻ tín dụng quốc tế để phục vụ kiều bào hoặc khách du lịch nước ngoài thuê áo dài; bổ sung Ví điện tử MoMo / Apple Pay để tối ưu trải nghiệm thanh toán 1-chạm (1-click checkout) trên di động.</w:t>
      </w:r>
    </w:p>
    <w:p>
      <w:pPr>
        <w:keepNext/>
        <w:spacing w:before="200" w:after="80"/>
      </w:pPr>
      <w:r>
        <w:rPr>
          <w:rFonts w:ascii="Times New Roman" w:hAnsi="Times New Roman"/>
          <w:b/>
          <w:color w:val="183A2D"/>
          <w:sz w:val="26"/>
        </w:rPr>
        <w:t>3. Quản Trị Cơ Sở Dữ Liệu &amp; Khóa Bi Quan (PostgreSQL / Supabase Pessimistic Locking)</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Hệ thống sử dụng cơ chế Khóa bi quan ở cấp độ hàng (Row-Level Locking với câu lệnh SELECT ... FOR UPDATE) trong quá trình xử lý đơn hàng và lịch thuê. Khi một khách hàng đang trong tiến trình thanh toán thuê chiếc váy vào một khoảng thời gian xác định, bản ghi sản phẩm và khoảng lịch đó lập tức bị khóa tạm thời đối với tất cả người dùng khác.</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Loại bỏ 100% nguy cơ trùng lịch thuê (Double-booking) – bài toán nhức nhối nhất của các sàn cho thuê đồ P2P khi 2 người cùng bấm đặt 1 chiếc đầm duy nhất cho cùng một ngày dạ tiệc.</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Đảm bảo tính toàn vẹn dữ liệu chuẩn ACID ở mức nghiêm ngặt nhất (Strict Consistency), không để xảy ra tranh chấp dữ liệu (Race Conditions) ngay cả khi hàng nghìn người cùng truy cập săn đồ dịp lễ Tết.</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Khóa bi quan làm giảm nhẹ thông lượng xử lý đồng thời (Concurrency Throughput) tại thời điểm cao điểm. Nếu một phiên giao dịch kéo dài do mạng chậm, các truy vấn đọc/ghi khác cùng bản ghi phải xếp hàng chờ giải phóng khóa.</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Khi lượng truy cập vượt ngưỡng 100.000 đơn/ngày, chuyển đổi sang cơ chế Khóa lạc quan (Optimistic Locking) kết hợp Khóa phân tán bằng Redis (Redlock Distributed Locks) với thời gian chờ giải phóng cực ngắn (TTL 30 giây).</w:t>
      </w:r>
    </w:p>
    <w:p>
      <w:pPr>
        <w:keepNext/>
        <w:spacing w:before="200" w:after="80"/>
      </w:pPr>
      <w:r>
        <w:rPr>
          <w:rFonts w:ascii="Times New Roman" w:hAnsi="Times New Roman"/>
          <w:b/>
          <w:color w:val="183A2D"/>
          <w:sz w:val="26"/>
        </w:rPr>
        <w:t>4. Phân Phối &amp; Tối Ưu Hóa Hình Ảnh (Cloudinary CDN &amp; Next.js Image Optimization)</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Toàn bộ hình ảnh lookbook và ảnh trang phục người dùng tải lên được truyền qua bộ lọc chuyển đổi của Cloudinary CDN. Hệ thống tự động nhận diện thiết bị của người dùng để nén định dạng ảnh sang WebP hoặc AVIF hiện đại, tự động căn chỉnh kích thước (resizing) và tối ưu độ phân giải mà không làm giảm chất lượng thị giác.</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Tốc độ tải trang sản phẩm đạt chuẩn quốc tế dưới 1 giây; giảm đến 70% dung lượng băng thông tiêu thụ trên mạng di động 4G/5G của khách hàng; tăng chỉ số trải nghiệm Google Core Web Vitals (LCP, CLS) lên mức tuyệt đối.</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Mạng lưới CDN toàn cầu với hàng trăm điểm biên (Edge nodes), hỗ trợ tự động nhận diện khuôn mặt và cắt khung hình thông minh (Smart AI Cropping) làm nổi bật form dáng trang phục.</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Nếu lượng ảnh tải lên tăng đột biến vượt hạn ngạch gói dịch vụ miễn phí/tiêu chuẩn của Cloudinary, chi phí lưu trữ và băng thông API có thể tăng vọt theo cấp số nhân.</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Xây dựng hạ tầng Hybrid Storage: Sử dụng Cloudflare Images với chi phí cố định cực rẻ (5$ cho 100.000 ảnh) hoặc tự triển khai máy chủ lưu trữ MinIO trên hạ tầng đám mây kết hợp thư viện xử lý ảnh Sharp chạy trên Docker Worker.</w:t>
      </w:r>
    </w:p>
    <w:p>
      <w:pPr>
        <w:keepNext/>
        <w:spacing w:before="200" w:after="80"/>
      </w:pPr>
      <w:r>
        <w:rPr>
          <w:rFonts w:ascii="Times New Roman" w:hAnsi="Times New Roman"/>
          <w:b/>
          <w:color w:val="183A2D"/>
          <w:sz w:val="26"/>
        </w:rPr>
        <w:t>5. Cụm Trí Tuệ Nhân Tạo Xoay Vòng 6 Khóa (Gemini 1.5 Pro Rotation Pool)</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Hệ thống tích hợp thuật toán xoay vòng khóa API (Round-robin Token Rotation) trên cụm 6 tài khoản Gemini 1.5 Pro. Trí tuệ nhân tạo đảm nhiệm 2 nhiệm vụ cốt lõi: (1) AI Stylist tư vấn phối đồ cá nhân hóa dựa trên dáng người và bối cảnh sự kiện; (2) Tự động trích xuất đặc trưng trang phục (màu sắc, chất liệu, độ dài, phong cách) khi chủ tủ tải ảnh lên.</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Chủ tủ không cần tốn thời gian gõ mô tả sản phẩm; khách hàng có một chuyên gia thời trang ảo túc trực 24/7. Nâng cao tỷ lệ chuyển đổi mua/thuê hàng (CRO) và giữ chân người dùng trên trang lâu hơn gấp 3 lần.</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Đạt tổng công suất phục vụ lên tới 9.000 requests/ngày mà hoàn toàn không phát sinh chi phí bản quyền AI trong giai đoạn tiền thương mại hóa của Techfest; tự động vượt rào cản Rate Limit (RPM/RPD) thông qua thuật toán ngắt mạch tự phục hồi (Circuit Breaker).</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Phụ thuộc vào các tài khoản API cá nhân. Nếu Google siết chặt hạn ngạch hoặc thay đổi chính sách sử dụng đối với model Gemini 1.5 Pro, hệ thống có thể bị gián đoạn tính năng AI nếu không kịp thời ứng biến.</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Kế hoạch nâng cấp Enterprise: Đăng ký gói tài trợ khởi nghiệp Google for Startups Cloud Program để chuyển đổi cụm AI sang Google Cloud Vertex AI chính thức với SLA 99.99%. Đồng thời, chuẩn bị sẵn giải pháp mã nguồn mở chạy dự phòng: mô hình Llama-3-Vision hoặc Qwen-VL tự host trên GPU server độc lập.</w:t>
      </w:r>
    </w:p>
    <w:p>
      <w:pPr>
        <w:keepNext/>
        <w:spacing w:before="200" w:after="80"/>
      </w:pPr>
      <w:r>
        <w:rPr>
          <w:rFonts w:ascii="Times New Roman" w:hAnsi="Times New Roman"/>
          <w:b/>
          <w:color w:val="183A2D"/>
          <w:sz w:val="26"/>
        </w:rPr>
        <w:t>6. Kho Lưu Trữ Đối Soát Tranh Chấp 10TB (Google One Dual Pool AppScript Gateway)</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Xây dựng cổng truyền dữ liệu trung gian qua Google Apps Script kết nối trực tiếp vào 2 tài khoản lưu trữ Google One Pro (tổng dung lượng 10TB). Chuyên trách tiếp nhận các tập tin video dung lượng lớn (video quay cận cảnh trang phục trước khi đóng gói niêm phong và video mở hộp unboxing của khách thuê) phục vụ đối soát tranh chấp.</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Lưu trữ được hàng chục nghìn video kiểm định độ phân giải 4K mà không làm tiêu hao dung lượng đắt đỏ của cơ sở dữ liệu chính (Supabase) hay kho ảnh (Cloudinary); tạo bằng chứng pháp lý đanh thép giải quyết khiếu nại.</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Dung lượng lưu trữ khổng lồ 10TB với chi phí 0 đồng, không bị bóp băng thông bởi các nhà cung cấp hosting web thông thường.</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Google Apps Script có giới hạn thời gian thực thi (Execution Timeout 6 phút/request) và giới hạn kích thước gói tin HTTP POST (tối đa 50MB/lần gửi). Tốc độ tải video phụ thuộc vào kết nối máy chủ Google Drive.</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Chuyển dịch sang dịch vụ lưu trữ lạnh chuyên nghiệp: AWS S3 Glacier Deep Archive hoặc Cloudflare R2 (không tính phí băng thông tải ra - Zero Egress Fee) với chi phí chỉ khoảng 0.00099$/GB/tháng, đảm bảo lưu trữ an toàn hồ sơ tranh chấp trong 3 năm theo luật thương mại điện tử.</w:t>
      </w:r>
    </w:p>
    <w:p>
      <w:pPr>
        <w:keepNext/>
        <w:spacing w:before="320" w:after="120"/>
      </w:pPr>
      <w:r>
        <w:rPr>
          <w:rFonts w:ascii="Times New Roman" w:hAnsi="Times New Roman"/>
          <w:b/>
          <w:color w:val="0F4A34"/>
          <w:sz w:val="28"/>
        </w:rPr>
        <w:t>II. THUẬT TOÁN LOGISTICS SAN SẺ 50/50 &amp; ĐỆM RỦI RO BLOCK 5K</w:t>
      </w:r>
    </w:p>
    <w:p>
      <w:pPr>
        <w:spacing w:after="80"/>
        <w:jc w:val="both"/>
      </w:pPr>
      <w:r>
        <w:rPr>
          <w:rFonts w:ascii="Times New Roman" w:hAnsi="Times New Roman"/>
          <w:sz w:val="25"/>
        </w:rPr>
        <w:t>Một trong những rào cản lớn nhất khiến mô hình cho thuê thời trang thất bại là chi phí vận chuyển 2 chiều (Lượt đi: Tủ đồ -&gt; Khách; Lượt về: Khách -&gt; Tủ đồ). Nếu bắt Khách thuê gánh trọn cả 2 đầu ship (~50.000đ - 70.000đ), tỷ lệ bỏ giỏ hàng (Cart Abandonment) sẽ vượt quá 65%. Ngược lại, nếu bắt Chủ tủ chịu toàn bộ, họ sẽ không còn động lực chia sẻ đồ vì biên lợi nhuận bị bào mòn.</w:t>
      </w:r>
    </w:p>
    <w:p>
      <w:pPr>
        <w:keepNext/>
        <w:spacing w:before="200" w:after="80"/>
      </w:pPr>
      <w:r>
        <w:rPr>
          <w:rFonts w:ascii="Times New Roman" w:hAnsi="Times New Roman"/>
          <w:b/>
          <w:color w:val="183A2D"/>
          <w:sz w:val="26"/>
        </w:rPr>
        <w:t>Cơ Chế San Sẻ Logistics 50/50 Kết Hợp Thuật Toán Làm Tròn Block 5K</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CLOOP áp dụng thuật toán chia đôi cước vận chuyển chuẩn hóa: Khách thuê thanh toán trước 25.000đ cho lượt đi ngay lúc tạo đơn; Chủ tủ khấu trừ 25.000đ cho lượt về từ doanh thu cho thuê trước khi giải ngân. Mọi mức cước thực tế từ API GHN đều được làm tròn trần (Ceil) lên mốc 5.000đ gần nhất theo công thức: Cước niêm yết = ⌈ Cước thực tế / 5.000 ⌉ × 5.000.</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Hạ thấp rào cản tâm lý cho khách thuê (chỉ thấy phí ship 25k như mua hàng thông thường); Chủ tủ vui vẻ vì chi phí lượt về được khấu trừ tự động từ lợi nhuận chứ không phải bỏ tiền túi trước. Phần chênh lệch làm tròn tạo ra dòng thặng dư dương (+4.000đ đến +8.000đ mỗi đơn hàng) tích lũy trực tiếp vào Quỹ Phòng Vệ Rủi Ro Vận Chuyển của sàn.</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Tạo cơ chế tự bảo hiểm rủi ro tài chính (Self-Insured Logistics Pool): Sàn không bao giờ bị âm vốn vận chuyển, kể cả khi bưu tá phụ thu phụ phí giao lại lần 2 hoặc hàng hóa cần chuyển hoàn.</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Nếu khách thuê ở các khu vực biển đảo, vùng sâu vùng xa (nơi cước thực tế của GHN vượt quá 50.000đ), phần trợ giá của sàn có thể làm hao hụt Quỹ phòng vệ nếu không có thuật toán giới hạn bán kính vận chuyển.</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1. Thuật toán Geofencing: Tự động phát hiện các đơn hàng liên tỉnh có cước vượt quá 45.000đ để áp dụng phụ thu vùng xa minh bạch.</w:t>
        <w:br/>
        <w:t>2. Hệ thống Trạm Gom Đồ CLOOP Hub: Đặt tủ khóa thông minh (Smart Lockers) tại các tòa nhà văn phòng, trường đại học lớn ở Hà Nội và TP.HCM. Khách hàng và chủ tủ có thể tự gửi/lấy đồ với cước phí 0đ, triệt tiêu 100% chi phí bưu tá.</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Khoảng cách / Vùng giao</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Cước GHN thực</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Cước niêm yết (Block 5K)</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Khách trả (Đi) + Tủ chịu (Về)</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Thặng dư Quỹ dự phòng</w:t>
            </w:r>
          </w:p>
        </w:tc>
      </w:tr>
      <w:tr>
        <w:tc>
          <w:tcPr>
            <w:tcW w:type="dxa" w:w="1814"/>
            <w:shd w:fill="FFFFFF"/>
            <w:tcMar>
              <w:top w:w="80" w:type="dxa"/>
              <w:bottom w:w="80" w:type="dxa"/>
              <w:left w:w="100" w:type="dxa"/>
              <w:right w:w="100" w:type="dxa"/>
            </w:tcMar>
          </w:tcPr>
          <w:p>
            <w:pPr>
              <w:jc w:val="left"/>
            </w:pPr>
            <w:r>
              <w:rPr>
                <w:rFonts w:ascii="Times New Roman" w:hAnsi="Times New Roman"/>
                <w:sz w:val="21"/>
              </w:rPr>
              <w:t>Nội thành (Dưới 5km)</w:t>
            </w:r>
          </w:p>
        </w:tc>
        <w:tc>
          <w:tcPr>
            <w:tcW w:type="dxa" w:w="1814"/>
            <w:shd w:fill="FFFFFF"/>
            <w:tcMar>
              <w:top w:w="80" w:type="dxa"/>
              <w:bottom w:w="80" w:type="dxa"/>
              <w:left w:w="100" w:type="dxa"/>
              <w:right w:w="100" w:type="dxa"/>
            </w:tcMar>
          </w:tcPr>
          <w:p>
            <w:pPr>
              <w:jc w:val="center"/>
            </w:pPr>
            <w:r>
              <w:rPr>
                <w:rFonts w:ascii="Times New Roman" w:hAnsi="Times New Roman"/>
                <w:sz w:val="21"/>
              </w:rPr>
              <w:t>16.500đ / lượt</w:t>
            </w:r>
          </w:p>
        </w:tc>
        <w:tc>
          <w:tcPr>
            <w:tcW w:type="dxa" w:w="1814"/>
            <w:shd w:fill="FFFFFF"/>
            <w:tcMar>
              <w:top w:w="80" w:type="dxa"/>
              <w:bottom w:w="80" w:type="dxa"/>
              <w:left w:w="100" w:type="dxa"/>
              <w:right w:w="100" w:type="dxa"/>
            </w:tcMar>
          </w:tcPr>
          <w:p>
            <w:pPr>
              <w:jc w:val="center"/>
            </w:pPr>
            <w:r>
              <w:rPr>
                <w:rFonts w:ascii="Times New Roman" w:hAnsi="Times New Roman"/>
                <w:sz w:val="21"/>
              </w:rPr>
              <w:t>20.000đ / lượt</w:t>
            </w:r>
          </w:p>
        </w:tc>
        <w:tc>
          <w:tcPr>
            <w:tcW w:type="dxa" w:w="1814"/>
            <w:shd w:fill="FFFFFF"/>
            <w:tcMar>
              <w:top w:w="80" w:type="dxa"/>
              <w:bottom w:w="80" w:type="dxa"/>
              <w:left w:w="100" w:type="dxa"/>
              <w:right w:w="100" w:type="dxa"/>
            </w:tcMar>
          </w:tcPr>
          <w:p>
            <w:pPr>
              <w:jc w:val="center"/>
            </w:pPr>
            <w:r>
              <w:rPr>
                <w:rFonts w:ascii="Times New Roman" w:hAnsi="Times New Roman"/>
                <w:sz w:val="21"/>
              </w:rPr>
              <w:t>25.000đ + 25.000đ = 50.000đ</w:t>
            </w:r>
          </w:p>
        </w:tc>
        <w:tc>
          <w:tcPr>
            <w:tcW w:type="dxa" w:w="1814"/>
            <w:shd w:fill="FFFFFF"/>
            <w:tcMar>
              <w:top w:w="80" w:type="dxa"/>
              <w:bottom w:w="80" w:type="dxa"/>
              <w:left w:w="100" w:type="dxa"/>
              <w:right w:w="100" w:type="dxa"/>
            </w:tcMar>
          </w:tcPr>
          <w:p>
            <w:pPr>
              <w:jc w:val="center"/>
            </w:pPr>
            <w:r>
              <w:rPr>
                <w:rFonts w:ascii="Times New Roman" w:hAnsi="Times New Roman"/>
                <w:sz w:val="21"/>
              </w:rPr>
              <w:t>+17.000đ / đơn (Tích quỹ)</w:t>
            </w:r>
          </w:p>
        </w:tc>
      </w:tr>
      <w:tr>
        <w:tc>
          <w:tcPr>
            <w:tcW w:type="dxa" w:w="1814"/>
            <w:shd w:fill="F9FBF9"/>
            <w:tcMar>
              <w:top w:w="80" w:type="dxa"/>
              <w:bottom w:w="80" w:type="dxa"/>
              <w:left w:w="100" w:type="dxa"/>
              <w:right w:w="100" w:type="dxa"/>
            </w:tcMar>
          </w:tcPr>
          <w:p>
            <w:pPr>
              <w:jc w:val="left"/>
            </w:pPr>
            <w:r>
              <w:rPr>
                <w:rFonts w:ascii="Times New Roman" w:hAnsi="Times New Roman"/>
                <w:sz w:val="21"/>
              </w:rPr>
              <w:t>Nội thành tiêu chuẩn</w:t>
            </w:r>
          </w:p>
        </w:tc>
        <w:tc>
          <w:tcPr>
            <w:tcW w:type="dxa" w:w="1814"/>
            <w:shd w:fill="F9FBF9"/>
            <w:tcMar>
              <w:top w:w="80" w:type="dxa"/>
              <w:bottom w:w="80" w:type="dxa"/>
              <w:left w:w="100" w:type="dxa"/>
              <w:right w:w="100" w:type="dxa"/>
            </w:tcMar>
          </w:tcPr>
          <w:p>
            <w:pPr>
              <w:jc w:val="center"/>
            </w:pPr>
            <w:r>
              <w:rPr>
                <w:rFonts w:ascii="Times New Roman" w:hAnsi="Times New Roman"/>
                <w:sz w:val="21"/>
              </w:rPr>
              <w:t>21.000đ / lượt</w:t>
            </w:r>
          </w:p>
        </w:tc>
        <w:tc>
          <w:tcPr>
            <w:tcW w:type="dxa" w:w="1814"/>
            <w:shd w:fill="F9FBF9"/>
            <w:tcMar>
              <w:top w:w="80" w:type="dxa"/>
              <w:bottom w:w="80" w:type="dxa"/>
              <w:left w:w="100" w:type="dxa"/>
              <w:right w:w="100" w:type="dxa"/>
            </w:tcMar>
          </w:tcPr>
          <w:p>
            <w:pPr>
              <w:jc w:val="center"/>
            </w:pPr>
            <w:r>
              <w:rPr>
                <w:rFonts w:ascii="Times New Roman" w:hAnsi="Times New Roman"/>
                <w:sz w:val="21"/>
              </w:rPr>
              <w:t>25.000đ / lượt</w:t>
            </w:r>
          </w:p>
        </w:tc>
        <w:tc>
          <w:tcPr>
            <w:tcW w:type="dxa" w:w="1814"/>
            <w:shd w:fill="F9FBF9"/>
            <w:tcMar>
              <w:top w:w="80" w:type="dxa"/>
              <w:bottom w:w="80" w:type="dxa"/>
              <w:left w:w="100" w:type="dxa"/>
              <w:right w:w="100" w:type="dxa"/>
            </w:tcMar>
          </w:tcPr>
          <w:p>
            <w:pPr>
              <w:jc w:val="center"/>
            </w:pPr>
            <w:r>
              <w:rPr>
                <w:rFonts w:ascii="Times New Roman" w:hAnsi="Times New Roman"/>
                <w:sz w:val="21"/>
              </w:rPr>
              <w:t>25.000đ + 25.000đ = 50.000đ</w:t>
            </w:r>
          </w:p>
        </w:tc>
        <w:tc>
          <w:tcPr>
            <w:tcW w:type="dxa" w:w="1814"/>
            <w:shd w:fill="F9FBF9"/>
            <w:tcMar>
              <w:top w:w="80" w:type="dxa"/>
              <w:bottom w:w="80" w:type="dxa"/>
              <w:left w:w="100" w:type="dxa"/>
              <w:right w:w="100" w:type="dxa"/>
            </w:tcMar>
          </w:tcPr>
          <w:p>
            <w:pPr>
              <w:jc w:val="center"/>
            </w:pPr>
            <w:r>
              <w:rPr>
                <w:rFonts w:ascii="Times New Roman" w:hAnsi="Times New Roman"/>
                <w:sz w:val="21"/>
              </w:rPr>
              <w:t>+8.000đ / đơn (Chuẩn mực)</w:t>
            </w:r>
          </w:p>
        </w:tc>
      </w:tr>
      <w:tr>
        <w:tc>
          <w:tcPr>
            <w:tcW w:type="dxa" w:w="1814"/>
            <w:shd w:fill="FFFFFF"/>
            <w:tcMar>
              <w:top w:w="80" w:type="dxa"/>
              <w:bottom w:w="80" w:type="dxa"/>
              <w:left w:w="100" w:type="dxa"/>
              <w:right w:w="100" w:type="dxa"/>
            </w:tcMar>
          </w:tcPr>
          <w:p>
            <w:pPr>
              <w:jc w:val="left"/>
            </w:pPr>
            <w:r>
              <w:rPr>
                <w:rFonts w:ascii="Times New Roman" w:hAnsi="Times New Roman"/>
                <w:sz w:val="21"/>
              </w:rPr>
              <w:t>Ngoại thành / Cận tỉnh</w:t>
            </w:r>
          </w:p>
        </w:tc>
        <w:tc>
          <w:tcPr>
            <w:tcW w:type="dxa" w:w="1814"/>
            <w:shd w:fill="FFFFFF"/>
            <w:tcMar>
              <w:top w:w="80" w:type="dxa"/>
              <w:bottom w:w="80" w:type="dxa"/>
              <w:left w:w="100" w:type="dxa"/>
              <w:right w:w="100" w:type="dxa"/>
            </w:tcMar>
          </w:tcPr>
          <w:p>
            <w:pPr>
              <w:jc w:val="center"/>
            </w:pPr>
            <w:r>
              <w:rPr>
                <w:rFonts w:ascii="Times New Roman" w:hAnsi="Times New Roman"/>
                <w:sz w:val="21"/>
              </w:rPr>
              <w:t>24.500đ / lượt</w:t>
            </w:r>
          </w:p>
        </w:tc>
        <w:tc>
          <w:tcPr>
            <w:tcW w:type="dxa" w:w="1814"/>
            <w:shd w:fill="FFFFFF"/>
            <w:tcMar>
              <w:top w:w="80" w:type="dxa"/>
              <w:bottom w:w="80" w:type="dxa"/>
              <w:left w:w="100" w:type="dxa"/>
              <w:right w:w="100" w:type="dxa"/>
            </w:tcMar>
          </w:tcPr>
          <w:p>
            <w:pPr>
              <w:jc w:val="center"/>
            </w:pPr>
            <w:r>
              <w:rPr>
                <w:rFonts w:ascii="Times New Roman" w:hAnsi="Times New Roman"/>
                <w:sz w:val="21"/>
              </w:rPr>
              <w:t>25.000đ / lượt</w:t>
            </w:r>
          </w:p>
        </w:tc>
        <w:tc>
          <w:tcPr>
            <w:tcW w:type="dxa" w:w="1814"/>
            <w:shd w:fill="FFFFFF"/>
            <w:tcMar>
              <w:top w:w="80" w:type="dxa"/>
              <w:bottom w:w="80" w:type="dxa"/>
              <w:left w:w="100" w:type="dxa"/>
              <w:right w:w="100" w:type="dxa"/>
            </w:tcMar>
          </w:tcPr>
          <w:p>
            <w:pPr>
              <w:jc w:val="center"/>
            </w:pPr>
            <w:r>
              <w:rPr>
                <w:rFonts w:ascii="Times New Roman" w:hAnsi="Times New Roman"/>
                <w:sz w:val="21"/>
              </w:rPr>
              <w:t>25.000đ + 25.000đ = 50.000đ</w:t>
            </w:r>
          </w:p>
        </w:tc>
        <w:tc>
          <w:tcPr>
            <w:tcW w:type="dxa" w:w="1814"/>
            <w:shd w:fill="FFFFFF"/>
            <w:tcMar>
              <w:top w:w="80" w:type="dxa"/>
              <w:bottom w:w="80" w:type="dxa"/>
              <w:left w:w="100" w:type="dxa"/>
              <w:right w:w="100" w:type="dxa"/>
            </w:tcMar>
          </w:tcPr>
          <w:p>
            <w:pPr>
              <w:jc w:val="center"/>
            </w:pPr>
            <w:r>
              <w:rPr>
                <w:rFonts w:ascii="Times New Roman" w:hAnsi="Times New Roman"/>
                <w:sz w:val="21"/>
              </w:rPr>
              <w:t>+1.000đ / đơn (Hòa vốn)</w:t>
            </w:r>
          </w:p>
        </w:tc>
      </w:tr>
      <w:tr>
        <w:tc>
          <w:tcPr>
            <w:tcW w:type="dxa" w:w="1814"/>
            <w:shd w:fill="F9FBF9"/>
            <w:tcMar>
              <w:top w:w="80" w:type="dxa"/>
              <w:bottom w:w="80" w:type="dxa"/>
              <w:left w:w="100" w:type="dxa"/>
              <w:right w:w="100" w:type="dxa"/>
            </w:tcMar>
          </w:tcPr>
          <w:p>
            <w:pPr>
              <w:jc w:val="left"/>
            </w:pPr>
            <w:r>
              <w:rPr>
                <w:rFonts w:ascii="Times New Roman" w:hAnsi="Times New Roman"/>
                <w:sz w:val="21"/>
              </w:rPr>
              <w:t>Liên tỉnh cự ly xa</w:t>
            </w:r>
          </w:p>
        </w:tc>
        <w:tc>
          <w:tcPr>
            <w:tcW w:type="dxa" w:w="1814"/>
            <w:shd w:fill="F9FBF9"/>
            <w:tcMar>
              <w:top w:w="80" w:type="dxa"/>
              <w:bottom w:w="80" w:type="dxa"/>
              <w:left w:w="100" w:type="dxa"/>
              <w:right w:w="100" w:type="dxa"/>
            </w:tcMar>
          </w:tcPr>
          <w:p>
            <w:pPr>
              <w:jc w:val="center"/>
            </w:pPr>
            <w:r>
              <w:rPr>
                <w:rFonts w:ascii="Times New Roman" w:hAnsi="Times New Roman"/>
                <w:sz w:val="21"/>
              </w:rPr>
              <w:t>28.000đ / lượt</w:t>
            </w:r>
          </w:p>
        </w:tc>
        <w:tc>
          <w:tcPr>
            <w:tcW w:type="dxa" w:w="1814"/>
            <w:shd w:fill="F9FBF9"/>
            <w:tcMar>
              <w:top w:w="80" w:type="dxa"/>
              <w:bottom w:w="80" w:type="dxa"/>
              <w:left w:w="100" w:type="dxa"/>
              <w:right w:w="100" w:type="dxa"/>
            </w:tcMar>
          </w:tcPr>
          <w:p>
            <w:pPr>
              <w:jc w:val="center"/>
            </w:pPr>
            <w:r>
              <w:rPr>
                <w:rFonts w:ascii="Times New Roman" w:hAnsi="Times New Roman"/>
                <w:sz w:val="21"/>
              </w:rPr>
              <w:t>30.000đ / lượt (Phụ thu 5k)</w:t>
            </w:r>
          </w:p>
        </w:tc>
        <w:tc>
          <w:tcPr>
            <w:tcW w:type="dxa" w:w="1814"/>
            <w:shd w:fill="F9FBF9"/>
            <w:tcMar>
              <w:top w:w="80" w:type="dxa"/>
              <w:bottom w:w="80" w:type="dxa"/>
              <w:left w:w="100" w:type="dxa"/>
              <w:right w:w="100" w:type="dxa"/>
            </w:tcMar>
          </w:tcPr>
          <w:p>
            <w:pPr>
              <w:jc w:val="center"/>
            </w:pPr>
            <w:r>
              <w:rPr>
                <w:rFonts w:ascii="Times New Roman" w:hAnsi="Times New Roman"/>
                <w:sz w:val="21"/>
              </w:rPr>
              <w:t>30.000đ + 25.000đ = 55.000đ</w:t>
            </w:r>
          </w:p>
        </w:tc>
        <w:tc>
          <w:tcPr>
            <w:tcW w:type="dxa" w:w="1814"/>
            <w:shd w:fill="F9FBF9"/>
            <w:tcMar>
              <w:top w:w="80" w:type="dxa"/>
              <w:bottom w:w="80" w:type="dxa"/>
              <w:left w:w="100" w:type="dxa"/>
              <w:right w:w="100" w:type="dxa"/>
            </w:tcMar>
          </w:tcPr>
          <w:p>
            <w:pPr>
              <w:jc w:val="center"/>
            </w:pPr>
            <w:r>
              <w:rPr>
                <w:rFonts w:ascii="Times New Roman" w:hAnsi="Times New Roman"/>
                <w:sz w:val="21"/>
              </w:rPr>
              <w:t>-1.000đ (Quỹ bù đắp)</w:t>
            </w:r>
          </w:p>
        </w:tc>
      </w:tr>
    </w:tbl>
    <w:p>
      <w:pPr>
        <w:keepNext/>
        <w:spacing w:before="320" w:after="120"/>
      </w:pPr>
      <w:r>
        <w:rPr>
          <w:rFonts w:ascii="Times New Roman" w:hAnsi="Times New Roman"/>
          <w:b/>
          <w:color w:val="0F4A34"/>
          <w:sz w:val="28"/>
        </w:rPr>
        <w:t>III. MA TRẬN DÒNG TIỀN KÉT ESCROW &amp; BẢO TOÀN VỐN (ZERO-LEAKAGE)</w:t>
      </w:r>
    </w:p>
    <w:p>
      <w:pPr>
        <w:spacing w:after="80"/>
        <w:jc w:val="both"/>
      </w:pPr>
      <w:r>
        <w:rPr>
          <w:rFonts w:ascii="Times New Roman" w:hAnsi="Times New Roman"/>
          <w:sz w:val="25"/>
        </w:rPr>
        <w:t>Toàn bộ tài chính của CLOOP tuân thủ nguyên tắc Kế toán Kép (Double-Entry Bookkeeping). Két Escrow đóng vai trò như một Ngân hàng Ký quỹ Độc lập, kiểm soát chặt chẽ từng đồng luân chuyển.</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Giai đoạn giao dịch</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Ví Khách thuê</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Két Escrow CLOOP</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Ví Chủ tủ</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Tài khoản Bưu cục GHN</w:t>
            </w:r>
          </w:p>
        </w:tc>
      </w:tr>
      <w:tr>
        <w:tc>
          <w:tcPr>
            <w:tcW w:type="dxa" w:w="1814"/>
            <w:shd w:fill="FFFFFF"/>
            <w:tcMar>
              <w:top w:w="80" w:type="dxa"/>
              <w:bottom w:w="80" w:type="dxa"/>
              <w:left w:w="100" w:type="dxa"/>
              <w:right w:w="100" w:type="dxa"/>
            </w:tcMar>
          </w:tcPr>
          <w:p>
            <w:pPr>
              <w:jc w:val="left"/>
            </w:pPr>
            <w:r>
              <w:rPr>
                <w:rFonts w:ascii="Times New Roman" w:hAnsi="Times New Roman"/>
                <w:sz w:val="21"/>
              </w:rPr>
              <w:t>1. Khách thanh toán VietQR</w:t>
            </w:r>
          </w:p>
        </w:tc>
        <w:tc>
          <w:tcPr>
            <w:tcW w:type="dxa" w:w="1814"/>
            <w:shd w:fill="FFFFFF"/>
            <w:tcMar>
              <w:top w:w="80" w:type="dxa"/>
              <w:bottom w:w="80" w:type="dxa"/>
              <w:left w:w="100" w:type="dxa"/>
              <w:right w:w="100" w:type="dxa"/>
            </w:tcMar>
          </w:tcPr>
          <w:p>
            <w:pPr>
              <w:jc w:val="center"/>
            </w:pPr>
            <w:r>
              <w:rPr>
                <w:rFonts w:ascii="Times New Roman" w:hAnsi="Times New Roman"/>
                <w:sz w:val="21"/>
              </w:rPr>
              <w:t>-1.375.000đ</w:t>
            </w:r>
          </w:p>
        </w:tc>
        <w:tc>
          <w:tcPr>
            <w:tcW w:type="dxa" w:w="1814"/>
            <w:shd w:fill="FFFFFF"/>
            <w:tcMar>
              <w:top w:w="80" w:type="dxa"/>
              <w:bottom w:w="80" w:type="dxa"/>
              <w:left w:w="100" w:type="dxa"/>
              <w:right w:w="100" w:type="dxa"/>
            </w:tcMar>
          </w:tcPr>
          <w:p>
            <w:pPr>
              <w:jc w:val="left"/>
            </w:pPr>
            <w:r>
              <w:rPr>
                <w:rFonts w:ascii="Times New Roman" w:hAnsi="Times New Roman"/>
                <w:sz w:val="21"/>
              </w:rPr>
              <w:t>+1.375.000đ</w:t>
              <w:br/>
              <w:t>(Thuê 350k + Cọc 1.000k + Ship 25k)</w:t>
            </w:r>
          </w:p>
        </w:tc>
        <w:tc>
          <w:tcPr>
            <w:tcW w:type="dxa" w:w="1814"/>
            <w:shd w:fill="FFFFFF"/>
            <w:tcMar>
              <w:top w:w="80" w:type="dxa"/>
              <w:bottom w:w="80" w:type="dxa"/>
              <w:left w:w="100" w:type="dxa"/>
              <w:right w:w="100" w:type="dxa"/>
            </w:tcMar>
          </w:tcPr>
          <w:p>
            <w:pPr>
              <w:jc w:val="left"/>
            </w:pPr>
            <w:r>
              <w:rPr>
                <w:rFonts w:ascii="Times New Roman" w:hAnsi="Times New Roman"/>
                <w:sz w:val="21"/>
              </w:rPr>
              <w:t>0đ</w:t>
            </w:r>
          </w:p>
        </w:tc>
        <w:tc>
          <w:tcPr>
            <w:tcW w:type="dxa" w:w="1814"/>
            <w:shd w:fill="FFFFFF"/>
            <w:tcMar>
              <w:top w:w="80" w:type="dxa"/>
              <w:bottom w:w="80" w:type="dxa"/>
              <w:left w:w="100" w:type="dxa"/>
              <w:right w:w="100" w:type="dxa"/>
            </w:tcMar>
          </w:tcPr>
          <w:p>
            <w:pPr>
              <w:jc w:val="center"/>
            </w:pPr>
            <w:r>
              <w:rPr>
                <w:rFonts w:ascii="Times New Roman" w:hAnsi="Times New Roman"/>
                <w:sz w:val="21"/>
              </w:rPr>
              <w:t>0đ</w:t>
            </w:r>
          </w:p>
        </w:tc>
      </w:tr>
      <w:tr>
        <w:tc>
          <w:tcPr>
            <w:tcW w:type="dxa" w:w="1814"/>
            <w:shd w:fill="F9FBF9"/>
            <w:tcMar>
              <w:top w:w="80" w:type="dxa"/>
              <w:bottom w:w="80" w:type="dxa"/>
              <w:left w:w="100" w:type="dxa"/>
              <w:right w:w="100" w:type="dxa"/>
            </w:tcMar>
          </w:tcPr>
          <w:p>
            <w:pPr>
              <w:jc w:val="left"/>
            </w:pPr>
            <w:r>
              <w:rPr>
                <w:rFonts w:ascii="Times New Roman" w:hAnsi="Times New Roman"/>
                <w:sz w:val="21"/>
              </w:rPr>
              <w:t>2. Bưu tá giao đồ (Lượt đi)</w:t>
            </w:r>
          </w:p>
        </w:tc>
        <w:tc>
          <w:tcPr>
            <w:tcW w:type="dxa" w:w="1814"/>
            <w:shd w:fill="F9FBF9"/>
            <w:tcMar>
              <w:top w:w="80" w:type="dxa"/>
              <w:bottom w:w="80" w:type="dxa"/>
              <w:left w:w="100" w:type="dxa"/>
              <w:right w:w="100" w:type="dxa"/>
            </w:tcMar>
          </w:tcPr>
          <w:p>
            <w:pPr>
              <w:jc w:val="center"/>
            </w:pPr>
            <w:r>
              <w:rPr>
                <w:rFonts w:ascii="Times New Roman" w:hAnsi="Times New Roman"/>
                <w:sz w:val="21"/>
              </w:rPr>
              <w:t>0đ</w:t>
            </w:r>
          </w:p>
        </w:tc>
        <w:tc>
          <w:tcPr>
            <w:tcW w:type="dxa" w:w="1814"/>
            <w:shd w:fill="F9FBF9"/>
            <w:tcMar>
              <w:top w:w="80" w:type="dxa"/>
              <w:bottom w:w="80" w:type="dxa"/>
              <w:left w:w="100" w:type="dxa"/>
              <w:right w:w="100" w:type="dxa"/>
            </w:tcMar>
          </w:tcPr>
          <w:p>
            <w:pPr>
              <w:jc w:val="left"/>
            </w:pPr>
            <w:r>
              <w:rPr>
                <w:rFonts w:ascii="Times New Roman" w:hAnsi="Times New Roman"/>
                <w:sz w:val="21"/>
              </w:rPr>
              <w:t>-21.000đ (Trích trả ship)</w:t>
            </w:r>
          </w:p>
        </w:tc>
        <w:tc>
          <w:tcPr>
            <w:tcW w:type="dxa" w:w="1814"/>
            <w:shd w:fill="F9FBF9"/>
            <w:tcMar>
              <w:top w:w="80" w:type="dxa"/>
              <w:bottom w:w="80" w:type="dxa"/>
              <w:left w:w="100" w:type="dxa"/>
              <w:right w:w="100" w:type="dxa"/>
            </w:tcMar>
          </w:tcPr>
          <w:p>
            <w:pPr>
              <w:jc w:val="left"/>
            </w:pPr>
            <w:r>
              <w:rPr>
                <w:rFonts w:ascii="Times New Roman" w:hAnsi="Times New Roman"/>
                <w:sz w:val="21"/>
              </w:rPr>
              <w:t>0đ</w:t>
            </w:r>
          </w:p>
        </w:tc>
        <w:tc>
          <w:tcPr>
            <w:tcW w:type="dxa" w:w="1814"/>
            <w:shd w:fill="F9FBF9"/>
            <w:tcMar>
              <w:top w:w="80" w:type="dxa"/>
              <w:bottom w:w="80" w:type="dxa"/>
              <w:left w:w="100" w:type="dxa"/>
              <w:right w:w="100" w:type="dxa"/>
            </w:tcMar>
          </w:tcPr>
          <w:p>
            <w:pPr>
              <w:jc w:val="center"/>
            </w:pPr>
            <w:r>
              <w:rPr>
                <w:rFonts w:ascii="Times New Roman" w:hAnsi="Times New Roman"/>
                <w:sz w:val="21"/>
              </w:rPr>
              <w:t>+21.000đ</w:t>
            </w:r>
          </w:p>
        </w:tc>
      </w:tr>
      <w:tr>
        <w:tc>
          <w:tcPr>
            <w:tcW w:type="dxa" w:w="1814"/>
            <w:shd w:fill="FFFFFF"/>
            <w:tcMar>
              <w:top w:w="80" w:type="dxa"/>
              <w:bottom w:w="80" w:type="dxa"/>
              <w:left w:w="100" w:type="dxa"/>
              <w:right w:w="100" w:type="dxa"/>
            </w:tcMar>
          </w:tcPr>
          <w:p>
            <w:pPr>
              <w:jc w:val="left"/>
            </w:pPr>
            <w:r>
              <w:rPr>
                <w:rFonts w:ascii="Times New Roman" w:hAnsi="Times New Roman"/>
                <w:sz w:val="21"/>
              </w:rPr>
              <w:t>3. Thu hồi đồ (Lượt về Pre-paid)</w:t>
            </w:r>
          </w:p>
        </w:tc>
        <w:tc>
          <w:tcPr>
            <w:tcW w:type="dxa" w:w="1814"/>
            <w:shd w:fill="FFFFFF"/>
            <w:tcMar>
              <w:top w:w="80" w:type="dxa"/>
              <w:bottom w:w="80" w:type="dxa"/>
              <w:left w:w="100" w:type="dxa"/>
              <w:right w:w="100" w:type="dxa"/>
            </w:tcMar>
          </w:tcPr>
          <w:p>
            <w:pPr>
              <w:jc w:val="center"/>
            </w:pPr>
            <w:r>
              <w:rPr>
                <w:rFonts w:ascii="Times New Roman" w:hAnsi="Times New Roman"/>
                <w:sz w:val="21"/>
              </w:rPr>
              <w:t>0đ</w:t>
            </w:r>
          </w:p>
        </w:tc>
        <w:tc>
          <w:tcPr>
            <w:tcW w:type="dxa" w:w="1814"/>
            <w:shd w:fill="FFFFFF"/>
            <w:tcMar>
              <w:top w:w="80" w:type="dxa"/>
              <w:bottom w:w="80" w:type="dxa"/>
              <w:left w:w="100" w:type="dxa"/>
              <w:right w:w="100" w:type="dxa"/>
            </w:tcMar>
          </w:tcPr>
          <w:p>
            <w:pPr>
              <w:jc w:val="left"/>
            </w:pPr>
            <w:r>
              <w:rPr>
                <w:rFonts w:ascii="Times New Roman" w:hAnsi="Times New Roman"/>
                <w:sz w:val="21"/>
              </w:rPr>
              <w:t>-21.000đ (Trích trả ship)</w:t>
            </w:r>
          </w:p>
        </w:tc>
        <w:tc>
          <w:tcPr>
            <w:tcW w:type="dxa" w:w="1814"/>
            <w:shd w:fill="FFFFFF"/>
            <w:tcMar>
              <w:top w:w="80" w:type="dxa"/>
              <w:bottom w:w="80" w:type="dxa"/>
              <w:left w:w="100" w:type="dxa"/>
              <w:right w:w="100" w:type="dxa"/>
            </w:tcMar>
          </w:tcPr>
          <w:p>
            <w:pPr>
              <w:jc w:val="left"/>
            </w:pPr>
            <w:r>
              <w:rPr>
                <w:rFonts w:ascii="Times New Roman" w:hAnsi="Times New Roman"/>
                <w:sz w:val="21"/>
              </w:rPr>
              <w:t>0đ</w:t>
            </w:r>
          </w:p>
        </w:tc>
        <w:tc>
          <w:tcPr>
            <w:tcW w:type="dxa" w:w="1814"/>
            <w:shd w:fill="FFFFFF"/>
            <w:tcMar>
              <w:top w:w="80" w:type="dxa"/>
              <w:bottom w:w="80" w:type="dxa"/>
              <w:left w:w="100" w:type="dxa"/>
              <w:right w:w="100" w:type="dxa"/>
            </w:tcMar>
          </w:tcPr>
          <w:p>
            <w:pPr>
              <w:jc w:val="center"/>
            </w:pPr>
            <w:r>
              <w:rPr>
                <w:rFonts w:ascii="Times New Roman" w:hAnsi="Times New Roman"/>
                <w:sz w:val="21"/>
              </w:rPr>
              <w:t>+21.000đ</w:t>
            </w:r>
          </w:p>
        </w:tc>
      </w:tr>
      <w:tr>
        <w:tc>
          <w:tcPr>
            <w:tcW w:type="dxa" w:w="1814"/>
            <w:shd w:fill="F9FBF9"/>
            <w:tcMar>
              <w:top w:w="80" w:type="dxa"/>
              <w:bottom w:w="80" w:type="dxa"/>
              <w:left w:w="100" w:type="dxa"/>
              <w:right w:w="100" w:type="dxa"/>
            </w:tcMar>
          </w:tcPr>
          <w:p>
            <w:pPr>
              <w:jc w:val="left"/>
            </w:pPr>
            <w:r>
              <w:rPr>
                <w:rFonts w:ascii="Times New Roman" w:hAnsi="Times New Roman"/>
                <w:sz w:val="21"/>
              </w:rPr>
              <w:t>4. Nghiệm thu Chuẩn (Phí 12%)</w:t>
            </w:r>
          </w:p>
        </w:tc>
        <w:tc>
          <w:tcPr>
            <w:tcW w:type="dxa" w:w="1814"/>
            <w:shd w:fill="F9FBF9"/>
            <w:tcMar>
              <w:top w:w="80" w:type="dxa"/>
              <w:bottom w:w="80" w:type="dxa"/>
              <w:left w:w="100" w:type="dxa"/>
              <w:right w:w="100" w:type="dxa"/>
            </w:tcMar>
          </w:tcPr>
          <w:p>
            <w:pPr>
              <w:jc w:val="center"/>
            </w:pPr>
            <w:r>
              <w:rPr>
                <w:rFonts w:ascii="Times New Roman" w:hAnsi="Times New Roman"/>
                <w:sz w:val="21"/>
              </w:rPr>
              <w:t>+1.000.000đ</w:t>
              <w:br/>
              <w:t>(Hoàn 100% cọc)</w:t>
            </w:r>
          </w:p>
        </w:tc>
        <w:tc>
          <w:tcPr>
            <w:tcW w:type="dxa" w:w="1814"/>
            <w:shd w:fill="F9FBF9"/>
            <w:tcMar>
              <w:top w:w="80" w:type="dxa"/>
              <w:bottom w:w="80" w:type="dxa"/>
              <w:left w:w="100" w:type="dxa"/>
              <w:right w:w="100" w:type="dxa"/>
            </w:tcMar>
          </w:tcPr>
          <w:p>
            <w:pPr>
              <w:jc w:val="left"/>
            </w:pPr>
            <w:r>
              <w:rPr>
                <w:rFonts w:ascii="Times New Roman" w:hAnsi="Times New Roman"/>
                <w:sz w:val="21"/>
              </w:rPr>
              <w:t>-1.000.000đ (Nhả cọc)</w:t>
              <w:br/>
              <w:t>-283.000đ (Payout chủ tủ)</w:t>
              <w:br/>
              <w:t>+42.000đ (Phí sàn CLOOP)</w:t>
              <w:br/>
              <w:t>+8.000đ (Quỹ phòng vệ)</w:t>
            </w:r>
          </w:p>
        </w:tc>
        <w:tc>
          <w:tcPr>
            <w:tcW w:type="dxa" w:w="1814"/>
            <w:shd w:fill="F9FBF9"/>
            <w:tcMar>
              <w:top w:w="80" w:type="dxa"/>
              <w:bottom w:w="80" w:type="dxa"/>
              <w:left w:w="100" w:type="dxa"/>
              <w:right w:w="100" w:type="dxa"/>
            </w:tcMar>
          </w:tcPr>
          <w:p>
            <w:pPr>
              <w:jc w:val="left"/>
            </w:pPr>
            <w:r>
              <w:rPr>
                <w:rFonts w:ascii="Times New Roman" w:hAnsi="Times New Roman"/>
                <w:sz w:val="21"/>
              </w:rPr>
              <w:t>+283.000đ</w:t>
              <w:br/>
              <w:t>(350k - 42k sàn - 25k ship về)</w:t>
            </w:r>
          </w:p>
        </w:tc>
        <w:tc>
          <w:tcPr>
            <w:tcW w:type="dxa" w:w="1814"/>
            <w:shd w:fill="F9FBF9"/>
            <w:tcMar>
              <w:top w:w="80" w:type="dxa"/>
              <w:bottom w:w="80" w:type="dxa"/>
              <w:left w:w="100" w:type="dxa"/>
              <w:right w:w="100" w:type="dxa"/>
            </w:tcMar>
          </w:tcPr>
          <w:p>
            <w:pPr>
              <w:jc w:val="center"/>
            </w:pPr>
            <w:r>
              <w:rPr>
                <w:rFonts w:ascii="Times New Roman" w:hAnsi="Times New Roman"/>
                <w:sz w:val="21"/>
              </w:rPr>
              <w:t>0đ</w:t>
            </w:r>
          </w:p>
        </w:tc>
      </w:tr>
      <w:tr>
        <w:tc>
          <w:tcPr>
            <w:tcW w:type="dxa" w:w="1814"/>
            <w:shd w:fill="FFFFFF"/>
            <w:tcMar>
              <w:top w:w="80" w:type="dxa"/>
              <w:bottom w:w="80" w:type="dxa"/>
              <w:left w:w="100" w:type="dxa"/>
              <w:right w:w="100" w:type="dxa"/>
            </w:tcMar>
          </w:tcPr>
          <w:p>
            <w:pPr>
              <w:jc w:val="left"/>
            </w:pPr>
            <w:r>
              <w:rPr>
                <w:rFonts w:ascii="Times New Roman" w:hAnsi="Times New Roman"/>
                <w:sz w:val="21"/>
              </w:rPr>
              <w:t>4b. Nghiệm thu Founding 100</w:t>
            </w:r>
          </w:p>
        </w:tc>
        <w:tc>
          <w:tcPr>
            <w:tcW w:type="dxa" w:w="1814"/>
            <w:shd w:fill="FFFFFF"/>
            <w:tcMar>
              <w:top w:w="80" w:type="dxa"/>
              <w:bottom w:w="80" w:type="dxa"/>
              <w:left w:w="100" w:type="dxa"/>
              <w:right w:w="100" w:type="dxa"/>
            </w:tcMar>
          </w:tcPr>
          <w:p>
            <w:pPr>
              <w:jc w:val="center"/>
            </w:pPr>
            <w:r>
              <w:rPr>
                <w:rFonts w:ascii="Times New Roman" w:hAnsi="Times New Roman"/>
                <w:sz w:val="21"/>
              </w:rPr>
              <w:t>+1.000.000đ</w:t>
              <w:br/>
              <w:t>(Hoàn 100% cọc)</w:t>
            </w:r>
          </w:p>
        </w:tc>
        <w:tc>
          <w:tcPr>
            <w:tcW w:type="dxa" w:w="1814"/>
            <w:shd w:fill="FFFFFF"/>
            <w:tcMar>
              <w:top w:w="80" w:type="dxa"/>
              <w:bottom w:w="80" w:type="dxa"/>
              <w:left w:w="100" w:type="dxa"/>
              <w:right w:w="100" w:type="dxa"/>
            </w:tcMar>
          </w:tcPr>
          <w:p>
            <w:pPr>
              <w:jc w:val="left"/>
            </w:pPr>
            <w:r>
              <w:rPr>
                <w:rFonts w:ascii="Times New Roman" w:hAnsi="Times New Roman"/>
                <w:sz w:val="21"/>
              </w:rPr>
              <w:t>-1.000.000đ (Nhả cọc)</w:t>
              <w:br/>
              <w:t>-325.000đ (Payout chủ tủ)</w:t>
              <w:br/>
              <w:t>+0đ (Phí sàn 0%)</w:t>
              <w:br/>
              <w:t>+8.000đ (Quỹ phòng vệ)</w:t>
            </w:r>
          </w:p>
        </w:tc>
        <w:tc>
          <w:tcPr>
            <w:tcW w:type="dxa" w:w="1814"/>
            <w:shd w:fill="FFFFFF"/>
            <w:tcMar>
              <w:top w:w="80" w:type="dxa"/>
              <w:bottom w:w="80" w:type="dxa"/>
              <w:left w:w="100" w:type="dxa"/>
              <w:right w:w="100" w:type="dxa"/>
            </w:tcMar>
          </w:tcPr>
          <w:p>
            <w:pPr>
              <w:jc w:val="left"/>
            </w:pPr>
            <w:r>
              <w:rPr>
                <w:rFonts w:ascii="Times New Roman" w:hAnsi="Times New Roman"/>
                <w:sz w:val="21"/>
              </w:rPr>
              <w:t>+325.000đ</w:t>
              <w:br/>
              <w:t>(350k - 0đ sàn - 25k ship về)</w:t>
            </w:r>
          </w:p>
        </w:tc>
        <w:tc>
          <w:tcPr>
            <w:tcW w:type="dxa" w:w="1814"/>
            <w:shd w:fill="FFFFFF"/>
            <w:tcMar>
              <w:top w:w="80" w:type="dxa"/>
              <w:bottom w:w="80" w:type="dxa"/>
              <w:left w:w="100" w:type="dxa"/>
              <w:right w:w="100" w:type="dxa"/>
            </w:tcMar>
          </w:tcPr>
          <w:p>
            <w:pPr>
              <w:jc w:val="center"/>
            </w:pPr>
            <w:r>
              <w:rPr>
                <w:rFonts w:ascii="Times New Roman" w:hAnsi="Times New Roman"/>
                <w:sz w:val="21"/>
              </w:rPr>
              <w:t>0đ</w:t>
            </w:r>
          </w:p>
        </w:tc>
      </w:tr>
    </w:tbl>
    <w:p>
      <w:pPr>
        <w:keepNext/>
        <w:spacing w:before="200" w:after="80"/>
      </w:pPr>
      <w:r>
        <w:rPr>
          <w:rFonts w:ascii="Times New Roman" w:hAnsi="Times New Roman"/>
          <w:b/>
          <w:color w:val="183A2D"/>
          <w:sz w:val="26"/>
        </w:rPr>
        <w:t>Phân Tích Cơ Chế Khóa Tiền &amp; Giải Ngân Sau Nghiệm Thu 24H</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Khi khách trả hàng, Chủ tủ có thời hạn 24 giờ để kiểm tra tình trạng váy/áo. Nếu đồ nguyên vẹn hoặc quá 24 giờ mà chủ tủ không phản hồi, hệ thống kích hoạt Server Action tự động: Hoàn trả 100% tiền cọc về tài khoản khách thuê, giải ngân tiền thuê về ví chủ tủ và ghi nhận doanh thu phí sàn vào tài khoản CLOOP.</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Bảo vệ người thuê khỏi hành vi cố tình chây ì không trả cọc của chủ tủ; đồng thời cho chủ tủ đủ thời gian kiểm tra kỹ lưỡng các lỗi rách/bẩn tiềm ẩn dưới ánh sáng tự nhiên trước khi tiền cọc được nhả ra.</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Tính kỷ luật tài chính tuyệt đối: Loại trừ hoàn toàn tình trạng thất thoát dòng tiền (Zero-Leakage); dòng tiền của các bên tách bạch độc lập trên sổ cái kế toán.</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Thời gian giữ tiền 24H - 48H có thể khiến các chủ tủ cá nhân cảm thấy sốt ruột và so sánh với mô hình giao dịch tiền mặt trực tiếp.</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1. Tính năng Instant Payout (Giải ngân siêu tốc): Cho phép các Chủ tủ đạt hạng Platinum/Diamond (điểm đánh giá trên 4.9 và trên 50 đơn hoàn tất) nhận tiền ngay trong 60 giây sau khi bưu tá xác nhận nhận hàng, chịu mức phí bảo lãnh 1.5%.</w:t>
        <w:br/>
        <w:t>2. Ví Tín Dụng Nội Bộ CLOOP Credit: Số dư có thể được chuyển ngay thành điểm tín dụng trên sàn với tỷ lệ tặng thêm 5% để chủ tủ tiếp tục thuê các trang phục khác trên hệ thống.</w:t>
      </w:r>
    </w:p>
    <w:p>
      <w:pPr>
        <w:keepNext/>
        <w:spacing w:before="320" w:after="120"/>
      </w:pPr>
      <w:r>
        <w:rPr>
          <w:rFonts w:ascii="Times New Roman" w:hAnsi="Times New Roman"/>
          <w:b/>
          <w:color w:val="0F4A34"/>
          <w:sz w:val="28"/>
        </w:rPr>
        <w:t>IV. CƠ CHẾ XỬ LÝ 3 TRƯỜNG HỢP BIÊN (EDGE CASES)</w:t>
      </w:r>
    </w:p>
    <w:p>
      <w:pPr>
        <w:spacing w:after="80"/>
        <w:jc w:val="both"/>
      </w:pPr>
      <w:r>
        <w:rPr>
          <w:rFonts w:ascii="Times New Roman" w:hAnsi="Times New Roman"/>
          <w:sz w:val="25"/>
        </w:rPr>
        <w:t>Hệ thống vận hành được thiết kế với các quy tắc rẽ nhánh tự động (Decision Tree) để bao quát 100% các tình huống biên phát sinh trong thực tế:</w:t>
      </w:r>
    </w:p>
    <w:p>
      <w:pPr>
        <w:keepNext/>
        <w:spacing w:before="200" w:after="80"/>
      </w:pPr>
      <w:r>
        <w:rPr>
          <w:rFonts w:ascii="Times New Roman" w:hAnsi="Times New Roman"/>
          <w:b/>
          <w:color w:val="183A2D"/>
          <w:sz w:val="26"/>
        </w:rPr>
        <w:t>1. Trường Hợp Khách Hủy Đơn Trước Khi Bàn Giao Bưu Tá GHN</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Nếu khách hủy đơn khi trạng thái vẫn là Chờ xác nhận hoặc Đang chuẩn bị (chưa bàn giao cho bưu tá GHN), hệ thống lập tức kích hoạt lệnh hoàn tiền 100% (Tiền thuê + Cọc + 25.000đ cước ship lượt đi) về tài khoản của khách.</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Khách hàng hoàn toàn yên tâm khi đặt đơn, giảm bớt tâm lý ngập ngừng sợ mất tiền nếu lịch trình cá nhân đột xuất thay đổi.</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Thực hiện hoàn tiền tự động 1-Click thông qua API ngân hàng, không giữ phí phạt vô lý, tạo ấn tượng thương hiệu tận tâm và uy tín.</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Chủ tủ có thể đã dành thời gian là ủi trang phục, đóng gói hộp cẩn thận nhưng bị hủy đơn phút chót.</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Áp dụng chính sách hủy đơn linh hoạt (Flexible Cancellation Policy): Cho phép hủy miễn phí trong vòng 2 giờ đầu sau khi đặt. Sau 2 giờ, nếu chủ tủ đã bấm 'Đã đóng gói', khách hủy đơn sẽ bị khấu trừ 10% tiền thuê để bồi thường công chuẩn bị cho chủ tủ.</w:t>
      </w:r>
    </w:p>
    <w:p>
      <w:pPr>
        <w:keepNext/>
        <w:spacing w:before="200" w:after="80"/>
      </w:pPr>
      <w:r>
        <w:rPr>
          <w:rFonts w:ascii="Times New Roman" w:hAnsi="Times New Roman"/>
          <w:b/>
          <w:color w:val="183A2D"/>
          <w:sz w:val="26"/>
        </w:rPr>
        <w:t>2. Trường Hợp Khách Hủy Đơn Khi Bưu Tá Đã Tiếp Nhận Kiện Hàng</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Nếu khách đơn phương từ chối nhận hàng khi bưu tá GHN đã lấy kiện đồ và đang giao, hệ thống sẽ trích 25.000đ cước ship đi để trả cho bưu tá, đồng thời trích thêm 25.000đ từ tiền cọc của khách để chi trả cước bưu tá chuyển hoàn về tủ đồ của chủ tủ. Số tiền thuê và phần cọc còn lại được hoàn trả cho khách.</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Chủ tủ hoàn toàn không bị thiệt hại tài chính; sàn không phải bỏ tiền túi bù lỗ chi phí vận chuyển 2 chiều cho hành vi bốc đồng của khách.</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Quy định phân xử công bằng, rành mạch dựa trên mốc thời gian thực của mã vận đơn GHN.</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Khách hàng bị trừ 50.000đ có thể phát sinh tâm lý tiêu cực và phản ánh lên tổng đài hỗ trợ.</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Tích hợp tin nhắn cảnh báo tự động qua Zalo ZNS / SMS trước khi bưu tá đến lấy hàng 1 giờ, kèm nút xác nhận 'Tôi chắc chắn nhận đồ' để giảm tỷ lệ từ chối nhận hàng (Boom hàng) xuống dưới 1%.</w:t>
      </w:r>
    </w:p>
    <w:p>
      <w:pPr>
        <w:keepNext/>
        <w:spacing w:before="200" w:after="80"/>
      </w:pPr>
      <w:r>
        <w:rPr>
          <w:rFonts w:ascii="Times New Roman" w:hAnsi="Times New Roman"/>
          <w:b/>
          <w:color w:val="183A2D"/>
          <w:sz w:val="26"/>
        </w:rPr>
        <w:t>3. Tranh Chấp Hư Hỏng / Sai Mẫu &amp; Quy Trình Video Niêm Phong - Mở Hộp</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Bắt buộc Chủ tủ quay video/chụp ảnh tình trạng vải và tem niêm phong lúc đóng gói; nhắc nhở Khách thuê quay video mở hộp unboxing. Khi có khiếu nại, toàn bộ tiền cọc bị khóa trong Két Escrow và kích hoạt Hội đồng Trọng tài 3 bên (Khách - Chủ tủ - Admin CLOOP) phân xử dựa trên dữ liệu video trên kho 10TB.</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Có bằng chứng khách quan, không thể chối cãi để phân định lỗi thuộc về khâu nào (chủ tủ gửi đồ cũ rách, khách làm bẩn trong lúc mặc tiệc, hay bưu tá làm rách hộp trong lúc vận chuyển).</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Bảo vệ 100% giá trị tài sản trang phục cao cấp; triệt tiêu hoàn toàn tình trạng vu khống hoặc gian lận đền cọc.</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Khách hàng có thể cảm thấy phiền phức khi phải quay video mở hộp; phát sinh thời gian nhân sự vận hành kiểm duyệt video đối soát.</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1. Gói Bảo Hiểm Vi Mô 'CLOOP Care' (10.000đ/đơn): Bảo hiểm chi trả 100% chi phí giặt hấp hoặc xử lý các vết bẩn thông thường (vết rượu vang, cà phê, son môi) mà không cần giữ cọc hay tranh chấp.</w:t>
        <w:br/>
        <w:t>2. Ứng dụng AI Computer Vision: Tự động so khớp video/ảnh trước khi gửi và sau khi nhận để tự động phát hiện vết xước rách mà không cần nhân sự xem thủ công.</w:t>
      </w:r>
    </w:p>
    <w:p>
      <w:pPr>
        <w:keepNext/>
        <w:spacing w:before="320" w:after="120"/>
      </w:pPr>
      <w:r>
        <w:rPr>
          <w:rFonts w:ascii="Times New Roman" w:hAnsi="Times New Roman"/>
          <w:b/>
          <w:color w:val="0F4A34"/>
          <w:sz w:val="28"/>
        </w:rPr>
        <w:t>V. MÔ HÌNH KINH TẾ 'FOUNDING 100' &amp; LỘ TRÌNH THƯƠNG MẠI HÓA</w:t>
      </w:r>
    </w:p>
    <w:p>
      <w:pPr>
        <w:spacing w:after="80"/>
        <w:jc w:val="both"/>
      </w:pPr>
      <w:r>
        <w:rPr>
          <w:rFonts w:ascii="Times New Roman" w:hAnsi="Times New Roman"/>
          <w:sz w:val="25"/>
        </w:rPr>
        <w:t>Nhằm phá vỡ nghịch lý 'Con gà - Quả trứng' (Cần người thuê thì phải có nhiều đồ đẹp, muốn có nhiều đồ đẹp thì phải có đông người thuê), CLOOP triển khai chiến lược kinh tế học nền tảng qua 3 giai đoạn:</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3024"/>
        <w:gridCol w:w="3024"/>
        <w:gridCol w:w="3024"/>
      </w:tblGrid>
      <w:tr>
        <w:tc>
          <w:tcPr>
            <w:tcW w:type="dxa" w:w="3024"/>
            <w:shd w:fill="E6F4EA"/>
            <w:tcMar>
              <w:top w:w="120" w:type="dxa"/>
              <w:bottom w:w="120" w:type="dxa"/>
              <w:left w:w="140" w:type="dxa"/>
              <w:right w:w="140" w:type="dxa"/>
            </w:tcMar>
          </w:tcPr>
          <w:p>
            <w:pPr>
              <w:jc w:val="center"/>
            </w:pPr>
            <w:r>
              <w:rPr>
                <w:rFonts w:ascii="Times New Roman" w:hAnsi="Times New Roman"/>
                <w:b/>
                <w:color w:val="0A2517"/>
                <w:sz w:val="22"/>
              </w:rPr>
              <w:t>Chỉ số kinh tế / Quyền lợi</w:t>
            </w:r>
          </w:p>
        </w:tc>
        <w:tc>
          <w:tcPr>
            <w:tcW w:type="dxa" w:w="3024"/>
            <w:shd w:fill="E6F4EA"/>
            <w:tcMar>
              <w:top w:w="120" w:type="dxa"/>
              <w:bottom w:w="120" w:type="dxa"/>
              <w:left w:w="140" w:type="dxa"/>
              <w:right w:w="140" w:type="dxa"/>
            </w:tcMar>
          </w:tcPr>
          <w:p>
            <w:pPr>
              <w:jc w:val="center"/>
            </w:pPr>
            <w:r>
              <w:rPr>
                <w:rFonts w:ascii="Times New Roman" w:hAnsi="Times New Roman"/>
                <w:b/>
                <w:color w:val="0A2517"/>
                <w:sz w:val="22"/>
              </w:rPr>
              <w:t>Chủ tủ Tiêu chuẩn (Standard Closet)</w:t>
            </w:r>
          </w:p>
        </w:tc>
        <w:tc>
          <w:tcPr>
            <w:tcW w:type="dxa" w:w="3024"/>
            <w:shd w:fill="E6F4EA"/>
            <w:tcMar>
              <w:top w:w="120" w:type="dxa"/>
              <w:bottom w:w="120" w:type="dxa"/>
              <w:left w:w="140" w:type="dxa"/>
              <w:right w:w="140" w:type="dxa"/>
            </w:tcMar>
          </w:tcPr>
          <w:p>
            <w:pPr>
              <w:jc w:val="center"/>
            </w:pPr>
            <w:r>
              <w:rPr>
                <w:rFonts w:ascii="Times New Roman" w:hAnsi="Times New Roman"/>
                <w:b/>
                <w:color w:val="0A2517"/>
                <w:sz w:val="22"/>
              </w:rPr>
              <w:t>Thành viên Founding 100 (VIP Partner)</w:t>
            </w:r>
          </w:p>
        </w:tc>
      </w:tr>
      <w:tr>
        <w:tc>
          <w:tcPr>
            <w:tcW w:type="dxa" w:w="3024"/>
            <w:shd w:fill="FFFFFF"/>
            <w:tcMar>
              <w:top w:w="80" w:type="dxa"/>
              <w:bottom w:w="80" w:type="dxa"/>
              <w:left w:w="140" w:type="dxa"/>
              <w:right w:w="140" w:type="dxa"/>
            </w:tcMar>
          </w:tcPr>
          <w:p>
            <w:pPr>
              <w:jc w:val="left"/>
            </w:pPr>
            <w:r>
              <w:rPr>
                <w:rFonts w:ascii="Times New Roman" w:hAnsi="Times New Roman"/>
                <w:sz w:val="22"/>
              </w:rPr>
              <w:t>Phí hoa hồng sàn (Platform Fee)</w:t>
            </w:r>
          </w:p>
        </w:tc>
        <w:tc>
          <w:tcPr>
            <w:tcW w:type="dxa" w:w="3024"/>
            <w:shd w:fill="FFFFFF"/>
            <w:tcMar>
              <w:top w:w="80" w:type="dxa"/>
              <w:bottom w:w="80" w:type="dxa"/>
              <w:left w:w="140" w:type="dxa"/>
              <w:right w:w="140" w:type="dxa"/>
            </w:tcMar>
          </w:tcPr>
          <w:p>
            <w:pPr>
              <w:jc w:val="center"/>
            </w:pPr>
            <w:r>
              <w:rPr>
                <w:rFonts w:ascii="Times New Roman" w:hAnsi="Times New Roman"/>
                <w:sz w:val="22"/>
              </w:rPr>
              <w:t>12% trên giá trị mỗi lượt thuê</w:t>
            </w:r>
          </w:p>
        </w:tc>
        <w:tc>
          <w:tcPr>
            <w:tcW w:type="dxa" w:w="3024"/>
            <w:shd w:fill="FFFFFF"/>
            <w:tcMar>
              <w:top w:w="80" w:type="dxa"/>
              <w:bottom w:w="80" w:type="dxa"/>
              <w:left w:w="140" w:type="dxa"/>
              <w:right w:w="140" w:type="dxa"/>
            </w:tcMar>
          </w:tcPr>
          <w:p>
            <w:pPr>
              <w:jc w:val="center"/>
            </w:pPr>
            <w:r>
              <w:rPr>
                <w:rFonts w:ascii="Times New Roman" w:hAnsi="Times New Roman"/>
                <w:sz w:val="22"/>
              </w:rPr>
              <w:t>0% trọn đời (Miễn phí hoàn toàn)</w:t>
            </w:r>
          </w:p>
        </w:tc>
      </w:tr>
      <w:tr>
        <w:tc>
          <w:tcPr>
            <w:tcW w:type="dxa" w:w="3024"/>
            <w:shd w:fill="F9FBF9"/>
            <w:tcMar>
              <w:top w:w="80" w:type="dxa"/>
              <w:bottom w:w="80" w:type="dxa"/>
              <w:left w:w="140" w:type="dxa"/>
              <w:right w:w="140" w:type="dxa"/>
            </w:tcMar>
          </w:tcPr>
          <w:p>
            <w:pPr>
              <w:jc w:val="left"/>
            </w:pPr>
            <w:r>
              <w:rPr>
                <w:rFonts w:ascii="Times New Roman" w:hAnsi="Times New Roman"/>
                <w:sz w:val="22"/>
              </w:rPr>
              <w:t>Chiết khấu trên đơn 350.000đ</w:t>
            </w:r>
          </w:p>
        </w:tc>
        <w:tc>
          <w:tcPr>
            <w:tcW w:type="dxa" w:w="3024"/>
            <w:shd w:fill="F9FBF9"/>
            <w:tcMar>
              <w:top w:w="80" w:type="dxa"/>
              <w:bottom w:w="80" w:type="dxa"/>
              <w:left w:w="140" w:type="dxa"/>
              <w:right w:w="140" w:type="dxa"/>
            </w:tcMar>
          </w:tcPr>
          <w:p>
            <w:pPr>
              <w:jc w:val="center"/>
            </w:pPr>
            <w:r>
              <w:rPr>
                <w:rFonts w:ascii="Times New Roman" w:hAnsi="Times New Roman"/>
                <w:sz w:val="22"/>
              </w:rPr>
              <w:t>Khấu trừ 42.000đ vào Quỹ sàn</w:t>
            </w:r>
          </w:p>
        </w:tc>
        <w:tc>
          <w:tcPr>
            <w:tcW w:type="dxa" w:w="3024"/>
            <w:shd w:fill="F9FBF9"/>
            <w:tcMar>
              <w:top w:w="80" w:type="dxa"/>
              <w:bottom w:w="80" w:type="dxa"/>
              <w:left w:w="140" w:type="dxa"/>
              <w:right w:w="140" w:type="dxa"/>
            </w:tcMar>
          </w:tcPr>
          <w:p>
            <w:pPr>
              <w:jc w:val="center"/>
            </w:pPr>
            <w:r>
              <w:rPr>
                <w:rFonts w:ascii="Times New Roman" w:hAnsi="Times New Roman"/>
                <w:sz w:val="22"/>
              </w:rPr>
              <w:t>Khấu trừ 0đ (Chủ tủ nhận trọn 325.000đ)</w:t>
            </w:r>
          </w:p>
        </w:tc>
      </w:tr>
      <w:tr>
        <w:tc>
          <w:tcPr>
            <w:tcW w:type="dxa" w:w="3024"/>
            <w:shd w:fill="FFFFFF"/>
            <w:tcMar>
              <w:top w:w="80" w:type="dxa"/>
              <w:bottom w:w="80" w:type="dxa"/>
              <w:left w:w="140" w:type="dxa"/>
              <w:right w:w="140" w:type="dxa"/>
            </w:tcMar>
          </w:tcPr>
          <w:p>
            <w:pPr>
              <w:jc w:val="left"/>
            </w:pPr>
            <w:r>
              <w:rPr>
                <w:rFonts w:ascii="Times New Roman" w:hAnsi="Times New Roman"/>
                <w:sz w:val="22"/>
              </w:rPr>
              <w:t>Hỗ trợ truyền thông &amp; Đẩy Top</w:t>
            </w:r>
          </w:p>
        </w:tc>
        <w:tc>
          <w:tcPr>
            <w:tcW w:type="dxa" w:w="3024"/>
            <w:shd w:fill="FFFFFF"/>
            <w:tcMar>
              <w:top w:w="80" w:type="dxa"/>
              <w:bottom w:w="80" w:type="dxa"/>
              <w:left w:w="140" w:type="dxa"/>
              <w:right w:w="140" w:type="dxa"/>
            </w:tcMar>
          </w:tcPr>
          <w:p>
            <w:pPr>
              <w:jc w:val="center"/>
            </w:pPr>
            <w:r>
              <w:rPr>
                <w:rFonts w:ascii="Times New Roman" w:hAnsi="Times New Roman"/>
                <w:sz w:val="22"/>
              </w:rPr>
              <w:t>Theo thuật toán xếp hạng chuẩn</w:t>
            </w:r>
          </w:p>
        </w:tc>
        <w:tc>
          <w:tcPr>
            <w:tcW w:type="dxa" w:w="3024"/>
            <w:shd w:fill="FFFFFF"/>
            <w:tcMar>
              <w:top w:w="80" w:type="dxa"/>
              <w:bottom w:w="80" w:type="dxa"/>
              <w:left w:w="140" w:type="dxa"/>
              <w:right w:w="140" w:type="dxa"/>
            </w:tcMar>
          </w:tcPr>
          <w:p>
            <w:pPr>
              <w:jc w:val="center"/>
            </w:pPr>
            <w:r>
              <w:rPr>
                <w:rFonts w:ascii="Times New Roman" w:hAnsi="Times New Roman"/>
                <w:sz w:val="22"/>
              </w:rPr>
              <w:t>Ưu tiên xuất hiện Banner trang chủ &amp; AI đề xuất</w:t>
            </w:r>
          </w:p>
        </w:tc>
      </w:tr>
    </w:tbl>
    <w:p>
      <w:pPr>
        <w:keepNext/>
        <w:spacing w:before="200" w:after="80"/>
      </w:pPr>
      <w:r>
        <w:rPr>
          <w:rFonts w:ascii="Times New Roman" w:hAnsi="Times New Roman"/>
          <w:b/>
          <w:color w:val="183A2D"/>
          <w:sz w:val="26"/>
        </w:rPr>
        <w:t>Chiến Lược Thâm Nhập Thị Trường &amp; Lộ Trình 3 Giai Đoạn</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Giai đoạn 1: Miễn phí sàn 0% để tuyển chọn 100 Tủ đồ chất lượng cao (Founding 100) sở hữu từ 10 - 50 mẫu đầm tiệc, váy thiết kế có giá trị cao. Giai đoạn 2: Giúp chủ tủ hình thành thói quen kiếm dòng tiền thụ động đều đặn từ tủ đồ nhàn rỗi. Giai đoạn 3: Bắt đầu áp dụng biểu phí 12% đối với các tủ đồ thông thường để tạo lập dòng doanh thu bền vững.</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Tạo lập nguồn cung ban đầu phong phú, đẳng cấp mà không cần sàn phải bỏ vốn tự mua sắm tồn kho (Zero-Inventory Model); tạo hiệu ứng truyền miệng tự nhiên từ chính 100 đối tác VIP đầu tiên.</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Chi phí thu hút khách hàng (CAC) giảm đến 80%; tỷ lệ gắn kết và giữ chân đối tác (Lender Retention) đạt trên 90% do họ cảm thấy được tôn vinh như những người đồng sáng lập.</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Sàn phải chịu mức doanh thu hoa hồng bằng 0 trong 3 - 6 tháng đầu tiên, toàn bộ chi phí vận hành server phải dựa vào nguồn vốn hạt giống hoặc tài trợ cuộc thi.</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Mô hình Doanh Thu Đa Tầng (Multi-stream Monetization):</w:t>
        <w:br/>
        <w:t>1. Dịch vụ Giặt hấp Sinh học Cao cấp: Thu phí dịch vụ làm sạch trang phục bằng công nghệ sinh học trước và sau khi thuê.</w:t>
        <w:br/>
        <w:t>2. Gói Thuê Bao VIP 'Pro Closet' (99.000đ/tháng): Chủ tủ được giảm phí sàn từ 12% xuống 5%, được tặng lượt đẩy tin Lookbook hàng tuần và bảo hiểm đồ cao cấp.</w:t>
      </w:r>
    </w:p>
    <w:p>
      <w:pPr>
        <w:keepNext/>
        <w:spacing w:before="320" w:after="120"/>
      </w:pPr>
      <w:r>
        <w:rPr>
          <w:rFonts w:ascii="Times New Roman" w:hAnsi="Times New Roman"/>
          <w:b/>
          <w:color w:val="0F4A34"/>
          <w:sz w:val="28"/>
        </w:rPr>
        <w:t>VI. CƠ CHẾ ĐÁNH GIÁ CHỐNG SPAM (VERIFIED RENTERS ONLY) &amp; TOKENOMICS LEAF COINS</w:t>
      </w:r>
    </w:p>
    <w:p>
      <w:pPr>
        <w:spacing w:after="80"/>
        <w:jc w:val="both"/>
      </w:pPr>
      <w:r>
        <w:rPr>
          <w:rFonts w:ascii="Times New Roman" w:hAnsi="Times New Roman"/>
          <w:sz w:val="25"/>
        </w:rPr>
        <w:t>Uy tín (Trust &amp; Safety) là yếu tố sống còn của mô hình kinh tế tuần hoàn P2P. CLOOP áp dụng cơ chế xác thực đánh giá nghiêm ngặt nhất thị trường:</w:t>
      </w:r>
    </w:p>
    <w:p>
      <w:pPr>
        <w:keepNext/>
        <w:spacing w:before="200" w:after="80"/>
      </w:pPr>
      <w:r>
        <w:rPr>
          <w:rFonts w:ascii="Times New Roman" w:hAnsi="Times New Roman"/>
          <w:b/>
          <w:color w:val="183A2D"/>
          <w:sz w:val="26"/>
        </w:rPr>
        <w:t>Cơ Chế Khóa Đánh Giá Xác Thực &amp; Động Lực Học Tokenomics Leaf Coins</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Hệ thống khóa chặt chức năng viết đánh giá. Chỉ những tài khoản có đơn hàng thuê thực tế ở trạng thái HOÀN TẤT TRẢ ĐỒ (LENDER_COMPLETED hoặc BORROWER_RETURNED) mới được mở khóa form đánh giá. Khi hoàn tất đánh giá có nội dung và xếp hạng sao thật, hệ thống tự động thưởng +50 Leaf Coins vào ví người dùng và ghi nhật ký vào sổ cái CoinLedgerEntry. Gỡ bỏ hoàn toàn mọi đánh giá ảo hardcode và icon lấp lánh trang trí.</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Loại bỏ 100% vấn nạn đánh giá ảo, tự đặt đơn ảo để tự khen, hoặc đối thủ chơi xấu dội review 1 sao; bảo vệ uy tín chân thực của từng bộ váy; Leaf Coins tạo động lực thôi thúc khách hàng tái thuê đồ nhiều lần.</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Xây dựng niềm tin trung thực tuyệt đối cho cộng đồng; chỉ số xếp hạng phản ánh đúng 100% chất lượng dịch vụ và độ mới của trang phục thực tế.</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Rào cản cao khiến các sản phẩm mới đăng tải sẽ mất nhiều thời gian hơn để tích lũy được những đánh giá đầu tiên.</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1. Đánh Giá 2 Chiều Chuẩn Airbnb (Double-Blind Review): Chủ tủ đánh giá Khách thuê (về ý thức giữ gìn đồ, trả đồ đúng hẹn) và Khách đánh giá Chủ tủ (về độ thơm tho, đúng mô tả). Hai bên chỉ nhìn thấy đánh giá của nhau sau khi cả hai đã hoàn thành.</w:t>
        <w:br/>
        <w:t>2. Huy Hiệu 'Verified Closet': Cử chuyên viên đến thẩm định trực tiếp nguồn gốc và chất lượng 10 mẫu đầu tiên của Tủ đồ để cấp tem chứng nhận uy tín.</w:t>
      </w:r>
    </w:p>
    <w:p>
      <w:pPr>
        <w:keepNext/>
        <w:spacing w:before="320" w:after="120"/>
      </w:pPr>
      <w:r>
        <w:rPr>
          <w:rFonts w:ascii="Times New Roman" w:hAnsi="Times New Roman"/>
          <w:b/>
          <w:color w:val="0F4A34"/>
          <w:sz w:val="28"/>
        </w:rPr>
        <w:t>VII. KIẾN TRÚC HIỆU NĂNG ZERO-LATENCY &amp; TỐI ƯU HÓA HẠ TẦNG VẬN HÀNH</w:t>
      </w:r>
    </w:p>
    <w:p>
      <w:pPr>
        <w:spacing w:after="80"/>
        <w:jc w:val="both"/>
      </w:pPr>
      <w:r>
        <w:rPr>
          <w:rFonts w:ascii="Times New Roman" w:hAnsi="Times New Roman"/>
          <w:sz w:val="25"/>
        </w:rPr>
        <w:t>Để đảm bảo trải nghiệm mua sắm mượt mà như các ứng dụng bản địa (Native Apps), hạ tầng web Next.js 16 và React 19 được tối ưu hóa ở mức mã nguồn:</w:t>
      </w:r>
    </w:p>
    <w:p>
      <w:pPr>
        <w:keepNext/>
        <w:spacing w:before="200" w:after="80"/>
      </w:pPr>
      <w:r>
        <w:rPr>
          <w:rFonts w:ascii="Times New Roman" w:hAnsi="Times New Roman"/>
          <w:b/>
          <w:color w:val="183A2D"/>
          <w:sz w:val="26"/>
        </w:rPr>
        <w:t>Kiến Trúc Server-Side Rendering (SSR) Kết Hợp Bộ Nhớ Đệm In-Memory SWR</w:t>
      </w:r>
    </w:p>
    <w:p>
      <w:pPr>
        <w:pStyle w:val="ListBullet"/>
        <w:spacing w:after="60"/>
        <w:jc w:val="both"/>
      </w:pPr>
      <w:r>
        <w:rPr>
          <w:rFonts w:ascii="Times New Roman" w:hAnsi="Times New Roman"/>
          <w:b/>
          <w:sz w:val="25"/>
        </w:rPr>
        <w:t xml:space="preserve">1. Bản chất &amp; Mục đích (Làm như vậy để làm gì?): </w:t>
      </w:r>
      <w:r>
        <w:rPr>
          <w:rFonts w:ascii="Times New Roman" w:hAnsi="Times New Roman"/>
          <w:sz w:val="25"/>
        </w:rPr>
        <w:t>Chuyển đổi toàn bộ trang chi tiết sản phẩm (/product/[id]) sang Async Server Component. Dữ liệu được nạp trước (Pre-fetched) trực tiếp từ database kết hợp cơ chế ghi nhớ bộ nhớ trong (React Cache &amp; In-Memory SWR) với thời gian làm tươi 60 giây. Toàn bộ file tĩnh và asset được nén tối đa, loại bỏ Sentry sourcemaps và thư viện dư thừa.</w:t>
      </w:r>
    </w:p>
    <w:p>
      <w:pPr>
        <w:pStyle w:val="ListBullet"/>
        <w:spacing w:after="60"/>
        <w:jc w:val="both"/>
      </w:pPr>
      <w:r>
        <w:rPr>
          <w:rFonts w:ascii="Times New Roman" w:hAnsi="Times New Roman"/>
          <w:b/>
          <w:sz w:val="25"/>
        </w:rPr>
        <w:t xml:space="preserve">2. Lợi ích thực tế (Có lợi ích gì?): </w:t>
      </w:r>
      <w:r>
        <w:rPr>
          <w:rFonts w:ascii="Times New Roman" w:hAnsi="Times New Roman"/>
          <w:sz w:val="25"/>
        </w:rPr>
        <w:t>Tốc độ phản hồi trang chi tiết sản phẩm đạt 0 - 1 ms từ bộ nhớ đệm; thời gian build toàn bộ ứng dụng trên máy chủ Vercel giảm hơn 50% (từ 32.7s xuống còn 15.9s); dung lượng lưu trữ build artifacts giảm mạnh, triệt tiêu nguy cơ vượt hạn mức lưu trữ Vercel Storage 10GB.</w:t>
      </w:r>
    </w:p>
    <w:p>
      <w:pPr>
        <w:pStyle w:val="ListBullet"/>
        <w:spacing w:after="60"/>
        <w:jc w:val="both"/>
      </w:pPr>
      <w:r>
        <w:rPr>
          <w:rFonts w:ascii="Times New Roman" w:hAnsi="Times New Roman"/>
          <w:b/>
          <w:sz w:val="25"/>
        </w:rPr>
        <w:t xml:space="preserve">3. Ưu điểm vượt trội (Ưu điểm gì?): </w:t>
      </w:r>
      <w:r>
        <w:rPr>
          <w:rFonts w:ascii="Times New Roman" w:hAnsi="Times New Roman"/>
          <w:sz w:val="25"/>
        </w:rPr>
        <w:t>Người dùng bấm vào sản phẩm thấy nội dung hiển thị ngay lập tức không có độ trễ xoay vòng tròn (Spinning Loader); tối ưu hóa SEO tối đa cho công cụ tìm kiếm Google.</w:t>
      </w:r>
    </w:p>
    <w:p>
      <w:pPr>
        <w:pStyle w:val="ListBullet"/>
        <w:spacing w:after="60"/>
        <w:jc w:val="both"/>
      </w:pPr>
      <w:r>
        <w:rPr>
          <w:rFonts w:ascii="Times New Roman" w:hAnsi="Times New Roman"/>
          <w:b/>
          <w:sz w:val="25"/>
        </w:rPr>
        <w:t xml:space="preserve">4. Mặt trái &amp; Thách thức tiềm ẩn (Mặt trái gì?): </w:t>
      </w:r>
      <w:r>
        <w:rPr>
          <w:rFonts w:ascii="Times New Roman" w:hAnsi="Times New Roman"/>
          <w:sz w:val="25"/>
        </w:rPr>
        <w:t>Nếu chủ tủ vừa cập nhật giá thuê hoặc lịch hẹn, người dùng truy cập trong vòng 60 giây có thể vẫn nhìn thấy dữ liệu lưu trong bộ nhớ đệm trước đó.</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On-Demand Incremental Static Regeneration (ISR): Tích hợp hàm Server Action Revalidation. Ngay khi chủ tủ bấm 'Lưu thay đổi', hệ thống lập tức gọi revalidatePath('/product/[id]') để xóa bộ nhớ đệm của riêng trang đó, đảm bảo dữ liệu mới nhất được cập nhật tức thì mà không cần nạp lại toàn trang.</w:t>
      </w:r>
    </w:p>
    <w:p>
      <w:pPr>
        <w:keepNext/>
        <w:spacing w:before="320" w:after="120"/>
      </w:pPr>
      <w:r>
        <w:rPr>
          <w:rFonts w:ascii="Times New Roman" w:hAnsi="Times New Roman"/>
          <w:b/>
          <w:color w:val="0F4A34"/>
          <w:sz w:val="28"/>
        </w:rPr>
        <w:t>VIII. BẢNG TỔNG HỢP MA TRẬN QUẢN TRỊ RỦI RO TOÀN DIỆN (RISK MATRIX)</w:t>
      </w:r>
    </w:p>
    <w:p>
      <w:pPr>
        <w:spacing w:after="80"/>
        <w:jc w:val="both"/>
      </w:pPr>
      <w:r>
        <w:rPr>
          <w:rFonts w:ascii="Times New Roman" w:hAnsi="Times New Roman"/>
          <w:sz w:val="25"/>
        </w:rPr>
        <w:t>Dưới đây là bảng tổng hợp các rủi ro chiến lược và giải pháp ứng phó toàn diện của hệ thống CLOOP:</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2268"/>
        <w:gridCol w:w="2268"/>
        <w:gridCol w:w="2268"/>
        <w:gridCol w:w="2268"/>
      </w:tblGrid>
      <w:tr>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Hạng mục rủi ro</w:t>
            </w:r>
          </w:p>
        </w:tc>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Mức độ rủi ro</w:t>
            </w:r>
          </w:p>
        </w:tc>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Tác động tiềm ẩn</w:t>
            </w:r>
          </w:p>
        </w:tc>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Biện pháp kiểm soát &amp; Dự phòng của CLOOP</w:t>
            </w:r>
          </w:p>
        </w:tc>
      </w:tr>
      <w:tr>
        <w:tc>
          <w:tcPr>
            <w:tcW w:type="dxa" w:w="2268"/>
            <w:shd w:fill="FFFFFF"/>
            <w:tcMar>
              <w:top w:w="80" w:type="dxa"/>
              <w:bottom w:w="80" w:type="dxa"/>
              <w:left w:w="100" w:type="dxa"/>
              <w:right w:w="100" w:type="dxa"/>
            </w:tcMar>
          </w:tcPr>
          <w:p>
            <w:pPr>
              <w:jc w:val="left"/>
            </w:pPr>
            <w:r>
              <w:rPr>
                <w:rFonts w:ascii="Times New Roman" w:hAnsi="Times New Roman"/>
                <w:sz w:val="21"/>
              </w:rPr>
              <w:t>Gián đoạn cổng API Logistics (GHN bảo trì)</w:t>
            </w:r>
          </w:p>
        </w:tc>
        <w:tc>
          <w:tcPr>
            <w:tcW w:type="dxa" w:w="2268"/>
            <w:shd w:fill="FFFFFF"/>
            <w:tcMar>
              <w:top w:w="80" w:type="dxa"/>
              <w:bottom w:w="80" w:type="dxa"/>
              <w:left w:w="100" w:type="dxa"/>
              <w:right w:w="100" w:type="dxa"/>
            </w:tcMar>
          </w:tcPr>
          <w:p>
            <w:pPr>
              <w:jc w:val="center"/>
            </w:pPr>
            <w:r>
              <w:rPr>
                <w:rFonts w:ascii="Times New Roman" w:hAnsi="Times New Roman"/>
                <w:sz w:val="21"/>
              </w:rPr>
              <w:t>Trung bình</w:t>
            </w:r>
          </w:p>
        </w:tc>
        <w:tc>
          <w:tcPr>
            <w:tcW w:type="dxa" w:w="2268"/>
            <w:shd w:fill="FFFFFF"/>
            <w:tcMar>
              <w:top w:w="80" w:type="dxa"/>
              <w:bottom w:w="80" w:type="dxa"/>
              <w:left w:w="100" w:type="dxa"/>
              <w:right w:w="100" w:type="dxa"/>
            </w:tcMar>
          </w:tcPr>
          <w:p>
            <w:pPr>
              <w:jc w:val="left"/>
            </w:pPr>
            <w:r>
              <w:rPr>
                <w:rFonts w:ascii="Times New Roman" w:hAnsi="Times New Roman"/>
                <w:sz w:val="21"/>
              </w:rPr>
              <w:t>Kẹt luồng thanh toán đơn hàng do không tính được phí ship</w:t>
            </w:r>
          </w:p>
        </w:tc>
        <w:tc>
          <w:tcPr>
            <w:tcW w:type="dxa" w:w="2268"/>
            <w:shd w:fill="FFFFFF"/>
            <w:tcMar>
              <w:top w:w="80" w:type="dxa"/>
              <w:bottom w:w="80" w:type="dxa"/>
              <w:left w:w="100" w:type="dxa"/>
              <w:right w:w="100" w:type="dxa"/>
            </w:tcMar>
          </w:tcPr>
          <w:p>
            <w:pPr>
              <w:jc w:val="left"/>
            </w:pPr>
            <w:r>
              <w:rPr>
                <w:rFonts w:ascii="Times New Roman" w:hAnsi="Times New Roman"/>
                <w:sz w:val="21"/>
              </w:rPr>
              <w:t>Kích hoạt cơ chế Multi-Carrier Failover tự động chuyển sang bưu tá dự phòng GHTK / Viettel Post trong 3 giây.</w:t>
            </w:r>
          </w:p>
        </w:tc>
      </w:tr>
      <w:tr>
        <w:tc>
          <w:tcPr>
            <w:tcW w:type="dxa" w:w="2268"/>
            <w:shd w:fill="F9FBF9"/>
            <w:tcMar>
              <w:top w:w="80" w:type="dxa"/>
              <w:bottom w:w="80" w:type="dxa"/>
              <w:left w:w="100" w:type="dxa"/>
              <w:right w:w="100" w:type="dxa"/>
            </w:tcMar>
          </w:tcPr>
          <w:p>
            <w:pPr>
              <w:jc w:val="left"/>
            </w:pPr>
            <w:r>
              <w:rPr>
                <w:rFonts w:ascii="Times New Roman" w:hAnsi="Times New Roman"/>
                <w:sz w:val="21"/>
              </w:rPr>
              <w:t>Khách không trả đồ / Chiếm đoạt trang phục</w:t>
            </w:r>
          </w:p>
        </w:tc>
        <w:tc>
          <w:tcPr>
            <w:tcW w:type="dxa" w:w="2268"/>
            <w:shd w:fill="F9FBF9"/>
            <w:tcMar>
              <w:top w:w="80" w:type="dxa"/>
              <w:bottom w:w="80" w:type="dxa"/>
              <w:left w:w="100" w:type="dxa"/>
              <w:right w:w="100" w:type="dxa"/>
            </w:tcMar>
          </w:tcPr>
          <w:p>
            <w:pPr>
              <w:jc w:val="center"/>
            </w:pPr>
            <w:r>
              <w:rPr>
                <w:rFonts w:ascii="Times New Roman" w:hAnsi="Times New Roman"/>
                <w:sz w:val="21"/>
              </w:rPr>
              <w:t>Thấp</w:t>
            </w:r>
          </w:p>
        </w:tc>
        <w:tc>
          <w:tcPr>
            <w:tcW w:type="dxa" w:w="2268"/>
            <w:shd w:fill="F9FBF9"/>
            <w:tcMar>
              <w:top w:w="80" w:type="dxa"/>
              <w:bottom w:w="80" w:type="dxa"/>
              <w:left w:w="100" w:type="dxa"/>
              <w:right w:w="100" w:type="dxa"/>
            </w:tcMar>
          </w:tcPr>
          <w:p>
            <w:pPr>
              <w:jc w:val="left"/>
            </w:pPr>
            <w:r>
              <w:rPr>
                <w:rFonts w:ascii="Times New Roman" w:hAnsi="Times New Roman"/>
                <w:sz w:val="21"/>
              </w:rPr>
              <w:t>Thất thoát tài sản của Chủ tủ, gây mất niềm tin sàn</w:t>
            </w:r>
          </w:p>
        </w:tc>
        <w:tc>
          <w:tcPr>
            <w:tcW w:type="dxa" w:w="2268"/>
            <w:shd w:fill="F9FBF9"/>
            <w:tcMar>
              <w:top w:w="80" w:type="dxa"/>
              <w:bottom w:w="80" w:type="dxa"/>
              <w:left w:w="100" w:type="dxa"/>
              <w:right w:w="100" w:type="dxa"/>
            </w:tcMar>
          </w:tcPr>
          <w:p>
            <w:pPr>
              <w:jc w:val="left"/>
            </w:pPr>
            <w:r>
              <w:rPr>
                <w:rFonts w:ascii="Times New Roman" w:hAnsi="Times New Roman"/>
                <w:sz w:val="21"/>
              </w:rPr>
              <w:t>Tiền cọc 100% giá trị đồ được khóa trong Két Escrow; xác thực CCCD gắn chip và số điện thoại trước khi thuê.</w:t>
            </w:r>
          </w:p>
        </w:tc>
      </w:tr>
      <w:tr>
        <w:tc>
          <w:tcPr>
            <w:tcW w:type="dxa" w:w="2268"/>
            <w:shd w:fill="FFFFFF"/>
            <w:tcMar>
              <w:top w:w="80" w:type="dxa"/>
              <w:bottom w:w="80" w:type="dxa"/>
              <w:left w:w="100" w:type="dxa"/>
              <w:right w:w="100" w:type="dxa"/>
            </w:tcMar>
          </w:tcPr>
          <w:p>
            <w:pPr>
              <w:jc w:val="left"/>
            </w:pPr>
            <w:r>
              <w:rPr>
                <w:rFonts w:ascii="Times New Roman" w:hAnsi="Times New Roman"/>
                <w:sz w:val="21"/>
              </w:rPr>
              <w:t>Đụng lịch thuê đồng thời (Double-booking)</w:t>
            </w:r>
          </w:p>
        </w:tc>
        <w:tc>
          <w:tcPr>
            <w:tcW w:type="dxa" w:w="2268"/>
            <w:shd w:fill="FFFFFF"/>
            <w:tcMar>
              <w:top w:w="80" w:type="dxa"/>
              <w:bottom w:w="80" w:type="dxa"/>
              <w:left w:w="100" w:type="dxa"/>
              <w:right w:w="100" w:type="dxa"/>
            </w:tcMar>
          </w:tcPr>
          <w:p>
            <w:pPr>
              <w:jc w:val="center"/>
            </w:pPr>
            <w:r>
              <w:rPr>
                <w:rFonts w:ascii="Times New Roman" w:hAnsi="Times New Roman"/>
                <w:sz w:val="21"/>
              </w:rPr>
              <w:t>Cao</w:t>
            </w:r>
          </w:p>
        </w:tc>
        <w:tc>
          <w:tcPr>
            <w:tcW w:type="dxa" w:w="2268"/>
            <w:shd w:fill="FFFFFF"/>
            <w:tcMar>
              <w:top w:w="80" w:type="dxa"/>
              <w:bottom w:w="80" w:type="dxa"/>
              <w:left w:w="100" w:type="dxa"/>
              <w:right w:w="100" w:type="dxa"/>
            </w:tcMar>
          </w:tcPr>
          <w:p>
            <w:pPr>
              <w:jc w:val="left"/>
            </w:pPr>
            <w:r>
              <w:rPr>
                <w:rFonts w:ascii="Times New Roman" w:hAnsi="Times New Roman"/>
                <w:sz w:val="21"/>
              </w:rPr>
              <w:t>2 khách cùng thuê 1 váy cùng ngày, gây vỡ hợp đồng</w:t>
            </w:r>
          </w:p>
        </w:tc>
        <w:tc>
          <w:tcPr>
            <w:tcW w:type="dxa" w:w="2268"/>
            <w:shd w:fill="FFFFFF"/>
            <w:tcMar>
              <w:top w:w="80" w:type="dxa"/>
              <w:bottom w:w="80" w:type="dxa"/>
              <w:left w:w="100" w:type="dxa"/>
              <w:right w:w="100" w:type="dxa"/>
            </w:tcMar>
          </w:tcPr>
          <w:p>
            <w:pPr>
              <w:jc w:val="left"/>
            </w:pPr>
            <w:r>
              <w:rPr>
                <w:rFonts w:ascii="Times New Roman" w:hAnsi="Times New Roman"/>
                <w:sz w:val="21"/>
              </w:rPr>
              <w:t>Áp dụng khóa bi quan (Pessimistic Row-level Locking) tại tầng cơ sở dữ liệu Supabase, đảm bảo tính toàn vẹn tuyệt đối.</w:t>
            </w:r>
          </w:p>
        </w:tc>
      </w:tr>
      <w:tr>
        <w:tc>
          <w:tcPr>
            <w:tcW w:type="dxa" w:w="2268"/>
            <w:shd w:fill="F9FBF9"/>
            <w:tcMar>
              <w:top w:w="80" w:type="dxa"/>
              <w:bottom w:w="80" w:type="dxa"/>
              <w:left w:w="100" w:type="dxa"/>
              <w:right w:w="100" w:type="dxa"/>
            </w:tcMar>
          </w:tcPr>
          <w:p>
            <w:pPr>
              <w:jc w:val="left"/>
            </w:pPr>
            <w:r>
              <w:rPr>
                <w:rFonts w:ascii="Times New Roman" w:hAnsi="Times New Roman"/>
                <w:sz w:val="21"/>
              </w:rPr>
              <w:t>Gian lận đánh giá / Đánh giá ảo</w:t>
            </w:r>
          </w:p>
        </w:tc>
        <w:tc>
          <w:tcPr>
            <w:tcW w:type="dxa" w:w="2268"/>
            <w:shd w:fill="F9FBF9"/>
            <w:tcMar>
              <w:top w:w="80" w:type="dxa"/>
              <w:bottom w:w="80" w:type="dxa"/>
              <w:left w:w="100" w:type="dxa"/>
              <w:right w:w="100" w:type="dxa"/>
            </w:tcMar>
          </w:tcPr>
          <w:p>
            <w:pPr>
              <w:jc w:val="center"/>
            </w:pPr>
            <w:r>
              <w:rPr>
                <w:rFonts w:ascii="Times New Roman" w:hAnsi="Times New Roman"/>
                <w:sz w:val="21"/>
              </w:rPr>
              <w:t>Trung bình</w:t>
            </w:r>
          </w:p>
        </w:tc>
        <w:tc>
          <w:tcPr>
            <w:tcW w:type="dxa" w:w="2268"/>
            <w:shd w:fill="F9FBF9"/>
            <w:tcMar>
              <w:top w:w="80" w:type="dxa"/>
              <w:bottom w:w="80" w:type="dxa"/>
              <w:left w:w="100" w:type="dxa"/>
              <w:right w:w="100" w:type="dxa"/>
            </w:tcMar>
          </w:tcPr>
          <w:p>
            <w:pPr>
              <w:jc w:val="left"/>
            </w:pPr>
            <w:r>
              <w:rPr>
                <w:rFonts w:ascii="Times New Roman" w:hAnsi="Times New Roman"/>
                <w:sz w:val="21"/>
              </w:rPr>
              <w:t>Làm sai lệch chất lượng thực tế của trang phục</w:t>
            </w:r>
          </w:p>
        </w:tc>
        <w:tc>
          <w:tcPr>
            <w:tcW w:type="dxa" w:w="2268"/>
            <w:shd w:fill="F9FBF9"/>
            <w:tcMar>
              <w:top w:w="80" w:type="dxa"/>
              <w:bottom w:w="80" w:type="dxa"/>
              <w:left w:w="100" w:type="dxa"/>
              <w:right w:w="100" w:type="dxa"/>
            </w:tcMar>
          </w:tcPr>
          <w:p>
            <w:pPr>
              <w:jc w:val="left"/>
            </w:pPr>
            <w:r>
              <w:rPr>
                <w:rFonts w:ascii="Times New Roman" w:hAnsi="Times New Roman"/>
                <w:sz w:val="21"/>
              </w:rPr>
              <w:t>Kiểm duyệt 2 tầng: Chỉ tài khoản hoàn tất đơn hàng thuê mới được mở quyền đánh giá; thưởng Leaf Coins minh bạch.</w:t>
            </w:r>
          </w:p>
        </w:tc>
      </w:tr>
      <w:tr>
        <w:tc>
          <w:tcPr>
            <w:tcW w:type="dxa" w:w="2268"/>
            <w:shd w:fill="FFFFFF"/>
            <w:tcMar>
              <w:top w:w="80" w:type="dxa"/>
              <w:bottom w:w="80" w:type="dxa"/>
              <w:left w:w="100" w:type="dxa"/>
              <w:right w:w="100" w:type="dxa"/>
            </w:tcMar>
          </w:tcPr>
          <w:p>
            <w:pPr>
              <w:jc w:val="left"/>
            </w:pPr>
            <w:r>
              <w:rPr>
                <w:rFonts w:ascii="Times New Roman" w:hAnsi="Times New Roman"/>
                <w:sz w:val="21"/>
              </w:rPr>
              <w:t>Vượt ngưỡng chi phí hạ tầng (Cloud Storage / AI)</w:t>
            </w:r>
          </w:p>
        </w:tc>
        <w:tc>
          <w:tcPr>
            <w:tcW w:type="dxa" w:w="2268"/>
            <w:shd w:fill="FFFFFF"/>
            <w:tcMar>
              <w:top w:w="80" w:type="dxa"/>
              <w:bottom w:w="80" w:type="dxa"/>
              <w:left w:w="100" w:type="dxa"/>
              <w:right w:w="100" w:type="dxa"/>
            </w:tcMar>
          </w:tcPr>
          <w:p>
            <w:pPr>
              <w:jc w:val="center"/>
            </w:pPr>
            <w:r>
              <w:rPr>
                <w:rFonts w:ascii="Times New Roman" w:hAnsi="Times New Roman"/>
                <w:sz w:val="21"/>
              </w:rPr>
              <w:t>Thấp</w:t>
            </w:r>
          </w:p>
        </w:tc>
        <w:tc>
          <w:tcPr>
            <w:tcW w:type="dxa" w:w="2268"/>
            <w:shd w:fill="FFFFFF"/>
            <w:tcMar>
              <w:top w:w="80" w:type="dxa"/>
              <w:bottom w:w="80" w:type="dxa"/>
              <w:left w:w="100" w:type="dxa"/>
              <w:right w:w="100" w:type="dxa"/>
            </w:tcMar>
          </w:tcPr>
          <w:p>
            <w:pPr>
              <w:jc w:val="left"/>
            </w:pPr>
            <w:r>
              <w:rPr>
                <w:rFonts w:ascii="Times New Roman" w:hAnsi="Times New Roman"/>
                <w:sz w:val="21"/>
              </w:rPr>
              <w:t>Đội chi phí vận hành trong giai đoạn khởi nghiệp</w:t>
            </w:r>
          </w:p>
        </w:tc>
        <w:tc>
          <w:tcPr>
            <w:tcW w:type="dxa" w:w="2268"/>
            <w:shd w:fill="FFFFFF"/>
            <w:tcMar>
              <w:top w:w="80" w:type="dxa"/>
              <w:bottom w:w="80" w:type="dxa"/>
              <w:left w:w="100" w:type="dxa"/>
              <w:right w:w="100" w:type="dxa"/>
            </w:tcMar>
          </w:tcPr>
          <w:p>
            <w:pPr>
              <w:jc w:val="left"/>
            </w:pPr>
            <w:r>
              <w:rPr>
                <w:rFonts w:ascii="Times New Roman" w:hAnsi="Times New Roman"/>
                <w:sz w:val="21"/>
              </w:rPr>
              <w:t>Tận dụng kho kép Google One 10TB 0đ; xoay vòng cụm 6 khóa Gemini Pro; nén ảnh tối ưu qua CDN.</w:t>
            </w:r>
          </w:p>
        </w:tc>
      </w:tr>
    </w:tbl>
    <w:p>
      <w:pPr>
        <w:spacing w:before="280" w:after="280"/>
        <w:jc w:val="both"/>
      </w:pPr>
      <w:r>
        <w:rPr>
          <w:rFonts w:ascii="Times New Roman" w:hAnsi="Times New Roman"/>
          <w:b/>
          <w:i/>
          <w:color w:val="0F4A34"/>
          <w:sz w:val="25"/>
        </w:rPr>
        <w:t>KẾT LUẬN: Báo cáo này khẳng định CLOOP không đơn thuần là một website thương mại điện tử, mà là một Hệ Sinh Thái Công Nghệ Hoàn Chỉnh được thiết kế với tư duy quản trị rủi ro chặt chẽ, tối ưu hóa dòng tiền và bài toán kinh tế học tuần hoàn vững chắc. Mọi quyết định kiến trúc đều được cân nhắc thấu đáo giữa hiệu năng, chi phí và trải nghiệm người dùng, sẵn sàng bảo vệ thành công trước Hội Đồng Giám Khảo Techfest và tự tin mở rộng quy mô thương mại hóa toàn quốc.</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color w:val="1F293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