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654A2" w14:textId="266FB91C" w:rsidR="00787F20" w:rsidRDefault="00787F20" w:rsidP="002A6CD3">
      <w:pPr>
        <w:spacing w:line="240" w:lineRule="auto"/>
        <w:contextualSpacing/>
        <w:rPr>
          <w:rFonts w:ascii="Calibri" w:hAnsi="Calibri" w:cs="Calibri"/>
          <w:b/>
          <w:bCs/>
        </w:rPr>
      </w:pPr>
      <w:r>
        <w:rPr>
          <w:rFonts w:ascii="Calibri" w:hAnsi="Calibri" w:cs="Calibri"/>
          <w:b/>
          <w:bCs/>
        </w:rPr>
        <w:t>Introduction</w:t>
      </w:r>
    </w:p>
    <w:p w14:paraId="3E3FD6D0" w14:textId="40AA2A3A" w:rsidR="00E1403F" w:rsidRDefault="00AA2E82" w:rsidP="00B52D90">
      <w:pPr>
        <w:spacing w:line="240" w:lineRule="auto"/>
        <w:contextualSpacing/>
        <w:rPr>
          <w:rFonts w:ascii="Calibri" w:hAnsi="Calibri" w:cs="Calibri"/>
        </w:rPr>
      </w:pPr>
      <w:r w:rsidRPr="00AA2E82">
        <w:rPr>
          <w:rFonts w:ascii="Calibri" w:hAnsi="Calibri" w:cs="Calibri"/>
        </w:rPr>
        <w:t xml:space="preserve">Extant research on gender and politics converges on the idea that a quota system promotes women's representation (citation). The impact of </w:t>
      </w:r>
      <w:r w:rsidR="004F5E3C">
        <w:rPr>
          <w:rFonts w:ascii="Calibri" w:hAnsi="Calibri" w:cs="Calibri"/>
        </w:rPr>
        <w:t xml:space="preserve">gender </w:t>
      </w:r>
      <w:r w:rsidRPr="00AA2E82">
        <w:rPr>
          <w:rFonts w:ascii="Calibri" w:hAnsi="Calibri" w:cs="Calibri"/>
        </w:rPr>
        <w:t xml:space="preserve">quota has been observed across various electoral systems (citation), with substantial findings highlighting the superiority of proportional representation (PR) systems in boosting women’s electoral success. A quota indeed functions differently across countries, with some seeing rapid expansions in women’s representation upon adoption, </w:t>
      </w:r>
      <w:r w:rsidR="00685220">
        <w:rPr>
          <w:rFonts w:ascii="Calibri" w:hAnsi="Calibri" w:cs="Calibri"/>
        </w:rPr>
        <w:t>and</w:t>
      </w:r>
      <w:r w:rsidRPr="00AA2E82">
        <w:rPr>
          <w:rFonts w:ascii="Calibri" w:hAnsi="Calibri" w:cs="Calibri"/>
        </w:rPr>
        <w:t xml:space="preserve"> others experience only negligible effects (citation). This does not suggest that quotas are ineffective. Rather, their success often depends on other institutional factors such as placement mandates, enforcement mechanisms, and voluntary party commitment (citation). The positive effects of quotas in democracies are well-documented, and recent studies have also identified beneficial outcomes in autocratic settings, showing how specific gender allocations gain support from both regime loyalists and opponents (Noh et al., 2024).</w:t>
      </w:r>
    </w:p>
    <w:p w14:paraId="2F254EB1" w14:textId="77777777" w:rsidR="00602C91" w:rsidRDefault="00602C91" w:rsidP="00B52D90">
      <w:pPr>
        <w:spacing w:line="240" w:lineRule="auto"/>
        <w:contextualSpacing/>
        <w:rPr>
          <w:rFonts w:ascii="Calibri" w:hAnsi="Calibri" w:cs="Calibri"/>
        </w:rPr>
      </w:pPr>
    </w:p>
    <w:p w14:paraId="1146D757" w14:textId="5EB89071" w:rsidR="00602C91" w:rsidRDefault="00602C91" w:rsidP="00B52D90">
      <w:pPr>
        <w:spacing w:line="240" w:lineRule="auto"/>
        <w:contextualSpacing/>
        <w:rPr>
          <w:rFonts w:ascii="Calibri" w:hAnsi="Calibri" w:cs="Calibri"/>
        </w:rPr>
      </w:pPr>
      <w:r w:rsidRPr="00602C91">
        <w:rPr>
          <w:rFonts w:ascii="Calibri" w:hAnsi="Calibri" w:cs="Calibri"/>
        </w:rPr>
        <w:t>While most research treats quotas as a macro-level policy</w:t>
      </w:r>
      <w:r w:rsidR="00CD7947">
        <w:rPr>
          <w:rFonts w:ascii="Calibri" w:hAnsi="Calibri" w:cs="Calibri"/>
        </w:rPr>
        <w:t xml:space="preserve"> focuse</w:t>
      </w:r>
      <w:r w:rsidR="009020BF">
        <w:rPr>
          <w:rFonts w:ascii="Calibri" w:hAnsi="Calibri" w:cs="Calibri"/>
        </w:rPr>
        <w:t>d</w:t>
      </w:r>
      <w:r w:rsidR="00CD7947">
        <w:rPr>
          <w:rFonts w:ascii="Calibri" w:hAnsi="Calibri" w:cs="Calibri"/>
        </w:rPr>
        <w:t xml:space="preserve"> </w:t>
      </w:r>
      <w:r w:rsidRPr="00602C91">
        <w:rPr>
          <w:rFonts w:ascii="Calibri" w:hAnsi="Calibri" w:cs="Calibri"/>
        </w:rPr>
        <w:t>on national legislature implementation, there is a notable gap in understanding how quotas function at the subnational level. As Clayton (2021: 237) highlights, the inconsistent reporting of quota enforcement in subnational contexts makes it challenging to evaluate their effectiveness. This paper addresses this gap by examining quota application at the provincial level in Indonesia’s 2024 elections.</w:t>
      </w:r>
      <w:r>
        <w:rPr>
          <w:rFonts w:ascii="Calibri" w:hAnsi="Calibri" w:cs="Calibri"/>
        </w:rPr>
        <w:t xml:space="preserve"> </w:t>
      </w:r>
      <w:r w:rsidRPr="00602C91">
        <w:rPr>
          <w:rFonts w:ascii="Calibri" w:hAnsi="Calibri" w:cs="Calibri"/>
        </w:rPr>
        <w:t>I specifically investigate the causal link between quota implementation and the share of elected women in local legislatures.</w:t>
      </w:r>
      <w:r>
        <w:rPr>
          <w:rFonts w:ascii="Calibri" w:hAnsi="Calibri" w:cs="Calibri"/>
        </w:rPr>
        <w:t xml:space="preserve"> </w:t>
      </w:r>
      <w:r w:rsidRPr="00602C91">
        <w:rPr>
          <w:rFonts w:ascii="Calibri" w:hAnsi="Calibri" w:cs="Calibri"/>
        </w:rPr>
        <w:t>Specifically, I emphasize the varied 'compliance effect' among political parties and employ a design-based approach that pairs quota-compliant parties with non-compliant ones that have similar observed characteristics.</w:t>
      </w:r>
      <w:r>
        <w:rPr>
          <w:rFonts w:ascii="Calibri" w:hAnsi="Calibri" w:cs="Calibri"/>
        </w:rPr>
        <w:t xml:space="preserve"> </w:t>
      </w:r>
      <w:r w:rsidRPr="00602C91">
        <w:rPr>
          <w:rFonts w:ascii="Calibri" w:hAnsi="Calibri" w:cs="Calibri"/>
        </w:rPr>
        <w:t>This matching technique enables me to isolate factors known to significantly influence women’s electoral success. In the Indonesian context, these include the impacts of party size, candidate ballot position, gender, and district magnitude</w:t>
      </w:r>
      <w:r>
        <w:rPr>
          <w:rFonts w:ascii="Calibri" w:hAnsi="Calibri" w:cs="Calibri"/>
        </w:rPr>
        <w:t xml:space="preserve">. </w:t>
      </w:r>
      <w:r w:rsidRPr="00602C91">
        <w:rPr>
          <w:rFonts w:ascii="Calibri" w:hAnsi="Calibri" w:cs="Calibri"/>
        </w:rPr>
        <w:t>Conditional on all relevant characteristics being observed and the comparisons between treated (compliant) and untreated (non-compliant) units being well-balanced, this approach allows us to make a compelling case for the importance and effectiveness of quotas in enhancing female representation.</w:t>
      </w:r>
    </w:p>
    <w:p w14:paraId="0722E256" w14:textId="77777777" w:rsidR="00A651A1" w:rsidRDefault="00A651A1" w:rsidP="00B52D90">
      <w:pPr>
        <w:spacing w:line="240" w:lineRule="auto"/>
        <w:contextualSpacing/>
        <w:rPr>
          <w:rFonts w:ascii="Calibri" w:hAnsi="Calibri" w:cs="Calibri"/>
        </w:rPr>
      </w:pPr>
    </w:p>
    <w:p w14:paraId="2DEF585A" w14:textId="30ACF6E7" w:rsidR="00E1403F" w:rsidRDefault="00E108E7" w:rsidP="00B52D90">
      <w:pPr>
        <w:spacing w:line="240" w:lineRule="auto"/>
        <w:contextualSpacing/>
        <w:rPr>
          <w:rFonts w:ascii="Calibri" w:hAnsi="Calibri" w:cs="Calibri"/>
        </w:rPr>
      </w:pPr>
      <w:r>
        <w:rPr>
          <w:rFonts w:ascii="Calibri" w:hAnsi="Calibri" w:cs="Calibri"/>
        </w:rPr>
        <w:t xml:space="preserve">Unlike </w:t>
      </w:r>
      <w:r w:rsidR="008746E9">
        <w:rPr>
          <w:rFonts w:ascii="Calibri" w:hAnsi="Calibri" w:cs="Calibri"/>
        </w:rPr>
        <w:t>previous works that</w:t>
      </w:r>
      <w:r w:rsidR="00D0068D">
        <w:rPr>
          <w:rFonts w:ascii="Calibri" w:hAnsi="Calibri" w:cs="Calibri"/>
        </w:rPr>
        <w:t xml:space="preserve"> tend to. </w:t>
      </w:r>
      <w:r w:rsidR="00B21F83">
        <w:rPr>
          <w:rFonts w:ascii="Calibri" w:hAnsi="Calibri" w:cs="Calibri"/>
        </w:rPr>
        <w:t xml:space="preserve">Provided that </w:t>
      </w:r>
      <w:r w:rsidR="00551F4A">
        <w:rPr>
          <w:rFonts w:ascii="Calibri" w:hAnsi="Calibri" w:cs="Calibri"/>
        </w:rPr>
        <w:t xml:space="preserve">all important </w:t>
      </w:r>
    </w:p>
    <w:p w14:paraId="678C44B8" w14:textId="77777777" w:rsidR="00406800" w:rsidRDefault="00406800" w:rsidP="00B52D90">
      <w:pPr>
        <w:spacing w:line="240" w:lineRule="auto"/>
        <w:contextualSpacing/>
        <w:rPr>
          <w:rFonts w:ascii="Calibri" w:hAnsi="Calibri" w:cs="Calibri"/>
        </w:rPr>
      </w:pPr>
    </w:p>
    <w:p w14:paraId="15EDA94B" w14:textId="14B28B0A" w:rsidR="00406800" w:rsidRDefault="00406800" w:rsidP="00B52D90">
      <w:pPr>
        <w:spacing w:line="240" w:lineRule="auto"/>
        <w:contextualSpacing/>
        <w:rPr>
          <w:rFonts w:ascii="Calibri" w:hAnsi="Calibri" w:cs="Calibri"/>
        </w:rPr>
      </w:pPr>
      <w:r>
        <w:rPr>
          <w:rFonts w:ascii="Calibri" w:hAnsi="Calibri" w:cs="Calibri"/>
        </w:rPr>
        <w:t xml:space="preserve">GW BERARTI BUKAN PSM </w:t>
      </w:r>
      <w:proofErr w:type="spellStart"/>
      <w:r>
        <w:rPr>
          <w:rFonts w:ascii="Calibri" w:hAnsi="Calibri" w:cs="Calibri"/>
        </w:rPr>
        <w:t>karen</w:t>
      </w:r>
      <w:proofErr w:type="spellEnd"/>
      <w:r>
        <w:rPr>
          <w:rFonts w:ascii="Calibri" w:hAnsi="Calibri" w:cs="Calibri"/>
        </w:rPr>
        <w:t xml:space="preserve"> aga </w:t>
      </w:r>
      <w:proofErr w:type="spellStart"/>
      <w:r>
        <w:rPr>
          <w:rFonts w:ascii="Calibri" w:hAnsi="Calibri" w:cs="Calibri"/>
        </w:rPr>
        <w:t>pake</w:t>
      </w:r>
      <w:proofErr w:type="spellEnd"/>
      <w:r>
        <w:rPr>
          <w:rFonts w:ascii="Calibri" w:hAnsi="Calibri" w:cs="Calibri"/>
        </w:rPr>
        <w:t xml:space="preserve"> probability </w:t>
      </w:r>
      <w:proofErr w:type="spellStart"/>
      <w:r>
        <w:rPr>
          <w:rFonts w:ascii="Calibri" w:hAnsi="Calibri" w:cs="Calibri"/>
        </w:rPr>
        <w:t>lagi</w:t>
      </w:r>
      <w:proofErr w:type="spellEnd"/>
      <w:r>
        <w:rPr>
          <w:rFonts w:ascii="Calibri" w:hAnsi="Calibri" w:cs="Calibri"/>
        </w:rPr>
        <w:t xml:space="preserve"> </w:t>
      </w:r>
      <w:proofErr w:type="spellStart"/>
      <w:r>
        <w:rPr>
          <w:rFonts w:ascii="Calibri" w:hAnsi="Calibri" w:cs="Calibri"/>
        </w:rPr>
        <w:t>karena</w:t>
      </w:r>
      <w:proofErr w:type="spellEnd"/>
      <w:r>
        <w:rPr>
          <w:rFonts w:ascii="Calibri" w:hAnsi="Calibri" w:cs="Calibri"/>
        </w:rPr>
        <w:t xml:space="preserve"> </w:t>
      </w:r>
      <w:proofErr w:type="spellStart"/>
      <w:r>
        <w:rPr>
          <w:rFonts w:ascii="Calibri" w:hAnsi="Calibri" w:cs="Calibri"/>
        </w:rPr>
        <w:t>udah</w:t>
      </w:r>
      <w:proofErr w:type="spellEnd"/>
      <w:r>
        <w:rPr>
          <w:rFonts w:ascii="Calibri" w:hAnsi="Calibri" w:cs="Calibri"/>
        </w:rPr>
        <w:t xml:space="preserve"> </w:t>
      </w:r>
      <w:proofErr w:type="spellStart"/>
      <w:r>
        <w:rPr>
          <w:rFonts w:ascii="Calibri" w:hAnsi="Calibri" w:cs="Calibri"/>
        </w:rPr>
        <w:t>jelas</w:t>
      </w:r>
      <w:proofErr w:type="spellEnd"/>
      <w:r>
        <w:rPr>
          <w:rFonts w:ascii="Calibri" w:hAnsi="Calibri" w:cs="Calibri"/>
        </w:rPr>
        <w:t xml:space="preserve"> </w:t>
      </w:r>
      <w:proofErr w:type="spellStart"/>
      <w:r>
        <w:rPr>
          <w:rFonts w:ascii="Calibri" w:hAnsi="Calibri" w:cs="Calibri"/>
        </w:rPr>
        <w:t>siapa</w:t>
      </w:r>
      <w:proofErr w:type="spellEnd"/>
      <w:r>
        <w:rPr>
          <w:rFonts w:ascii="Calibri" w:hAnsi="Calibri" w:cs="Calibri"/>
        </w:rPr>
        <w:t xml:space="preserve"> yang comply dan </w:t>
      </w:r>
      <w:proofErr w:type="spellStart"/>
      <w:r>
        <w:rPr>
          <w:rFonts w:ascii="Calibri" w:hAnsi="Calibri" w:cs="Calibri"/>
        </w:rPr>
        <w:t>siapa</w:t>
      </w:r>
      <w:proofErr w:type="spellEnd"/>
      <w:r>
        <w:rPr>
          <w:rFonts w:ascii="Calibri" w:hAnsi="Calibri" w:cs="Calibri"/>
        </w:rPr>
        <w:t xml:space="preserve"> yang </w:t>
      </w:r>
      <w:proofErr w:type="spellStart"/>
      <w:r>
        <w:rPr>
          <w:rFonts w:ascii="Calibri" w:hAnsi="Calibri" w:cs="Calibri"/>
        </w:rPr>
        <w:t>bukan</w:t>
      </w:r>
      <w:proofErr w:type="spellEnd"/>
      <w:r>
        <w:rPr>
          <w:rFonts w:ascii="Calibri" w:hAnsi="Calibri" w:cs="Calibri"/>
        </w:rPr>
        <w:t xml:space="preserve">. </w:t>
      </w:r>
    </w:p>
    <w:p w14:paraId="182175C6" w14:textId="77777777" w:rsidR="0072194C" w:rsidRDefault="0072194C" w:rsidP="00B52D90">
      <w:pPr>
        <w:spacing w:line="240" w:lineRule="auto"/>
        <w:contextualSpacing/>
        <w:rPr>
          <w:rFonts w:ascii="Calibri" w:hAnsi="Calibri" w:cs="Calibri"/>
        </w:rPr>
      </w:pPr>
    </w:p>
    <w:p w14:paraId="3C4E140D" w14:textId="41DB827F" w:rsidR="009732D9" w:rsidRPr="003F3624" w:rsidRDefault="009732D9" w:rsidP="00B52D90">
      <w:pPr>
        <w:spacing w:line="240" w:lineRule="auto"/>
        <w:contextualSpacing/>
        <w:rPr>
          <w:rFonts w:ascii="Calibri" w:hAnsi="Calibri" w:cs="Calibri"/>
        </w:rPr>
      </w:pPr>
      <w:r w:rsidRPr="003F3624">
        <w:rPr>
          <w:rFonts w:ascii="Calibri" w:hAnsi="Calibri" w:cs="Calibri"/>
        </w:rPr>
        <w:t>What is less</w:t>
      </w:r>
      <w:r w:rsidR="00F114BA">
        <w:rPr>
          <w:rFonts w:ascii="Calibri" w:hAnsi="Calibri" w:cs="Calibri"/>
        </w:rPr>
        <w:t xml:space="preserve"> known</w:t>
      </w:r>
      <w:r w:rsidR="00BD73CE">
        <w:rPr>
          <w:rFonts w:ascii="Calibri" w:hAnsi="Calibri" w:cs="Calibri"/>
        </w:rPr>
        <w:t xml:space="preserve"> </w:t>
      </w:r>
      <w:proofErr w:type="spellStart"/>
      <w:r w:rsidR="00BD73CE">
        <w:rPr>
          <w:rFonts w:ascii="Calibri" w:hAnsi="Calibri" w:cs="Calibri"/>
        </w:rPr>
        <w:t>ada</w:t>
      </w:r>
      <w:proofErr w:type="spellEnd"/>
      <w:r w:rsidR="00BD73CE">
        <w:rPr>
          <w:rFonts w:ascii="Calibri" w:hAnsi="Calibri" w:cs="Calibri"/>
        </w:rPr>
        <w:t xml:space="preserve"> confounding</w:t>
      </w:r>
    </w:p>
    <w:p w14:paraId="09991A85" w14:textId="7C870D28" w:rsidR="009732D9" w:rsidRDefault="00FC667C" w:rsidP="003F3624">
      <w:pPr>
        <w:pStyle w:val="ListParagraph"/>
        <w:numPr>
          <w:ilvl w:val="0"/>
          <w:numId w:val="1"/>
        </w:numPr>
        <w:spacing w:line="240" w:lineRule="auto"/>
        <w:rPr>
          <w:rFonts w:ascii="Calibri" w:hAnsi="Calibri" w:cs="Calibri"/>
        </w:rPr>
      </w:pPr>
      <w:r>
        <w:rPr>
          <w:rFonts w:ascii="Calibri" w:hAnsi="Calibri" w:cs="Calibri"/>
        </w:rPr>
        <w:t>More recent works started to explicitly employ experimental technique or reasoning with different goals</w:t>
      </w:r>
      <w:r w:rsidR="006D2F65">
        <w:rPr>
          <w:rFonts w:ascii="Calibri" w:hAnsi="Calibri" w:cs="Calibri"/>
        </w:rPr>
        <w:t>, varying from</w:t>
      </w:r>
      <w:r>
        <w:rPr>
          <w:rFonts w:ascii="Calibri" w:hAnsi="Calibri" w:cs="Calibri"/>
        </w:rPr>
        <w:t xml:space="preserve"> </w:t>
      </w:r>
      <w:r w:rsidR="006D2F65">
        <w:rPr>
          <w:rFonts w:ascii="Calibri" w:hAnsi="Calibri" w:cs="Calibri"/>
        </w:rPr>
        <w:t>assessing the impact of quota on the share of women in candidate list (</w:t>
      </w:r>
      <w:proofErr w:type="spellStart"/>
      <w:r w:rsidR="006D2F65">
        <w:rPr>
          <w:rFonts w:ascii="Calibri" w:hAnsi="Calibri" w:cs="Calibri"/>
        </w:rPr>
        <w:t>Bagues</w:t>
      </w:r>
      <w:proofErr w:type="spellEnd"/>
      <w:r w:rsidR="006D2F65">
        <w:rPr>
          <w:rFonts w:ascii="Calibri" w:hAnsi="Calibri" w:cs="Calibri"/>
        </w:rPr>
        <w:t xml:space="preserve"> and Campa 2021), </w:t>
      </w:r>
      <w:r w:rsidR="00BF4867">
        <w:rPr>
          <w:rFonts w:ascii="Calibri" w:hAnsi="Calibri" w:cs="Calibri"/>
        </w:rPr>
        <w:t>the impact on gendered performance evaluations (</w:t>
      </w:r>
      <w:proofErr w:type="spellStart"/>
      <w:r w:rsidR="00BF4867">
        <w:rPr>
          <w:rFonts w:ascii="Calibri" w:hAnsi="Calibri" w:cs="Calibri"/>
        </w:rPr>
        <w:t>Neschen</w:t>
      </w:r>
      <w:proofErr w:type="spellEnd"/>
      <w:r w:rsidR="00BF4867">
        <w:rPr>
          <w:rFonts w:ascii="Calibri" w:hAnsi="Calibri" w:cs="Calibri"/>
        </w:rPr>
        <w:t xml:space="preserve"> and </w:t>
      </w:r>
      <w:proofErr w:type="spellStart"/>
      <w:r w:rsidR="00BF4867">
        <w:rPr>
          <w:rFonts w:ascii="Calibri" w:hAnsi="Calibri" w:cs="Calibri"/>
        </w:rPr>
        <w:t>Hügelschäfer</w:t>
      </w:r>
      <w:proofErr w:type="spellEnd"/>
      <w:r w:rsidR="00BF4867">
        <w:rPr>
          <w:rFonts w:ascii="Calibri" w:hAnsi="Calibri" w:cs="Calibri"/>
        </w:rPr>
        <w:t xml:space="preserve"> 2021) interactive effect with list positions and gender (</w:t>
      </w:r>
      <w:proofErr w:type="spellStart"/>
      <w:r w:rsidR="00BF4867">
        <w:rPr>
          <w:rFonts w:ascii="Calibri" w:hAnsi="Calibri" w:cs="Calibri"/>
        </w:rPr>
        <w:t>Devroe</w:t>
      </w:r>
      <w:proofErr w:type="spellEnd"/>
      <w:r w:rsidR="00BF4867">
        <w:rPr>
          <w:rFonts w:ascii="Calibri" w:hAnsi="Calibri" w:cs="Calibri"/>
        </w:rPr>
        <w:t xml:space="preserve"> 2019), </w:t>
      </w:r>
      <w:r w:rsidR="00325EE5">
        <w:rPr>
          <w:rFonts w:ascii="Calibri" w:hAnsi="Calibri" w:cs="Calibri"/>
        </w:rPr>
        <w:t xml:space="preserve">to </w:t>
      </w:r>
      <w:r w:rsidR="00D82921">
        <w:rPr>
          <w:rFonts w:ascii="Calibri" w:hAnsi="Calibri" w:cs="Calibri"/>
        </w:rPr>
        <w:t xml:space="preserve">assessing its influence on </w:t>
      </w:r>
      <w:r w:rsidR="00BF4867">
        <w:rPr>
          <w:rFonts w:ascii="Calibri" w:hAnsi="Calibri" w:cs="Calibri"/>
        </w:rPr>
        <w:t>broader women voter’s political engagement (Clayton 2015)</w:t>
      </w:r>
      <w:r w:rsidR="006D2F65">
        <w:rPr>
          <w:rFonts w:ascii="Calibri" w:hAnsi="Calibri" w:cs="Calibri"/>
        </w:rPr>
        <w:t xml:space="preserve"> </w:t>
      </w:r>
      <w:r w:rsidR="009732D9" w:rsidRPr="003F3624">
        <w:rPr>
          <w:rFonts w:ascii="Calibri" w:hAnsi="Calibri" w:cs="Calibri"/>
        </w:rPr>
        <w:t xml:space="preserve">Few </w:t>
      </w:r>
      <w:r w:rsidR="00F114BA" w:rsidRPr="003F3624">
        <w:rPr>
          <w:rFonts w:ascii="Calibri" w:hAnsi="Calibri" w:cs="Calibri"/>
        </w:rPr>
        <w:t>exceptions</w:t>
      </w:r>
      <w:r w:rsidR="009732D9" w:rsidRPr="003F3624">
        <w:rPr>
          <w:rFonts w:ascii="Calibri" w:hAnsi="Calibri" w:cs="Calibri"/>
        </w:rPr>
        <w:t xml:space="preserve"> on this studies </w:t>
      </w:r>
      <w:r w:rsidR="00334A05">
        <w:rPr>
          <w:rFonts w:ascii="Calibri" w:hAnsi="Calibri" w:cs="Calibri"/>
        </w:rPr>
        <w:t xml:space="preserve">are </w:t>
      </w:r>
      <w:proofErr w:type="spellStart"/>
      <w:r>
        <w:rPr>
          <w:rFonts w:ascii="Calibri" w:hAnsi="Calibri" w:cs="Calibri"/>
        </w:rPr>
        <w:t>Karpowitz</w:t>
      </w:r>
      <w:proofErr w:type="spellEnd"/>
      <w:r>
        <w:rPr>
          <w:rFonts w:ascii="Calibri" w:hAnsi="Calibri" w:cs="Calibri"/>
        </w:rPr>
        <w:t xml:space="preserve"> et al. (2017) who</w:t>
      </w:r>
      <w:r w:rsidR="00917FC6">
        <w:rPr>
          <w:rFonts w:ascii="Calibri" w:hAnsi="Calibri" w:cs="Calibri"/>
        </w:rPr>
        <w:t xml:space="preserve">. </w:t>
      </w:r>
    </w:p>
    <w:p w14:paraId="6D5D5BF6" w14:textId="3CEF6661" w:rsidR="00917FC6" w:rsidRPr="003F3624" w:rsidRDefault="00917FC6" w:rsidP="003F3624">
      <w:pPr>
        <w:pStyle w:val="ListParagraph"/>
        <w:numPr>
          <w:ilvl w:val="0"/>
          <w:numId w:val="1"/>
        </w:numPr>
        <w:spacing w:line="240" w:lineRule="auto"/>
        <w:rPr>
          <w:rFonts w:ascii="Calibri" w:hAnsi="Calibri" w:cs="Calibri"/>
        </w:rPr>
      </w:pPr>
      <w:r>
        <w:rPr>
          <w:rFonts w:ascii="Calibri" w:hAnsi="Calibri" w:cs="Calibri"/>
        </w:rPr>
        <w:lastRenderedPageBreak/>
        <w:t xml:space="preserve">Second, subnational analysis </w:t>
      </w:r>
      <w:proofErr w:type="spellStart"/>
      <w:r>
        <w:rPr>
          <w:rFonts w:ascii="Calibri" w:hAnsi="Calibri" w:cs="Calibri"/>
        </w:rPr>
        <w:t>kurang</w:t>
      </w:r>
      <w:proofErr w:type="spellEnd"/>
      <w:r>
        <w:rPr>
          <w:rFonts w:ascii="Calibri" w:hAnsi="Calibri" w:cs="Calibri"/>
        </w:rPr>
        <w:t xml:space="preserve"> (Clayton)</w:t>
      </w:r>
    </w:p>
    <w:p w14:paraId="07742E84" w14:textId="79F3A605" w:rsidR="001C0AF1" w:rsidRPr="003F3624" w:rsidRDefault="001C0AF1" w:rsidP="003F3624">
      <w:pPr>
        <w:pStyle w:val="ListParagraph"/>
        <w:numPr>
          <w:ilvl w:val="0"/>
          <w:numId w:val="1"/>
        </w:numPr>
        <w:spacing w:line="240" w:lineRule="auto"/>
        <w:rPr>
          <w:rFonts w:ascii="Calibri" w:hAnsi="Calibri" w:cs="Calibri"/>
        </w:rPr>
      </w:pPr>
      <w:r w:rsidRPr="003F3624">
        <w:rPr>
          <w:rFonts w:ascii="Calibri" w:hAnsi="Calibri" w:cs="Calibri"/>
        </w:rPr>
        <w:t xml:space="preserve">I focus on a design based, instead of statistical modelling. </w:t>
      </w:r>
    </w:p>
    <w:p w14:paraId="5C450322" w14:textId="0CC14E56" w:rsidR="001C0AF1" w:rsidRPr="003F3624" w:rsidRDefault="001C0AF1" w:rsidP="003F3624">
      <w:pPr>
        <w:pStyle w:val="ListParagraph"/>
        <w:numPr>
          <w:ilvl w:val="0"/>
          <w:numId w:val="1"/>
        </w:numPr>
        <w:spacing w:line="240" w:lineRule="auto"/>
        <w:rPr>
          <w:rFonts w:ascii="Calibri" w:hAnsi="Calibri" w:cs="Calibri"/>
        </w:rPr>
      </w:pPr>
      <w:r w:rsidRPr="003F3624">
        <w:rPr>
          <w:rFonts w:ascii="Calibri" w:hAnsi="Calibri" w:cs="Calibri"/>
        </w:rPr>
        <w:t xml:space="preserve">I exploit the </w:t>
      </w:r>
      <w:proofErr w:type="spellStart"/>
      <w:r w:rsidRPr="003F3624">
        <w:rPr>
          <w:rFonts w:ascii="Calibri" w:hAnsi="Calibri" w:cs="Calibri"/>
        </w:rPr>
        <w:t>changin</w:t>
      </w:r>
      <w:proofErr w:type="spellEnd"/>
      <w:r w:rsidRPr="003F3624">
        <w:rPr>
          <w:rFonts w:ascii="Calibri" w:hAnsi="Calibri" w:cs="Calibri"/>
        </w:rPr>
        <w:t xml:space="preserve"> rule of quota by Indonesian KPU</w:t>
      </w:r>
    </w:p>
    <w:p w14:paraId="19DD4E70" w14:textId="52C82DFA" w:rsidR="001C0AF1" w:rsidRPr="003F3624" w:rsidRDefault="001C0AF1" w:rsidP="003F3624">
      <w:pPr>
        <w:pStyle w:val="ListParagraph"/>
        <w:numPr>
          <w:ilvl w:val="0"/>
          <w:numId w:val="1"/>
        </w:numPr>
        <w:spacing w:line="240" w:lineRule="auto"/>
        <w:rPr>
          <w:rFonts w:ascii="Calibri" w:hAnsi="Calibri" w:cs="Calibri"/>
        </w:rPr>
      </w:pPr>
      <w:r w:rsidRPr="003F3624">
        <w:rPr>
          <w:rFonts w:ascii="Calibri" w:hAnsi="Calibri" w:cs="Calibri"/>
        </w:rPr>
        <w:t>Method and technique</w:t>
      </w:r>
    </w:p>
    <w:p w14:paraId="206B43F4" w14:textId="209264B8" w:rsidR="001C0AF1" w:rsidRPr="003F3624" w:rsidRDefault="001C0AF1" w:rsidP="003F3624">
      <w:pPr>
        <w:pStyle w:val="ListParagraph"/>
        <w:numPr>
          <w:ilvl w:val="0"/>
          <w:numId w:val="1"/>
        </w:numPr>
        <w:spacing w:line="240" w:lineRule="auto"/>
        <w:rPr>
          <w:rFonts w:ascii="Calibri" w:hAnsi="Calibri" w:cs="Calibri"/>
        </w:rPr>
      </w:pPr>
      <w:r w:rsidRPr="003F3624">
        <w:rPr>
          <w:rFonts w:ascii="Calibri" w:hAnsi="Calibri" w:cs="Calibri"/>
        </w:rPr>
        <w:t>My findings are</w:t>
      </w:r>
    </w:p>
    <w:p w14:paraId="4CA0630B" w14:textId="0200ACFA" w:rsidR="001C0AF1" w:rsidRPr="003F3624" w:rsidRDefault="001C0AF1" w:rsidP="003F3624">
      <w:pPr>
        <w:pStyle w:val="ListParagraph"/>
        <w:numPr>
          <w:ilvl w:val="0"/>
          <w:numId w:val="1"/>
        </w:numPr>
        <w:spacing w:line="240" w:lineRule="auto"/>
        <w:rPr>
          <w:rFonts w:ascii="Calibri" w:hAnsi="Calibri" w:cs="Calibri"/>
        </w:rPr>
      </w:pPr>
      <w:r w:rsidRPr="003F3624">
        <w:rPr>
          <w:rFonts w:ascii="Calibri" w:hAnsi="Calibri" w:cs="Calibri"/>
        </w:rPr>
        <w:t>The small effect of Islam</w:t>
      </w:r>
    </w:p>
    <w:p w14:paraId="7416F3F1" w14:textId="08D9A77F" w:rsidR="001C0AF1" w:rsidRPr="003F3624" w:rsidRDefault="001C0AF1" w:rsidP="003F3624">
      <w:pPr>
        <w:pStyle w:val="ListParagraph"/>
        <w:numPr>
          <w:ilvl w:val="0"/>
          <w:numId w:val="1"/>
        </w:numPr>
        <w:spacing w:line="240" w:lineRule="auto"/>
        <w:rPr>
          <w:rFonts w:ascii="Calibri" w:hAnsi="Calibri" w:cs="Calibri"/>
        </w:rPr>
      </w:pPr>
      <w:r w:rsidRPr="003F3624">
        <w:rPr>
          <w:rFonts w:ascii="Calibri" w:hAnsi="Calibri" w:cs="Calibri"/>
        </w:rPr>
        <w:t xml:space="preserve">This speaks to </w:t>
      </w:r>
    </w:p>
    <w:p w14:paraId="3EB47C7C" w14:textId="77777777" w:rsidR="009C484B" w:rsidRPr="009C484B" w:rsidRDefault="009C484B" w:rsidP="002A6CD3">
      <w:pPr>
        <w:spacing w:line="240" w:lineRule="auto"/>
        <w:contextualSpacing/>
        <w:rPr>
          <w:rFonts w:ascii="Calibri" w:hAnsi="Calibri" w:cs="Calibri"/>
        </w:rPr>
      </w:pPr>
    </w:p>
    <w:p w14:paraId="5CD4BD0A" w14:textId="5F42CD2F" w:rsidR="00C01996" w:rsidRPr="00787F20" w:rsidRDefault="009C484B" w:rsidP="002A6CD3">
      <w:pPr>
        <w:spacing w:line="240" w:lineRule="auto"/>
        <w:contextualSpacing/>
        <w:rPr>
          <w:rFonts w:ascii="Calibri" w:hAnsi="Calibri" w:cs="Calibri"/>
          <w:color w:val="FF0000"/>
        </w:rPr>
      </w:pPr>
      <w:r>
        <w:rPr>
          <w:rFonts w:ascii="Calibri" w:hAnsi="Calibri" w:cs="Calibri"/>
          <w:b/>
          <w:bCs/>
        </w:rPr>
        <w:t>Alternative explanations</w:t>
      </w:r>
      <w:r w:rsidR="00FF1F0A">
        <w:rPr>
          <w:rFonts w:ascii="Calibri" w:hAnsi="Calibri" w:cs="Calibri"/>
        </w:rPr>
        <w:t xml:space="preserve">: </w:t>
      </w:r>
      <w:r w:rsidR="00FF1F0A" w:rsidRPr="00FF1F0A">
        <w:rPr>
          <w:rFonts w:ascii="Calibri" w:hAnsi="Calibri" w:cs="Calibri"/>
          <w:color w:val="FF0000"/>
        </w:rPr>
        <w:t>Logit Regression Small parties and big parties</w:t>
      </w:r>
      <w:r w:rsidR="00807226">
        <w:rPr>
          <w:rFonts w:ascii="Calibri" w:hAnsi="Calibri" w:cs="Calibri"/>
          <w:color w:val="FF0000"/>
        </w:rPr>
        <w:t xml:space="preserve"> (10 percent)</w:t>
      </w:r>
    </w:p>
    <w:p w14:paraId="28C1F6DC" w14:textId="2D64AA8F" w:rsidR="00924A2D" w:rsidRDefault="00F649F8" w:rsidP="002A6CD3">
      <w:pPr>
        <w:spacing w:line="240" w:lineRule="auto"/>
        <w:contextualSpacing/>
        <w:rPr>
          <w:rFonts w:ascii="Calibri" w:hAnsi="Calibri" w:cs="Calibri"/>
        </w:rPr>
      </w:pPr>
      <w:r w:rsidRPr="00F649F8">
        <w:rPr>
          <w:rFonts w:ascii="Calibri" w:hAnsi="Calibri" w:cs="Calibri"/>
        </w:rPr>
        <w:t>One benefit of using PSM is that the assumption of random assignment to the treatment variable can be relaxed</w:t>
      </w:r>
      <w:r w:rsidR="002C094F">
        <w:rPr>
          <w:rFonts w:ascii="Calibri" w:hAnsi="Calibri" w:cs="Calibri"/>
        </w:rPr>
        <w:t xml:space="preserve"> (</w:t>
      </w:r>
      <w:r w:rsidR="004A12AE" w:rsidRPr="004A12AE">
        <w:rPr>
          <w:rFonts w:ascii="Calibri" w:hAnsi="Calibri" w:cs="Calibri"/>
          <w:color w:val="FF0000"/>
        </w:rPr>
        <w:t xml:space="preserve">why only traditional PSM? </w:t>
      </w:r>
      <w:proofErr w:type="spellStart"/>
      <w:r w:rsidR="008874A5" w:rsidRPr="004A12AE">
        <w:rPr>
          <w:rFonts w:ascii="Calibri" w:hAnsi="Calibri" w:cs="Calibri"/>
          <w:color w:val="FF0000"/>
        </w:rPr>
        <w:t>mereka</w:t>
      </w:r>
      <w:proofErr w:type="spellEnd"/>
      <w:r w:rsidR="008874A5" w:rsidRPr="004A12AE">
        <w:rPr>
          <w:rFonts w:ascii="Calibri" w:hAnsi="Calibri" w:cs="Calibri"/>
          <w:color w:val="FF0000"/>
        </w:rPr>
        <w:t xml:space="preserve"> </w:t>
      </w:r>
      <w:proofErr w:type="spellStart"/>
      <w:r w:rsidR="008874A5" w:rsidRPr="008874A5">
        <w:rPr>
          <w:rFonts w:ascii="Calibri" w:hAnsi="Calibri" w:cs="Calibri"/>
          <w:color w:val="FF0000"/>
        </w:rPr>
        <w:t>bukan</w:t>
      </w:r>
      <w:proofErr w:type="spellEnd"/>
      <w:r w:rsidR="008874A5" w:rsidRPr="008874A5">
        <w:rPr>
          <w:rFonts w:ascii="Calibri" w:hAnsi="Calibri" w:cs="Calibri"/>
          <w:color w:val="FF0000"/>
        </w:rPr>
        <w:t xml:space="preserve"> </w:t>
      </w:r>
      <w:proofErr w:type="spellStart"/>
      <w:r w:rsidR="008874A5" w:rsidRPr="008874A5">
        <w:rPr>
          <w:rFonts w:ascii="Calibri" w:hAnsi="Calibri" w:cs="Calibri"/>
          <w:color w:val="FF0000"/>
        </w:rPr>
        <w:t>pake</w:t>
      </w:r>
      <w:proofErr w:type="spellEnd"/>
      <w:r w:rsidR="008874A5" w:rsidRPr="008874A5">
        <w:rPr>
          <w:rFonts w:ascii="Calibri" w:hAnsi="Calibri" w:cs="Calibri"/>
          <w:color w:val="FF0000"/>
        </w:rPr>
        <w:t xml:space="preserve"> PSM </w:t>
      </w:r>
      <w:proofErr w:type="spellStart"/>
      <w:r w:rsidR="008874A5" w:rsidRPr="008874A5">
        <w:rPr>
          <w:rFonts w:ascii="Calibri" w:hAnsi="Calibri" w:cs="Calibri"/>
          <w:color w:val="FF0000"/>
        </w:rPr>
        <w:t>tapi</w:t>
      </w:r>
      <w:proofErr w:type="spellEnd"/>
      <w:r w:rsidR="008874A5" w:rsidRPr="008874A5">
        <w:rPr>
          <w:rFonts w:ascii="Calibri" w:hAnsi="Calibri" w:cs="Calibri"/>
          <w:color w:val="FF0000"/>
        </w:rPr>
        <w:t xml:space="preserve"> matching lain, </w:t>
      </w:r>
      <w:r w:rsidR="002C094F" w:rsidRPr="002C094F">
        <w:rPr>
          <w:rFonts w:ascii="Calibri" w:hAnsi="Calibri" w:cs="Calibri"/>
          <w:color w:val="FF0000"/>
        </w:rPr>
        <w:t>quote</w:t>
      </w:r>
      <w:r w:rsidR="00EC1592">
        <w:rPr>
          <w:rFonts w:ascii="Calibri" w:hAnsi="Calibri" w:cs="Calibri"/>
          <w:color w:val="FF0000"/>
        </w:rPr>
        <w:t xml:space="preserve"> </w:t>
      </w:r>
      <w:proofErr w:type="spellStart"/>
      <w:r w:rsidR="00EC1592">
        <w:rPr>
          <w:rFonts w:ascii="Calibri" w:hAnsi="Calibri" w:cs="Calibri"/>
          <w:color w:val="FF0000"/>
        </w:rPr>
        <w:t>baca</w:t>
      </w:r>
      <w:proofErr w:type="spellEnd"/>
      <w:r w:rsidR="00EC1592">
        <w:rPr>
          <w:rFonts w:ascii="Calibri" w:hAnsi="Calibri" w:cs="Calibri"/>
          <w:color w:val="FF0000"/>
        </w:rPr>
        <w:t xml:space="preserve"> Giancarlo PSRM and Rosenbaum 1998 2002</w:t>
      </w:r>
      <w:r w:rsidR="002C094F">
        <w:rPr>
          <w:rFonts w:ascii="Calibri" w:hAnsi="Calibri" w:cs="Calibri"/>
        </w:rPr>
        <w:t>)</w:t>
      </w:r>
      <w:r w:rsidRPr="00F649F8">
        <w:rPr>
          <w:rFonts w:ascii="Calibri" w:hAnsi="Calibri" w:cs="Calibri"/>
        </w:rPr>
        <w:t xml:space="preserve">. This is because PSM relies more on balancing covariates between the control and treated groups, assuming that unobserved variables are </w:t>
      </w:r>
      <w:r w:rsidR="00B84AD0">
        <w:rPr>
          <w:rFonts w:ascii="Calibri" w:hAnsi="Calibri" w:cs="Calibri"/>
        </w:rPr>
        <w:t xml:space="preserve">appropriately </w:t>
      </w:r>
      <w:r w:rsidRPr="00F649F8">
        <w:rPr>
          <w:rFonts w:ascii="Calibri" w:hAnsi="Calibri" w:cs="Calibri"/>
        </w:rPr>
        <w:t xml:space="preserve">accounted for. </w:t>
      </w:r>
      <w:proofErr w:type="spellStart"/>
      <w:r w:rsidR="001A203D" w:rsidRPr="001A203D">
        <w:rPr>
          <w:rFonts w:ascii="Calibri" w:hAnsi="Calibri" w:cs="Calibri"/>
          <w:color w:val="A02B93" w:themeColor="accent5"/>
        </w:rPr>
        <w:t>Tambah</w:t>
      </w:r>
      <w:proofErr w:type="spellEnd"/>
      <w:r w:rsidR="001A203D" w:rsidRPr="001A203D">
        <w:rPr>
          <w:rFonts w:ascii="Calibri" w:hAnsi="Calibri" w:cs="Calibri"/>
          <w:color w:val="A02B93" w:themeColor="accent5"/>
        </w:rPr>
        <w:t xml:space="preserve"> dua </w:t>
      </w:r>
      <w:proofErr w:type="spellStart"/>
      <w:r w:rsidR="001A203D" w:rsidRPr="001A203D">
        <w:rPr>
          <w:rFonts w:ascii="Calibri" w:hAnsi="Calibri" w:cs="Calibri"/>
          <w:color w:val="A02B93" w:themeColor="accent5"/>
        </w:rPr>
        <w:t>kalimat</w:t>
      </w:r>
      <w:proofErr w:type="spellEnd"/>
      <w:r w:rsidR="001A203D" w:rsidRPr="001A203D">
        <w:rPr>
          <w:rFonts w:ascii="Calibri" w:hAnsi="Calibri" w:cs="Calibri"/>
          <w:color w:val="A02B93" w:themeColor="accent5"/>
        </w:rPr>
        <w:t xml:space="preserve"> </w:t>
      </w:r>
      <w:proofErr w:type="spellStart"/>
      <w:r w:rsidR="001A203D" w:rsidRPr="001A203D">
        <w:rPr>
          <w:rFonts w:ascii="Calibri" w:hAnsi="Calibri" w:cs="Calibri"/>
          <w:color w:val="A02B93" w:themeColor="accent5"/>
        </w:rPr>
        <w:t>terkait</w:t>
      </w:r>
      <w:proofErr w:type="spellEnd"/>
      <w:r w:rsidR="001A203D" w:rsidRPr="001A203D">
        <w:rPr>
          <w:rFonts w:ascii="Calibri" w:hAnsi="Calibri" w:cs="Calibri"/>
          <w:color w:val="A02B93" w:themeColor="accent5"/>
        </w:rPr>
        <w:t xml:space="preserve"> </w:t>
      </w:r>
      <w:proofErr w:type="spellStart"/>
      <w:r w:rsidR="001A203D" w:rsidRPr="001A203D">
        <w:rPr>
          <w:rFonts w:ascii="Calibri" w:hAnsi="Calibri" w:cs="Calibri"/>
          <w:color w:val="A02B93" w:themeColor="accent5"/>
        </w:rPr>
        <w:t>ini</w:t>
      </w:r>
      <w:proofErr w:type="spellEnd"/>
      <w:r w:rsidR="001A203D">
        <w:rPr>
          <w:rFonts w:ascii="Calibri" w:hAnsi="Calibri" w:cs="Calibri"/>
        </w:rPr>
        <w:t xml:space="preserve">. </w:t>
      </w:r>
      <w:r w:rsidRPr="00F649F8">
        <w:rPr>
          <w:rFonts w:ascii="Calibri" w:hAnsi="Calibri" w:cs="Calibri"/>
        </w:rPr>
        <w:t xml:space="preserve">However, one might argue that the treatment assignment regarding quota compliance among parties still suffers from key unobserved confounders. For example, parties may differ in their attitudes toward the changing quota rules and may view these changes as a strategy to gain more support from </w:t>
      </w:r>
      <w:r>
        <w:rPr>
          <w:rFonts w:ascii="Calibri" w:hAnsi="Calibri" w:cs="Calibri"/>
        </w:rPr>
        <w:t>electorates.</w:t>
      </w:r>
      <w:r w:rsidR="009845FC">
        <w:rPr>
          <w:rFonts w:ascii="Calibri" w:hAnsi="Calibri" w:cs="Calibri"/>
        </w:rPr>
        <w:t xml:space="preserve"> </w:t>
      </w:r>
      <w:r w:rsidR="006E2D30">
        <w:rPr>
          <w:rFonts w:ascii="Calibri" w:hAnsi="Calibri" w:cs="Calibri"/>
        </w:rPr>
        <w:t xml:space="preserve">In the </w:t>
      </w:r>
      <w:r w:rsidR="002C36A5">
        <w:rPr>
          <w:rFonts w:ascii="Calibri" w:hAnsi="Calibri" w:cs="Calibri"/>
        </w:rPr>
        <w:t>months</w:t>
      </w:r>
      <w:r w:rsidR="006E2D30">
        <w:rPr>
          <w:rFonts w:ascii="Calibri" w:hAnsi="Calibri" w:cs="Calibri"/>
        </w:rPr>
        <w:t xml:space="preserve"> leading up to the election,</w:t>
      </w:r>
      <w:r w:rsidRPr="00F649F8">
        <w:rPr>
          <w:rFonts w:ascii="Calibri" w:hAnsi="Calibri" w:cs="Calibri"/>
        </w:rPr>
        <w:t xml:space="preserve"> public vehemently opposed the rule, and leading civil society organizations took the KPU's decision to the Indonesian Supreme Court, which ultimately ruled that the KPU had violated the law and that the gender quota must be restored to a minimum of 30 percent</w:t>
      </w:r>
      <w:r w:rsidR="002C094F">
        <w:rPr>
          <w:rFonts w:ascii="Calibri" w:hAnsi="Calibri" w:cs="Calibri"/>
        </w:rPr>
        <w:t xml:space="preserve"> (</w:t>
      </w:r>
      <w:r w:rsidR="002C094F" w:rsidRPr="002C094F">
        <w:rPr>
          <w:rFonts w:ascii="Calibri" w:hAnsi="Calibri" w:cs="Calibri"/>
          <w:color w:val="FF0000"/>
        </w:rPr>
        <w:t>quote</w:t>
      </w:r>
      <w:r w:rsidR="002C094F">
        <w:rPr>
          <w:rFonts w:ascii="Calibri" w:hAnsi="Calibri" w:cs="Calibri"/>
        </w:rPr>
        <w:t>)</w:t>
      </w:r>
      <w:r w:rsidRPr="00F649F8">
        <w:rPr>
          <w:rFonts w:ascii="Calibri" w:hAnsi="Calibri" w:cs="Calibri"/>
        </w:rPr>
        <w:t>.</w:t>
      </w:r>
      <w:r>
        <w:rPr>
          <w:rFonts w:ascii="Calibri" w:hAnsi="Calibri" w:cs="Calibri"/>
        </w:rPr>
        <w:t xml:space="preserve"> </w:t>
      </w:r>
      <w:r w:rsidR="00564403" w:rsidRPr="00564403">
        <w:rPr>
          <w:rFonts w:ascii="Calibri" w:hAnsi="Calibri" w:cs="Calibri"/>
        </w:rPr>
        <w:t>But the KPU ignored the Supreme Court's decision, resulting in the number of female candidates depending on the party's decision – without any repercussions for non-compliance</w:t>
      </w:r>
      <w:r w:rsidR="004722C7">
        <w:rPr>
          <w:rFonts w:ascii="Calibri" w:hAnsi="Calibri" w:cs="Calibri"/>
        </w:rPr>
        <w:t xml:space="preserve">. </w:t>
      </w:r>
      <w:r w:rsidR="0008295E">
        <w:rPr>
          <w:rFonts w:ascii="Calibri" w:hAnsi="Calibri" w:cs="Calibri"/>
        </w:rPr>
        <w:t>It is thus</w:t>
      </w:r>
      <w:r w:rsidR="004722C7">
        <w:rPr>
          <w:rFonts w:ascii="Calibri" w:hAnsi="Calibri" w:cs="Calibri"/>
        </w:rPr>
        <w:t xml:space="preserve"> </w:t>
      </w:r>
      <w:r w:rsidR="00224636">
        <w:rPr>
          <w:rFonts w:ascii="Calibri" w:hAnsi="Calibri" w:cs="Calibri"/>
        </w:rPr>
        <w:t xml:space="preserve">logical to </w:t>
      </w:r>
      <w:r w:rsidR="00352634">
        <w:rPr>
          <w:rFonts w:ascii="Calibri" w:hAnsi="Calibri" w:cs="Calibri"/>
        </w:rPr>
        <w:t>claim that</w:t>
      </w:r>
      <w:r w:rsidR="00C75291">
        <w:rPr>
          <w:rFonts w:ascii="Calibri" w:hAnsi="Calibri" w:cs="Calibri"/>
        </w:rPr>
        <w:t xml:space="preserve"> compliance to the new quota ruling </w:t>
      </w:r>
      <w:r w:rsidR="00352634">
        <w:rPr>
          <w:rFonts w:ascii="Calibri" w:hAnsi="Calibri" w:cs="Calibri"/>
        </w:rPr>
        <w:t>can be</w:t>
      </w:r>
      <w:r w:rsidR="000325F4">
        <w:rPr>
          <w:rFonts w:ascii="Calibri" w:hAnsi="Calibri" w:cs="Calibri"/>
        </w:rPr>
        <w:t xml:space="preserve"> </w:t>
      </w:r>
      <w:r w:rsidR="006536B2">
        <w:rPr>
          <w:rFonts w:ascii="Calibri" w:hAnsi="Calibri" w:cs="Calibri"/>
        </w:rPr>
        <w:t xml:space="preserve">endogenous to </w:t>
      </w:r>
      <w:r w:rsidR="001B7895">
        <w:rPr>
          <w:rFonts w:ascii="Calibri" w:hAnsi="Calibri" w:cs="Calibri"/>
        </w:rPr>
        <w:t xml:space="preserve">the </w:t>
      </w:r>
      <w:r w:rsidR="002E671C">
        <w:rPr>
          <w:rFonts w:ascii="Calibri" w:hAnsi="Calibri" w:cs="Calibri"/>
        </w:rPr>
        <w:t>divergent</w:t>
      </w:r>
      <w:r w:rsidR="001B7895">
        <w:rPr>
          <w:rFonts w:ascii="Calibri" w:hAnsi="Calibri" w:cs="Calibri"/>
        </w:rPr>
        <w:t xml:space="preserve"> response </w:t>
      </w:r>
      <w:r w:rsidR="00287C8B">
        <w:rPr>
          <w:rFonts w:ascii="Calibri" w:hAnsi="Calibri" w:cs="Calibri"/>
        </w:rPr>
        <w:t xml:space="preserve">between parties, given </w:t>
      </w:r>
      <w:r w:rsidR="001533AF">
        <w:rPr>
          <w:rFonts w:ascii="Calibri" w:hAnsi="Calibri" w:cs="Calibri"/>
        </w:rPr>
        <w:t>each party</w:t>
      </w:r>
      <w:r w:rsidR="00555715">
        <w:rPr>
          <w:rFonts w:ascii="Calibri" w:hAnsi="Calibri" w:cs="Calibri"/>
        </w:rPr>
        <w:t xml:space="preserve"> can behave differentl</w:t>
      </w:r>
      <w:r w:rsidR="00A24525">
        <w:rPr>
          <w:rFonts w:ascii="Calibri" w:hAnsi="Calibri" w:cs="Calibri"/>
        </w:rPr>
        <w:t xml:space="preserve">y </w:t>
      </w:r>
      <w:r w:rsidR="00361B02">
        <w:rPr>
          <w:rFonts w:ascii="Calibri" w:hAnsi="Calibri" w:cs="Calibri"/>
        </w:rPr>
        <w:t xml:space="preserve">with the expectation for grabbing </w:t>
      </w:r>
      <w:r w:rsidR="00BE2A04">
        <w:rPr>
          <w:rFonts w:ascii="Calibri" w:hAnsi="Calibri" w:cs="Calibri"/>
        </w:rPr>
        <w:t xml:space="preserve">more votes. </w:t>
      </w:r>
    </w:p>
    <w:p w14:paraId="66EDEFFC" w14:textId="4B91B1D1" w:rsidR="00BE1709" w:rsidRDefault="00BE1709" w:rsidP="002A6CD3">
      <w:pPr>
        <w:spacing w:line="240" w:lineRule="auto"/>
        <w:contextualSpacing/>
        <w:rPr>
          <w:rFonts w:ascii="Calibri" w:hAnsi="Calibri" w:cs="Calibri"/>
        </w:rPr>
      </w:pPr>
    </w:p>
    <w:p w14:paraId="7D8BDEA8" w14:textId="6D988EE7" w:rsidR="00BE1709" w:rsidRDefault="00DA486D" w:rsidP="002A6CD3">
      <w:pPr>
        <w:spacing w:line="240" w:lineRule="auto"/>
        <w:contextualSpacing/>
        <w:rPr>
          <w:rFonts w:ascii="Calibri" w:hAnsi="Calibri" w:cs="Calibri"/>
        </w:rPr>
      </w:pPr>
      <w:r>
        <w:rPr>
          <w:rFonts w:ascii="Calibri" w:hAnsi="Calibri" w:cs="Calibri"/>
        </w:rPr>
        <w:t xml:space="preserve">Since Indonesia established the 4 percent threshold for party in the national parliament, </w:t>
      </w:r>
      <w:r w:rsidR="00682CE3">
        <w:rPr>
          <w:rFonts w:ascii="Calibri" w:hAnsi="Calibri" w:cs="Calibri"/>
        </w:rPr>
        <w:t xml:space="preserve">small party </w:t>
      </w:r>
      <w:r w:rsidR="00861644">
        <w:rPr>
          <w:rFonts w:ascii="Calibri" w:hAnsi="Calibri" w:cs="Calibri"/>
        </w:rPr>
        <w:t xml:space="preserve">will reasonably </w:t>
      </w:r>
      <w:r>
        <w:rPr>
          <w:rFonts w:ascii="Calibri" w:hAnsi="Calibri" w:cs="Calibri"/>
        </w:rPr>
        <w:t>need more votes to secure their seats</w:t>
      </w:r>
      <w:r w:rsidR="00C22583">
        <w:rPr>
          <w:rFonts w:ascii="Calibri" w:hAnsi="Calibri" w:cs="Calibri"/>
        </w:rPr>
        <w:t>. T</w:t>
      </w:r>
      <w:r w:rsidR="00474E51">
        <w:rPr>
          <w:rFonts w:ascii="Calibri" w:hAnsi="Calibri" w:cs="Calibri"/>
        </w:rPr>
        <w:t>hey</w:t>
      </w:r>
      <w:r w:rsidR="00746364">
        <w:rPr>
          <w:rFonts w:ascii="Calibri" w:hAnsi="Calibri" w:cs="Calibri"/>
        </w:rPr>
        <w:t xml:space="preserve"> </w:t>
      </w:r>
      <w:r w:rsidR="009F480A">
        <w:rPr>
          <w:rFonts w:ascii="Calibri" w:hAnsi="Calibri" w:cs="Calibri"/>
        </w:rPr>
        <w:t xml:space="preserve">are </w:t>
      </w:r>
      <w:r w:rsidR="00C22583">
        <w:rPr>
          <w:rFonts w:ascii="Calibri" w:hAnsi="Calibri" w:cs="Calibri"/>
        </w:rPr>
        <w:t xml:space="preserve">thus </w:t>
      </w:r>
      <w:r w:rsidR="009F480A">
        <w:rPr>
          <w:rFonts w:ascii="Calibri" w:hAnsi="Calibri" w:cs="Calibri"/>
        </w:rPr>
        <w:t>likely</w:t>
      </w:r>
      <w:r w:rsidR="001D7CAD">
        <w:rPr>
          <w:rFonts w:ascii="Calibri" w:hAnsi="Calibri" w:cs="Calibri"/>
        </w:rPr>
        <w:t xml:space="preserve"> to</w:t>
      </w:r>
      <w:r w:rsidR="00746364">
        <w:rPr>
          <w:rFonts w:ascii="Calibri" w:hAnsi="Calibri" w:cs="Calibri"/>
        </w:rPr>
        <w:t xml:space="preserve"> be more responsive to comply with the new quota as to signal stronger commitment about women representation. </w:t>
      </w:r>
      <w:r w:rsidR="000D60AE">
        <w:rPr>
          <w:rFonts w:ascii="Calibri" w:hAnsi="Calibri" w:cs="Calibri"/>
        </w:rPr>
        <w:t>Following the results from the previous section</w:t>
      </w:r>
      <w:r w:rsidR="00BA7093">
        <w:rPr>
          <w:rFonts w:ascii="Calibri" w:hAnsi="Calibri" w:cs="Calibri"/>
        </w:rPr>
        <w:t xml:space="preserve">, we will </w:t>
      </w:r>
      <w:r w:rsidR="000D60AE">
        <w:rPr>
          <w:rFonts w:ascii="Calibri" w:hAnsi="Calibri" w:cs="Calibri"/>
        </w:rPr>
        <w:t xml:space="preserve">expect for smaller party to </w:t>
      </w:r>
      <w:r w:rsidR="00091C07">
        <w:rPr>
          <w:rFonts w:ascii="Calibri" w:hAnsi="Calibri" w:cs="Calibri"/>
        </w:rPr>
        <w:t xml:space="preserve">place </w:t>
      </w:r>
      <w:r w:rsidR="006E3DFE">
        <w:rPr>
          <w:rFonts w:ascii="Calibri" w:hAnsi="Calibri" w:cs="Calibri"/>
        </w:rPr>
        <w:t xml:space="preserve">more </w:t>
      </w:r>
      <w:r w:rsidR="00091C07">
        <w:rPr>
          <w:rFonts w:ascii="Calibri" w:hAnsi="Calibri" w:cs="Calibri"/>
        </w:rPr>
        <w:t>women in generally more advantageous ballot list relative to big parties</w:t>
      </w:r>
      <w:r w:rsidR="00155408">
        <w:rPr>
          <w:rFonts w:ascii="Calibri" w:hAnsi="Calibri" w:cs="Calibri"/>
        </w:rPr>
        <w:t>.</w:t>
      </w:r>
      <w:r w:rsidR="00C6319A">
        <w:rPr>
          <w:rFonts w:ascii="Calibri" w:hAnsi="Calibri" w:cs="Calibri"/>
        </w:rPr>
        <w:t xml:space="preserve"> </w:t>
      </w:r>
      <w:r w:rsidR="009E0EB7">
        <w:rPr>
          <w:rFonts w:ascii="Calibri" w:hAnsi="Calibri" w:cs="Calibri"/>
        </w:rPr>
        <w:t>I</w:t>
      </w:r>
      <w:r w:rsidR="00C6319A">
        <w:rPr>
          <w:rFonts w:ascii="Calibri" w:hAnsi="Calibri" w:cs="Calibri"/>
        </w:rPr>
        <w:t xml:space="preserve"> follow </w:t>
      </w:r>
      <w:r w:rsidR="009E0EB7">
        <w:rPr>
          <w:rFonts w:ascii="Calibri" w:hAnsi="Calibri" w:cs="Calibri"/>
        </w:rPr>
        <w:t>Mainwaring</w:t>
      </w:r>
      <w:r w:rsidR="00155408">
        <w:rPr>
          <w:rFonts w:ascii="Calibri" w:hAnsi="Calibri" w:cs="Calibri"/>
        </w:rPr>
        <w:t>’s</w:t>
      </w:r>
      <w:r w:rsidR="009E0EB7">
        <w:rPr>
          <w:rFonts w:ascii="Calibri" w:hAnsi="Calibri" w:cs="Calibri"/>
        </w:rPr>
        <w:t xml:space="preserve"> (2018: 38) classification </w:t>
      </w:r>
      <w:r w:rsidR="00761143">
        <w:rPr>
          <w:rFonts w:ascii="Calibri" w:hAnsi="Calibri" w:cs="Calibri"/>
        </w:rPr>
        <w:t xml:space="preserve">of </w:t>
      </w:r>
      <w:r w:rsidR="009E0EB7">
        <w:rPr>
          <w:rFonts w:ascii="Calibri" w:hAnsi="Calibri" w:cs="Calibri"/>
        </w:rPr>
        <w:t>big party as a ‘significant contender’ as one that earn</w:t>
      </w:r>
      <w:r w:rsidR="00A602F2">
        <w:rPr>
          <w:rFonts w:ascii="Calibri" w:hAnsi="Calibri" w:cs="Calibri"/>
        </w:rPr>
        <w:t>ed</w:t>
      </w:r>
      <w:r w:rsidR="009E0EB7">
        <w:rPr>
          <w:rFonts w:ascii="Calibri" w:hAnsi="Calibri" w:cs="Calibri"/>
        </w:rPr>
        <w:t xml:space="preserve"> minimum 10 percent of the vote</w:t>
      </w:r>
      <w:r w:rsidR="00A602F2">
        <w:rPr>
          <w:rFonts w:ascii="Calibri" w:hAnsi="Calibri" w:cs="Calibri"/>
        </w:rPr>
        <w:t xml:space="preserve"> </w:t>
      </w:r>
      <w:r w:rsidR="0017474E">
        <w:rPr>
          <w:rFonts w:ascii="Calibri" w:hAnsi="Calibri" w:cs="Calibri"/>
        </w:rPr>
        <w:t>from</w:t>
      </w:r>
      <w:r w:rsidR="00A602F2">
        <w:rPr>
          <w:rFonts w:ascii="Calibri" w:hAnsi="Calibri" w:cs="Calibri"/>
        </w:rPr>
        <w:t xml:space="preserve"> the last election</w:t>
      </w:r>
      <w:r w:rsidR="002257C2">
        <w:rPr>
          <w:rFonts w:ascii="Calibri" w:hAnsi="Calibri" w:cs="Calibri"/>
        </w:rPr>
        <w:t xml:space="preserve"> and treat those with less than 10 percent as smaller </w:t>
      </w:r>
      <w:r w:rsidR="00AA13A0">
        <w:rPr>
          <w:rFonts w:ascii="Calibri" w:hAnsi="Calibri" w:cs="Calibri"/>
        </w:rPr>
        <w:t>ones</w:t>
      </w:r>
      <w:r w:rsidR="009E0EB7">
        <w:rPr>
          <w:rFonts w:ascii="Calibri" w:hAnsi="Calibri" w:cs="Calibri"/>
        </w:rPr>
        <w:t xml:space="preserve">. </w:t>
      </w:r>
      <w:r w:rsidR="00241E0F">
        <w:rPr>
          <w:rFonts w:ascii="Calibri" w:hAnsi="Calibri" w:cs="Calibri"/>
        </w:rPr>
        <w:t>I code ‘1’ if party</w:t>
      </w:r>
      <w:r w:rsidR="00DB4B04">
        <w:rPr>
          <w:rFonts w:ascii="Calibri" w:hAnsi="Calibri" w:cs="Calibri"/>
        </w:rPr>
        <w:t xml:space="preserve"> is big </w:t>
      </w:r>
      <w:r w:rsidR="00241E0F">
        <w:rPr>
          <w:rFonts w:ascii="Calibri" w:hAnsi="Calibri" w:cs="Calibri"/>
        </w:rPr>
        <w:t xml:space="preserve">and ‘0’ </w:t>
      </w:r>
      <w:r w:rsidR="00DB4B04">
        <w:rPr>
          <w:rFonts w:ascii="Calibri" w:hAnsi="Calibri" w:cs="Calibri"/>
        </w:rPr>
        <w:t>for small</w:t>
      </w:r>
      <w:r w:rsidR="00241E0F">
        <w:rPr>
          <w:rFonts w:ascii="Calibri" w:hAnsi="Calibri" w:cs="Calibri"/>
        </w:rPr>
        <w:t xml:space="preserve">. </w:t>
      </w:r>
      <w:r w:rsidR="00B87942">
        <w:rPr>
          <w:rFonts w:ascii="Calibri" w:hAnsi="Calibri" w:cs="Calibri"/>
        </w:rPr>
        <w:t>I r</w:t>
      </w:r>
      <w:r w:rsidR="00C01996">
        <w:rPr>
          <w:rFonts w:ascii="Calibri" w:hAnsi="Calibri" w:cs="Calibri"/>
        </w:rPr>
        <w:t>a</w:t>
      </w:r>
      <w:r w:rsidR="00B87942">
        <w:rPr>
          <w:rFonts w:ascii="Calibri" w:hAnsi="Calibri" w:cs="Calibri"/>
        </w:rPr>
        <w:t xml:space="preserve">n </w:t>
      </w:r>
      <w:r w:rsidR="009D541E">
        <w:rPr>
          <w:rFonts w:ascii="Calibri" w:hAnsi="Calibri" w:cs="Calibri"/>
        </w:rPr>
        <w:t>three</w:t>
      </w:r>
      <w:r w:rsidR="006B084F">
        <w:rPr>
          <w:rFonts w:ascii="Calibri" w:hAnsi="Calibri" w:cs="Calibri"/>
        </w:rPr>
        <w:t xml:space="preserve"> different </w:t>
      </w:r>
      <w:r w:rsidR="00FF19B5">
        <w:rPr>
          <w:rFonts w:ascii="Calibri" w:hAnsi="Calibri" w:cs="Calibri"/>
        </w:rPr>
        <w:t>logit model</w:t>
      </w:r>
      <w:r w:rsidR="006B084F">
        <w:rPr>
          <w:rFonts w:ascii="Calibri" w:hAnsi="Calibri" w:cs="Calibri"/>
        </w:rPr>
        <w:t>s</w:t>
      </w:r>
      <w:r w:rsidR="00FF19B5">
        <w:rPr>
          <w:rFonts w:ascii="Calibri" w:hAnsi="Calibri" w:cs="Calibri"/>
        </w:rPr>
        <w:t xml:space="preserve"> </w:t>
      </w:r>
      <w:r w:rsidR="006B084F">
        <w:rPr>
          <w:rFonts w:ascii="Calibri" w:hAnsi="Calibri" w:cs="Calibri"/>
        </w:rPr>
        <w:t xml:space="preserve">with a robust standard error and </w:t>
      </w:r>
      <w:r w:rsidR="00956F76">
        <w:rPr>
          <w:rFonts w:ascii="Calibri" w:hAnsi="Calibri" w:cs="Calibri"/>
        </w:rPr>
        <w:t xml:space="preserve">district fixed effect to </w:t>
      </w:r>
      <w:r w:rsidR="009B2A3A">
        <w:rPr>
          <w:rFonts w:ascii="Calibri" w:hAnsi="Calibri" w:cs="Calibri"/>
        </w:rPr>
        <w:t xml:space="preserve">account </w:t>
      </w:r>
      <w:r w:rsidR="004C1F24">
        <w:rPr>
          <w:rFonts w:ascii="Calibri" w:hAnsi="Calibri" w:cs="Calibri"/>
        </w:rPr>
        <w:t xml:space="preserve">for </w:t>
      </w:r>
      <w:r w:rsidR="005E2266">
        <w:rPr>
          <w:rFonts w:ascii="Calibri" w:hAnsi="Calibri" w:cs="Calibri"/>
        </w:rPr>
        <w:t xml:space="preserve">unobserved </w:t>
      </w:r>
      <w:r w:rsidR="00B30C5D">
        <w:rPr>
          <w:rFonts w:ascii="Calibri" w:hAnsi="Calibri" w:cs="Calibri"/>
        </w:rPr>
        <w:t>differences</w:t>
      </w:r>
      <w:r w:rsidR="009B2A3A">
        <w:rPr>
          <w:rFonts w:ascii="Calibri" w:hAnsi="Calibri" w:cs="Calibri"/>
        </w:rPr>
        <w:t xml:space="preserve"> across district</w:t>
      </w:r>
      <w:r w:rsidR="009C1755">
        <w:rPr>
          <w:rFonts w:ascii="Calibri" w:hAnsi="Calibri" w:cs="Calibri"/>
        </w:rPr>
        <w:t xml:space="preserve">, while putting the same </w:t>
      </w:r>
      <w:r w:rsidR="00364114">
        <w:rPr>
          <w:rFonts w:ascii="Calibri" w:hAnsi="Calibri" w:cs="Calibri"/>
        </w:rPr>
        <w:t xml:space="preserve">slate of </w:t>
      </w:r>
      <w:r w:rsidR="009C1755">
        <w:rPr>
          <w:rFonts w:ascii="Calibri" w:hAnsi="Calibri" w:cs="Calibri"/>
        </w:rPr>
        <w:t xml:space="preserve">variables </w:t>
      </w:r>
      <w:r w:rsidR="00E263EE">
        <w:rPr>
          <w:rFonts w:ascii="Calibri" w:hAnsi="Calibri" w:cs="Calibri"/>
        </w:rPr>
        <w:t>as in</w:t>
      </w:r>
      <w:r w:rsidR="009C1755">
        <w:rPr>
          <w:rFonts w:ascii="Calibri" w:hAnsi="Calibri" w:cs="Calibri"/>
        </w:rPr>
        <w:t xml:space="preserve"> the previous models. </w:t>
      </w:r>
      <w:r w:rsidR="00AA13A0">
        <w:rPr>
          <w:rFonts w:ascii="Calibri" w:hAnsi="Calibri" w:cs="Calibri"/>
        </w:rPr>
        <w:t>(</w:t>
      </w:r>
      <w:proofErr w:type="spellStart"/>
      <w:r w:rsidR="00AA13A0" w:rsidRPr="00AA13A0">
        <w:rPr>
          <w:rFonts w:ascii="Calibri" w:hAnsi="Calibri" w:cs="Calibri"/>
          <w:color w:val="FF0000"/>
        </w:rPr>
        <w:t>jelaskan</w:t>
      </w:r>
      <w:proofErr w:type="spellEnd"/>
      <w:r w:rsidR="00AA13A0" w:rsidRPr="00AA13A0">
        <w:rPr>
          <w:rFonts w:ascii="Calibri" w:hAnsi="Calibri" w:cs="Calibri"/>
          <w:color w:val="FF0000"/>
        </w:rPr>
        <w:t xml:space="preserve"> </w:t>
      </w:r>
      <w:proofErr w:type="spellStart"/>
      <w:r w:rsidR="00AA13A0" w:rsidRPr="00AA13A0">
        <w:rPr>
          <w:rFonts w:ascii="Calibri" w:hAnsi="Calibri" w:cs="Calibri"/>
          <w:color w:val="FF0000"/>
        </w:rPr>
        <w:t>apa</w:t>
      </w:r>
      <w:proofErr w:type="spellEnd"/>
      <w:r w:rsidR="00AA13A0" w:rsidRPr="00AA13A0">
        <w:rPr>
          <w:rFonts w:ascii="Calibri" w:hAnsi="Calibri" w:cs="Calibri"/>
          <w:color w:val="FF0000"/>
        </w:rPr>
        <w:t xml:space="preserve"> </w:t>
      </w:r>
      <w:proofErr w:type="spellStart"/>
      <w:r w:rsidR="00AA13A0" w:rsidRPr="00AA13A0">
        <w:rPr>
          <w:rFonts w:ascii="Calibri" w:hAnsi="Calibri" w:cs="Calibri"/>
          <w:color w:val="FF0000"/>
        </w:rPr>
        <w:t>aja</w:t>
      </w:r>
      <w:proofErr w:type="spellEnd"/>
      <w:r w:rsidR="00AA13A0" w:rsidRPr="00AA13A0">
        <w:rPr>
          <w:rFonts w:ascii="Calibri" w:hAnsi="Calibri" w:cs="Calibri"/>
          <w:color w:val="FF0000"/>
        </w:rPr>
        <w:t xml:space="preserve"> unobserved </w:t>
      </w:r>
      <w:proofErr w:type="spellStart"/>
      <w:r w:rsidR="00AA13A0" w:rsidRPr="00AA13A0">
        <w:rPr>
          <w:rFonts w:ascii="Calibri" w:hAnsi="Calibri" w:cs="Calibri"/>
          <w:color w:val="FF0000"/>
        </w:rPr>
        <w:t>differencenya</w:t>
      </w:r>
      <w:proofErr w:type="spellEnd"/>
      <w:r w:rsidR="00AA13A0">
        <w:rPr>
          <w:rFonts w:ascii="Calibri" w:hAnsi="Calibri" w:cs="Calibri"/>
        </w:rPr>
        <w:t>). Recall</w:t>
      </w:r>
      <w:r w:rsidR="00633D6F">
        <w:rPr>
          <w:rFonts w:ascii="Calibri" w:hAnsi="Calibri" w:cs="Calibri"/>
        </w:rPr>
        <w:t xml:space="preserve"> that</w:t>
      </w:r>
      <w:r w:rsidR="00F81991">
        <w:rPr>
          <w:rFonts w:ascii="Calibri" w:hAnsi="Calibri" w:cs="Calibri"/>
        </w:rPr>
        <w:t xml:space="preserve"> the</w:t>
      </w:r>
      <w:r w:rsidR="000E686C">
        <w:rPr>
          <w:rFonts w:ascii="Calibri" w:hAnsi="Calibri" w:cs="Calibri"/>
        </w:rPr>
        <w:t xml:space="preserve"> endogeneity concern will be confirmed </w:t>
      </w:r>
      <w:r w:rsidR="000B0F56">
        <w:rPr>
          <w:rFonts w:ascii="Calibri" w:hAnsi="Calibri" w:cs="Calibri"/>
        </w:rPr>
        <w:t xml:space="preserve">if </w:t>
      </w:r>
      <w:r w:rsidR="008B56C6">
        <w:rPr>
          <w:rFonts w:ascii="Calibri" w:hAnsi="Calibri" w:cs="Calibri"/>
        </w:rPr>
        <w:t xml:space="preserve">the </w:t>
      </w:r>
      <w:r w:rsidR="00C44DAD">
        <w:rPr>
          <w:rFonts w:ascii="Calibri" w:hAnsi="Calibri" w:cs="Calibri"/>
        </w:rPr>
        <w:t xml:space="preserve">direction of coefficient </w:t>
      </w:r>
      <w:r w:rsidR="00C01996">
        <w:rPr>
          <w:rFonts w:ascii="Calibri" w:hAnsi="Calibri" w:cs="Calibri"/>
        </w:rPr>
        <w:t>is</w:t>
      </w:r>
      <w:r w:rsidR="00C44DAD">
        <w:rPr>
          <w:rFonts w:ascii="Calibri" w:hAnsi="Calibri" w:cs="Calibri"/>
        </w:rPr>
        <w:t xml:space="preserve"> </w:t>
      </w:r>
      <w:r w:rsidR="00C01996">
        <w:rPr>
          <w:rFonts w:ascii="Calibri" w:hAnsi="Calibri" w:cs="Calibri"/>
        </w:rPr>
        <w:t>negative</w:t>
      </w:r>
      <w:r w:rsidR="002A3F34">
        <w:rPr>
          <w:rFonts w:ascii="Calibri" w:hAnsi="Calibri" w:cs="Calibri"/>
        </w:rPr>
        <w:t xml:space="preserve"> (directing toward small parties)</w:t>
      </w:r>
      <w:r w:rsidR="00C01996">
        <w:rPr>
          <w:rFonts w:ascii="Calibri" w:hAnsi="Calibri" w:cs="Calibri"/>
        </w:rPr>
        <w:t>,</w:t>
      </w:r>
      <w:r w:rsidR="00C44DAD">
        <w:rPr>
          <w:rFonts w:ascii="Calibri" w:hAnsi="Calibri" w:cs="Calibri"/>
        </w:rPr>
        <w:t xml:space="preserve"> and </w:t>
      </w:r>
      <w:r w:rsidR="001275A3">
        <w:rPr>
          <w:rFonts w:ascii="Calibri" w:hAnsi="Calibri" w:cs="Calibri"/>
        </w:rPr>
        <w:t xml:space="preserve">quota </w:t>
      </w:r>
      <w:r w:rsidR="00593A8A">
        <w:rPr>
          <w:rFonts w:ascii="Calibri" w:hAnsi="Calibri" w:cs="Calibri"/>
        </w:rPr>
        <w:t xml:space="preserve">compliance </w:t>
      </w:r>
      <w:r w:rsidR="00C15FC4">
        <w:rPr>
          <w:rFonts w:ascii="Calibri" w:hAnsi="Calibri" w:cs="Calibri"/>
        </w:rPr>
        <w:t xml:space="preserve">is </w:t>
      </w:r>
      <w:r w:rsidR="00593A8A">
        <w:rPr>
          <w:rFonts w:ascii="Calibri" w:hAnsi="Calibri" w:cs="Calibri"/>
        </w:rPr>
        <w:t xml:space="preserve">significantly </w:t>
      </w:r>
      <w:proofErr w:type="gramStart"/>
      <w:r w:rsidR="00C15FC4">
        <w:rPr>
          <w:rFonts w:ascii="Calibri" w:hAnsi="Calibri" w:cs="Calibri"/>
        </w:rPr>
        <w:t>explain</w:t>
      </w:r>
      <w:proofErr w:type="gramEnd"/>
      <w:r w:rsidR="00C15FC4">
        <w:rPr>
          <w:rFonts w:ascii="Calibri" w:hAnsi="Calibri" w:cs="Calibri"/>
        </w:rPr>
        <w:t xml:space="preserve"> the difference between the size of the parties. </w:t>
      </w:r>
    </w:p>
    <w:p w14:paraId="03898B5B" w14:textId="77777777" w:rsidR="00924A2D" w:rsidRDefault="00924A2D" w:rsidP="002A6CD3">
      <w:pPr>
        <w:spacing w:line="240" w:lineRule="auto"/>
        <w:contextualSpacing/>
        <w:rPr>
          <w:rFonts w:ascii="Calibri" w:hAnsi="Calibri" w:cs="Calibri"/>
        </w:rPr>
      </w:pPr>
    </w:p>
    <w:p w14:paraId="713C7AA1" w14:textId="4004454C" w:rsidR="0033541E" w:rsidRDefault="00401F36" w:rsidP="002A6CD3">
      <w:pPr>
        <w:spacing w:line="240" w:lineRule="auto"/>
        <w:contextualSpacing/>
        <w:rPr>
          <w:rFonts w:ascii="Calibri" w:hAnsi="Calibri" w:cs="Calibri"/>
        </w:rPr>
      </w:pPr>
      <w:r>
        <w:rPr>
          <w:rFonts w:ascii="Calibri" w:hAnsi="Calibri" w:cs="Calibri"/>
        </w:rPr>
        <w:t xml:space="preserve">Table </w:t>
      </w:r>
      <w:r w:rsidR="00BD3AE0">
        <w:rPr>
          <w:rFonts w:ascii="Calibri" w:hAnsi="Calibri" w:cs="Calibri"/>
          <w:color w:val="A02B93" w:themeColor="accent5"/>
        </w:rPr>
        <w:t>X</w:t>
      </w:r>
      <w:r w:rsidR="000C3CF3">
        <w:rPr>
          <w:rFonts w:ascii="Calibri" w:hAnsi="Calibri" w:cs="Calibri"/>
          <w:color w:val="A02B93" w:themeColor="accent5"/>
        </w:rPr>
        <w:t>X</w:t>
      </w:r>
      <w:r w:rsidR="000C3CF3">
        <w:rPr>
          <w:rFonts w:ascii="Calibri" w:hAnsi="Calibri" w:cs="Calibri"/>
          <w:color w:val="000000" w:themeColor="text1"/>
        </w:rPr>
        <w:t xml:space="preserve"> show</w:t>
      </w:r>
      <w:r w:rsidR="008E5B06">
        <w:rPr>
          <w:rFonts w:ascii="Calibri" w:hAnsi="Calibri" w:cs="Calibri"/>
          <w:color w:val="000000" w:themeColor="text1"/>
        </w:rPr>
        <w:t>s</w:t>
      </w:r>
      <w:r w:rsidR="000C3CF3">
        <w:rPr>
          <w:rFonts w:ascii="Calibri" w:hAnsi="Calibri" w:cs="Calibri"/>
          <w:color w:val="000000" w:themeColor="text1"/>
        </w:rPr>
        <w:t xml:space="preserve"> that</w:t>
      </w:r>
      <w:r w:rsidR="007F5411">
        <w:rPr>
          <w:rFonts w:ascii="Calibri" w:hAnsi="Calibri" w:cs="Calibri"/>
          <w:color w:val="000000" w:themeColor="text1"/>
        </w:rPr>
        <w:t xml:space="preserve"> the</w:t>
      </w:r>
      <w:r w:rsidR="0033541E">
        <w:rPr>
          <w:rFonts w:ascii="Calibri" w:hAnsi="Calibri" w:cs="Calibri"/>
        </w:rPr>
        <w:t xml:space="preserve"> </w:t>
      </w:r>
      <w:r w:rsidR="00E730F1">
        <w:rPr>
          <w:rFonts w:ascii="Calibri" w:hAnsi="Calibri" w:cs="Calibri"/>
        </w:rPr>
        <w:t xml:space="preserve">null findings for </w:t>
      </w:r>
      <w:r w:rsidR="00B22B67">
        <w:rPr>
          <w:rFonts w:ascii="Calibri" w:hAnsi="Calibri" w:cs="Calibri"/>
        </w:rPr>
        <w:t xml:space="preserve">the treatment remain the same. </w:t>
      </w:r>
      <w:r w:rsidR="00202AF9">
        <w:rPr>
          <w:rFonts w:ascii="Calibri" w:hAnsi="Calibri" w:cs="Calibri"/>
        </w:rPr>
        <w:t xml:space="preserve">The distinction between major and small parties cannot be explained </w:t>
      </w:r>
      <w:r w:rsidR="00AD45F6">
        <w:rPr>
          <w:rFonts w:ascii="Calibri" w:hAnsi="Calibri" w:cs="Calibri"/>
        </w:rPr>
        <w:t xml:space="preserve">by </w:t>
      </w:r>
      <w:r w:rsidR="00BF1432">
        <w:rPr>
          <w:rFonts w:ascii="Calibri" w:hAnsi="Calibri" w:cs="Calibri"/>
        </w:rPr>
        <w:t xml:space="preserve">the adherence to quota rule. </w:t>
      </w:r>
      <w:r w:rsidR="00321B11">
        <w:rPr>
          <w:rFonts w:ascii="Calibri" w:hAnsi="Calibri" w:cs="Calibri"/>
        </w:rPr>
        <w:t xml:space="preserve">Model 1 demonstrates the independent </w:t>
      </w:r>
      <w:r w:rsidR="002F16C8">
        <w:rPr>
          <w:rFonts w:ascii="Calibri" w:hAnsi="Calibri" w:cs="Calibri"/>
        </w:rPr>
        <w:t xml:space="preserve">influence </w:t>
      </w:r>
      <w:r w:rsidR="005A0B68">
        <w:rPr>
          <w:rFonts w:ascii="Calibri" w:hAnsi="Calibri" w:cs="Calibri"/>
        </w:rPr>
        <w:t xml:space="preserve">of the treatment </w:t>
      </w:r>
      <w:r w:rsidR="00767907">
        <w:rPr>
          <w:rFonts w:ascii="Calibri" w:hAnsi="Calibri" w:cs="Calibri"/>
        </w:rPr>
        <w:t xml:space="preserve">with district fixed </w:t>
      </w:r>
      <w:r w:rsidR="00CD347D">
        <w:rPr>
          <w:rFonts w:ascii="Calibri" w:hAnsi="Calibri" w:cs="Calibri"/>
        </w:rPr>
        <w:t>effect,</w:t>
      </w:r>
      <w:r w:rsidR="00767907">
        <w:rPr>
          <w:rFonts w:ascii="Calibri" w:hAnsi="Calibri" w:cs="Calibri"/>
        </w:rPr>
        <w:t xml:space="preserve"> and we </w:t>
      </w:r>
      <w:r w:rsidR="00767907">
        <w:rPr>
          <w:rFonts w:ascii="Calibri" w:hAnsi="Calibri" w:cs="Calibri"/>
        </w:rPr>
        <w:lastRenderedPageBreak/>
        <w:t xml:space="preserve">found no statistical results to </w:t>
      </w:r>
      <w:r w:rsidR="009C11ED">
        <w:rPr>
          <w:rFonts w:ascii="Calibri" w:hAnsi="Calibri" w:cs="Calibri"/>
        </w:rPr>
        <w:t xml:space="preserve">support our </w:t>
      </w:r>
      <w:r w:rsidR="00FD36A3">
        <w:rPr>
          <w:rFonts w:ascii="Calibri" w:hAnsi="Calibri" w:cs="Calibri"/>
        </w:rPr>
        <w:t>skepticism</w:t>
      </w:r>
      <w:r w:rsidR="009C11ED">
        <w:rPr>
          <w:rFonts w:ascii="Calibri" w:hAnsi="Calibri" w:cs="Calibri"/>
        </w:rPr>
        <w:t xml:space="preserve">. </w:t>
      </w:r>
      <w:r w:rsidR="008D059E">
        <w:rPr>
          <w:rFonts w:ascii="Calibri" w:hAnsi="Calibri" w:cs="Calibri"/>
        </w:rPr>
        <w:t xml:space="preserve">The second model </w:t>
      </w:r>
      <w:r w:rsidR="0035543D">
        <w:rPr>
          <w:rFonts w:ascii="Calibri" w:hAnsi="Calibri" w:cs="Calibri"/>
        </w:rPr>
        <w:t>add</w:t>
      </w:r>
      <w:r w:rsidR="00515120">
        <w:rPr>
          <w:rFonts w:ascii="Calibri" w:hAnsi="Calibri" w:cs="Calibri"/>
        </w:rPr>
        <w:t>s</w:t>
      </w:r>
      <w:r w:rsidR="0035543D">
        <w:rPr>
          <w:rFonts w:ascii="Calibri" w:hAnsi="Calibri" w:cs="Calibri"/>
        </w:rPr>
        <w:t xml:space="preserve"> up</w:t>
      </w:r>
      <w:r w:rsidR="00537FC3">
        <w:rPr>
          <w:rFonts w:ascii="Calibri" w:hAnsi="Calibri" w:cs="Calibri"/>
        </w:rPr>
        <w:t xml:space="preserve"> our </w:t>
      </w:r>
      <w:r w:rsidR="005114B1">
        <w:rPr>
          <w:rFonts w:ascii="Calibri" w:hAnsi="Calibri" w:cs="Calibri"/>
        </w:rPr>
        <w:t>control v</w:t>
      </w:r>
      <w:r w:rsidR="005F50C0">
        <w:rPr>
          <w:rFonts w:ascii="Calibri" w:hAnsi="Calibri" w:cs="Calibri"/>
        </w:rPr>
        <w:t xml:space="preserve">ariables. </w:t>
      </w:r>
      <w:r w:rsidR="00FB0C33">
        <w:rPr>
          <w:rFonts w:ascii="Calibri" w:hAnsi="Calibri" w:cs="Calibri"/>
        </w:rPr>
        <w:t xml:space="preserve">While there </w:t>
      </w:r>
      <w:r w:rsidR="00B143BB">
        <w:rPr>
          <w:rFonts w:ascii="Calibri" w:hAnsi="Calibri" w:cs="Calibri"/>
        </w:rPr>
        <w:t xml:space="preserve">might be no </w:t>
      </w:r>
      <w:r w:rsidR="00253DF5">
        <w:rPr>
          <w:rFonts w:ascii="Calibri" w:hAnsi="Calibri" w:cs="Calibri"/>
        </w:rPr>
        <w:t xml:space="preserve">theoretical </w:t>
      </w:r>
      <w:r w:rsidR="006F459F">
        <w:rPr>
          <w:rFonts w:ascii="Calibri" w:hAnsi="Calibri" w:cs="Calibri"/>
        </w:rPr>
        <w:t>validations</w:t>
      </w:r>
      <w:r w:rsidR="0014434D">
        <w:rPr>
          <w:rFonts w:ascii="Calibri" w:hAnsi="Calibri" w:cs="Calibri"/>
        </w:rPr>
        <w:t xml:space="preserve"> to explain the </w:t>
      </w:r>
      <w:r w:rsidR="00A5566E">
        <w:rPr>
          <w:rFonts w:ascii="Calibri" w:hAnsi="Calibri" w:cs="Calibri"/>
        </w:rPr>
        <w:t>relationship</w:t>
      </w:r>
      <w:r w:rsidR="00D34504">
        <w:rPr>
          <w:rFonts w:ascii="Calibri" w:hAnsi="Calibri" w:cs="Calibri"/>
        </w:rPr>
        <w:t>s</w:t>
      </w:r>
      <w:r w:rsidR="00A5566E">
        <w:rPr>
          <w:rFonts w:ascii="Calibri" w:hAnsi="Calibri" w:cs="Calibri"/>
        </w:rPr>
        <w:t xml:space="preserve"> </w:t>
      </w:r>
      <w:r w:rsidR="00D34504">
        <w:rPr>
          <w:rFonts w:ascii="Calibri" w:hAnsi="Calibri" w:cs="Calibri"/>
        </w:rPr>
        <w:t xml:space="preserve">between control variables and </w:t>
      </w:r>
      <w:r w:rsidR="007562A4">
        <w:rPr>
          <w:rFonts w:ascii="Calibri" w:hAnsi="Calibri" w:cs="Calibri"/>
        </w:rPr>
        <w:t xml:space="preserve">the party size, </w:t>
      </w:r>
      <w:r w:rsidR="00D351A5">
        <w:rPr>
          <w:rFonts w:ascii="Calibri" w:hAnsi="Calibri" w:cs="Calibri"/>
        </w:rPr>
        <w:t xml:space="preserve">our main </w:t>
      </w:r>
      <w:r w:rsidR="003B2294">
        <w:rPr>
          <w:rFonts w:ascii="Calibri" w:hAnsi="Calibri" w:cs="Calibri"/>
        </w:rPr>
        <w:t xml:space="preserve">concern is how the treatment </w:t>
      </w:r>
      <w:r w:rsidR="00B70C30">
        <w:rPr>
          <w:rFonts w:ascii="Calibri" w:hAnsi="Calibri" w:cs="Calibri"/>
        </w:rPr>
        <w:t xml:space="preserve">coefficient </w:t>
      </w:r>
      <w:r w:rsidR="003B2294">
        <w:rPr>
          <w:rFonts w:ascii="Calibri" w:hAnsi="Calibri" w:cs="Calibri"/>
        </w:rPr>
        <w:t xml:space="preserve">can </w:t>
      </w:r>
      <w:r w:rsidR="00374828">
        <w:rPr>
          <w:rFonts w:ascii="Calibri" w:hAnsi="Calibri" w:cs="Calibri"/>
        </w:rPr>
        <w:t xml:space="preserve">be affected when other indicators are added. </w:t>
      </w:r>
      <w:r w:rsidR="003F7CC7">
        <w:rPr>
          <w:rFonts w:ascii="Calibri" w:hAnsi="Calibri" w:cs="Calibri"/>
        </w:rPr>
        <w:t>And w</w:t>
      </w:r>
      <w:r w:rsidR="00DE18BA">
        <w:rPr>
          <w:rFonts w:ascii="Calibri" w:hAnsi="Calibri" w:cs="Calibri"/>
        </w:rPr>
        <w:t xml:space="preserve">e </w:t>
      </w:r>
      <w:r w:rsidR="00B245D8">
        <w:rPr>
          <w:rFonts w:ascii="Calibri" w:hAnsi="Calibri" w:cs="Calibri"/>
        </w:rPr>
        <w:t>continue</w:t>
      </w:r>
      <w:r w:rsidR="00DE18BA">
        <w:rPr>
          <w:rFonts w:ascii="Calibri" w:hAnsi="Calibri" w:cs="Calibri"/>
        </w:rPr>
        <w:t xml:space="preserve"> to observe the absence of treatment effect </w:t>
      </w:r>
      <w:r w:rsidR="00C131E9">
        <w:rPr>
          <w:rFonts w:ascii="Calibri" w:hAnsi="Calibri" w:cs="Calibri"/>
        </w:rPr>
        <w:t xml:space="preserve">in the model. Lastly, </w:t>
      </w:r>
      <w:r w:rsidR="00350C64">
        <w:rPr>
          <w:rFonts w:ascii="Calibri" w:hAnsi="Calibri" w:cs="Calibri"/>
        </w:rPr>
        <w:t xml:space="preserve">I </w:t>
      </w:r>
      <w:r w:rsidR="00A82C41">
        <w:rPr>
          <w:rFonts w:ascii="Calibri" w:hAnsi="Calibri" w:cs="Calibri"/>
        </w:rPr>
        <w:t>remove the fixed effect</w:t>
      </w:r>
      <w:r w:rsidR="00BA0CDD">
        <w:rPr>
          <w:rFonts w:ascii="Calibri" w:hAnsi="Calibri" w:cs="Calibri"/>
        </w:rPr>
        <w:t xml:space="preserve"> in model 3 </w:t>
      </w:r>
      <w:r w:rsidR="00750BC3">
        <w:rPr>
          <w:rFonts w:ascii="Calibri" w:hAnsi="Calibri" w:cs="Calibri"/>
        </w:rPr>
        <w:t xml:space="preserve">and </w:t>
      </w:r>
      <w:r w:rsidR="0000232D">
        <w:rPr>
          <w:rFonts w:ascii="Calibri" w:hAnsi="Calibri" w:cs="Calibri"/>
        </w:rPr>
        <w:t>employe</w:t>
      </w:r>
      <w:r w:rsidR="001C650A">
        <w:rPr>
          <w:rFonts w:ascii="Calibri" w:hAnsi="Calibri" w:cs="Calibri"/>
        </w:rPr>
        <w:t>d</w:t>
      </w:r>
      <w:r w:rsidR="00F86416">
        <w:rPr>
          <w:rFonts w:ascii="Calibri" w:hAnsi="Calibri" w:cs="Calibri"/>
        </w:rPr>
        <w:t xml:space="preserve"> a robust standard </w:t>
      </w:r>
      <w:r w:rsidR="008F6FBC">
        <w:rPr>
          <w:rFonts w:ascii="Calibri" w:hAnsi="Calibri" w:cs="Calibri"/>
        </w:rPr>
        <w:t>error and</w:t>
      </w:r>
      <w:r w:rsidR="00E06BBC">
        <w:rPr>
          <w:rFonts w:ascii="Calibri" w:hAnsi="Calibri" w:cs="Calibri"/>
        </w:rPr>
        <w:t xml:space="preserve"> the results hold</w:t>
      </w:r>
      <w:r w:rsidR="001B4354">
        <w:rPr>
          <w:rFonts w:ascii="Calibri" w:hAnsi="Calibri" w:cs="Calibri"/>
        </w:rPr>
        <w:t xml:space="preserve"> up</w:t>
      </w:r>
      <w:r w:rsidR="00E06BBC">
        <w:rPr>
          <w:rFonts w:ascii="Calibri" w:hAnsi="Calibri" w:cs="Calibri"/>
        </w:rPr>
        <w:t xml:space="preserve"> to defy our </w:t>
      </w:r>
      <w:r w:rsidR="007F0E8B">
        <w:rPr>
          <w:rFonts w:ascii="Calibri" w:hAnsi="Calibri" w:cs="Calibri"/>
        </w:rPr>
        <w:t xml:space="preserve">empirical expectation. </w:t>
      </w:r>
    </w:p>
    <w:p w14:paraId="4BEF2C80" w14:textId="77777777" w:rsidR="00204AC2" w:rsidRDefault="00204AC2" w:rsidP="002A6CD3">
      <w:pPr>
        <w:spacing w:line="240" w:lineRule="auto"/>
        <w:contextualSpacing/>
        <w:rPr>
          <w:rFonts w:ascii="Calibri" w:hAnsi="Calibri" w:cs="Calibri"/>
        </w:rPr>
      </w:pPr>
    </w:p>
    <w:p w14:paraId="0499015F" w14:textId="3ED2E626" w:rsidR="00AB0642" w:rsidRDefault="00AB0642" w:rsidP="002A6CD3">
      <w:pPr>
        <w:spacing w:line="240" w:lineRule="auto"/>
        <w:contextualSpacing/>
        <w:rPr>
          <w:rFonts w:ascii="Calibri" w:hAnsi="Calibri" w:cs="Calibri"/>
        </w:rPr>
      </w:pPr>
      <w:r>
        <w:rPr>
          <w:rFonts w:ascii="Calibri" w:hAnsi="Calibri" w:cs="Calibri"/>
        </w:rPr>
        <w:t xml:space="preserve">The second possible endogeneity is that </w:t>
      </w:r>
      <w:r w:rsidR="00427184">
        <w:rPr>
          <w:rFonts w:ascii="Calibri" w:hAnsi="Calibri" w:cs="Calibri"/>
        </w:rPr>
        <w:t xml:space="preserve">ideological </w:t>
      </w:r>
      <w:r w:rsidR="005D45B0">
        <w:rPr>
          <w:rFonts w:ascii="Calibri" w:hAnsi="Calibri" w:cs="Calibri"/>
        </w:rPr>
        <w:t xml:space="preserve">difference </w:t>
      </w:r>
      <w:r w:rsidR="0039564C">
        <w:rPr>
          <w:rFonts w:ascii="Calibri" w:hAnsi="Calibri" w:cs="Calibri"/>
        </w:rPr>
        <w:t xml:space="preserve">can </w:t>
      </w:r>
      <w:r w:rsidR="005D45B0">
        <w:rPr>
          <w:rFonts w:ascii="Calibri" w:hAnsi="Calibri" w:cs="Calibri"/>
        </w:rPr>
        <w:t xml:space="preserve">affect quota </w:t>
      </w:r>
      <w:r w:rsidR="00846D5D">
        <w:rPr>
          <w:rFonts w:ascii="Calibri" w:hAnsi="Calibri" w:cs="Calibri"/>
        </w:rPr>
        <w:t>compliance among party</w:t>
      </w:r>
      <w:r w:rsidR="005D45B0">
        <w:rPr>
          <w:rFonts w:ascii="Calibri" w:hAnsi="Calibri" w:cs="Calibri"/>
        </w:rPr>
        <w:t>.</w:t>
      </w:r>
      <w:r w:rsidR="00846D5D">
        <w:rPr>
          <w:rFonts w:ascii="Calibri" w:hAnsi="Calibri" w:cs="Calibri"/>
        </w:rPr>
        <w:t xml:space="preserve"> </w:t>
      </w:r>
      <w:r w:rsidR="006607B3">
        <w:rPr>
          <w:rFonts w:ascii="Calibri" w:hAnsi="Calibri" w:cs="Calibri"/>
        </w:rPr>
        <w:t>Extant works</w:t>
      </w:r>
      <w:r w:rsidR="00220B38">
        <w:rPr>
          <w:rFonts w:ascii="Calibri" w:hAnsi="Calibri" w:cs="Calibri"/>
        </w:rPr>
        <w:t xml:space="preserve"> argue that Indonesian party </w:t>
      </w:r>
      <w:r w:rsidR="00380C29">
        <w:rPr>
          <w:rFonts w:ascii="Calibri" w:hAnsi="Calibri" w:cs="Calibri"/>
        </w:rPr>
        <w:t xml:space="preserve">run out </w:t>
      </w:r>
      <w:r w:rsidR="000D7E3A">
        <w:rPr>
          <w:rFonts w:ascii="Calibri" w:hAnsi="Calibri" w:cs="Calibri"/>
        </w:rPr>
        <w:t xml:space="preserve">of </w:t>
      </w:r>
      <w:r w:rsidR="007B5ACB">
        <w:rPr>
          <w:rFonts w:ascii="Calibri" w:hAnsi="Calibri" w:cs="Calibri"/>
        </w:rPr>
        <w:t xml:space="preserve">meaningful </w:t>
      </w:r>
      <w:r w:rsidR="000D7E3A">
        <w:rPr>
          <w:rFonts w:ascii="Calibri" w:hAnsi="Calibri" w:cs="Calibri"/>
        </w:rPr>
        <w:t xml:space="preserve">ideological </w:t>
      </w:r>
      <w:r w:rsidR="00381EA0">
        <w:rPr>
          <w:rFonts w:ascii="Calibri" w:hAnsi="Calibri" w:cs="Calibri"/>
        </w:rPr>
        <w:t>distinction</w:t>
      </w:r>
      <w:r w:rsidR="00317CE2">
        <w:rPr>
          <w:rFonts w:ascii="Calibri" w:hAnsi="Calibri" w:cs="Calibri"/>
        </w:rPr>
        <w:t xml:space="preserve"> </w:t>
      </w:r>
      <w:r w:rsidR="00813557">
        <w:rPr>
          <w:rFonts w:ascii="Calibri" w:hAnsi="Calibri" w:cs="Calibri"/>
        </w:rPr>
        <w:t xml:space="preserve">and </w:t>
      </w:r>
      <w:r w:rsidR="003D2A0D">
        <w:rPr>
          <w:rFonts w:ascii="Calibri" w:hAnsi="Calibri" w:cs="Calibri"/>
        </w:rPr>
        <w:t xml:space="preserve">clientelism and </w:t>
      </w:r>
      <w:r w:rsidR="00813557">
        <w:rPr>
          <w:rFonts w:ascii="Calibri" w:hAnsi="Calibri" w:cs="Calibri"/>
        </w:rPr>
        <w:t>vote-buying</w:t>
      </w:r>
      <w:r w:rsidR="003D2A0D">
        <w:rPr>
          <w:rFonts w:ascii="Calibri" w:hAnsi="Calibri" w:cs="Calibri"/>
        </w:rPr>
        <w:t xml:space="preserve"> </w:t>
      </w:r>
      <w:proofErr w:type="spellStart"/>
      <w:r w:rsidR="003D2A0D">
        <w:rPr>
          <w:rFonts w:ascii="Calibri" w:hAnsi="Calibri" w:cs="Calibri"/>
        </w:rPr>
        <w:t>dianggap</w:t>
      </w:r>
      <w:proofErr w:type="spellEnd"/>
      <w:r w:rsidR="003D2A0D">
        <w:rPr>
          <w:rFonts w:ascii="Calibri" w:hAnsi="Calibri" w:cs="Calibri"/>
        </w:rPr>
        <w:t xml:space="preserve"> </w:t>
      </w:r>
      <w:proofErr w:type="spellStart"/>
      <w:r w:rsidR="00A07B3B">
        <w:rPr>
          <w:rFonts w:ascii="Calibri" w:hAnsi="Calibri" w:cs="Calibri"/>
        </w:rPr>
        <w:t>sebagai</w:t>
      </w:r>
      <w:proofErr w:type="spellEnd"/>
      <w:r w:rsidR="00A07B3B">
        <w:rPr>
          <w:rFonts w:ascii="Calibri" w:hAnsi="Calibri" w:cs="Calibri"/>
        </w:rPr>
        <w:t xml:space="preserve"> </w:t>
      </w:r>
      <w:proofErr w:type="spellStart"/>
      <w:r w:rsidR="00A07B3B">
        <w:rPr>
          <w:rFonts w:ascii="Calibri" w:hAnsi="Calibri" w:cs="Calibri"/>
        </w:rPr>
        <w:t>fenomena</w:t>
      </w:r>
      <w:proofErr w:type="spellEnd"/>
      <w:r w:rsidR="00A07B3B">
        <w:rPr>
          <w:rFonts w:ascii="Calibri" w:hAnsi="Calibri" w:cs="Calibri"/>
        </w:rPr>
        <w:t xml:space="preserve"> </w:t>
      </w:r>
      <w:proofErr w:type="spellStart"/>
      <w:r w:rsidR="00143031">
        <w:rPr>
          <w:rFonts w:ascii="Calibri" w:hAnsi="Calibri" w:cs="Calibri"/>
        </w:rPr>
        <w:t>umum</w:t>
      </w:r>
      <w:proofErr w:type="spellEnd"/>
      <w:r w:rsidR="00143031">
        <w:rPr>
          <w:rFonts w:ascii="Calibri" w:hAnsi="Calibri" w:cs="Calibri"/>
        </w:rPr>
        <w:t xml:space="preserve"> </w:t>
      </w:r>
      <w:proofErr w:type="spellStart"/>
      <w:r w:rsidR="00143031">
        <w:rPr>
          <w:rFonts w:ascii="Calibri" w:hAnsi="Calibri" w:cs="Calibri"/>
        </w:rPr>
        <w:t>dalam</w:t>
      </w:r>
      <w:proofErr w:type="spellEnd"/>
      <w:r w:rsidR="00143031">
        <w:rPr>
          <w:rFonts w:ascii="Calibri" w:hAnsi="Calibri" w:cs="Calibri"/>
        </w:rPr>
        <w:t xml:space="preserve"> </w:t>
      </w:r>
      <w:proofErr w:type="spellStart"/>
      <w:r w:rsidR="00143031">
        <w:rPr>
          <w:rFonts w:ascii="Calibri" w:hAnsi="Calibri" w:cs="Calibri"/>
        </w:rPr>
        <w:t>politik</w:t>
      </w:r>
      <w:proofErr w:type="spellEnd"/>
      <w:r w:rsidR="00143031">
        <w:rPr>
          <w:rFonts w:ascii="Calibri" w:hAnsi="Calibri" w:cs="Calibri"/>
        </w:rPr>
        <w:t xml:space="preserve"> </w:t>
      </w:r>
      <w:r w:rsidR="003D2A0D">
        <w:rPr>
          <w:rFonts w:ascii="Calibri" w:hAnsi="Calibri" w:cs="Calibri"/>
        </w:rPr>
        <w:t>(</w:t>
      </w:r>
      <w:r w:rsidR="00317CE2" w:rsidRPr="00317CE2">
        <w:rPr>
          <w:rFonts w:ascii="Calibri" w:hAnsi="Calibri" w:cs="Calibri"/>
          <w:color w:val="FF0000"/>
        </w:rPr>
        <w:t>quote 3</w:t>
      </w:r>
      <w:r w:rsidR="00317CE2">
        <w:rPr>
          <w:rFonts w:ascii="Calibri" w:hAnsi="Calibri" w:cs="Calibri"/>
        </w:rPr>
        <w:t>)</w:t>
      </w:r>
      <w:r w:rsidR="00CC1A2B">
        <w:rPr>
          <w:rFonts w:ascii="Calibri" w:hAnsi="Calibri" w:cs="Calibri"/>
        </w:rPr>
        <w:t>.</w:t>
      </w:r>
      <w:r w:rsidR="00ED509D">
        <w:rPr>
          <w:rFonts w:ascii="Calibri" w:hAnsi="Calibri" w:cs="Calibri"/>
        </w:rPr>
        <w:t xml:space="preserve"> </w:t>
      </w:r>
      <w:r w:rsidR="00CC1A2B">
        <w:rPr>
          <w:rFonts w:ascii="Calibri" w:hAnsi="Calibri" w:cs="Calibri"/>
        </w:rPr>
        <w:t>Other works</w:t>
      </w:r>
      <w:r w:rsidR="00BE577F">
        <w:rPr>
          <w:rFonts w:ascii="Calibri" w:hAnsi="Calibri" w:cs="Calibri"/>
        </w:rPr>
        <w:t xml:space="preserve"> </w:t>
      </w:r>
      <w:r w:rsidR="00FC100A">
        <w:rPr>
          <w:rFonts w:ascii="Calibri" w:hAnsi="Calibri" w:cs="Calibri"/>
        </w:rPr>
        <w:t>explain the</w:t>
      </w:r>
      <w:r w:rsidR="00B03DEB">
        <w:rPr>
          <w:rFonts w:ascii="Calibri" w:hAnsi="Calibri" w:cs="Calibri"/>
        </w:rPr>
        <w:t xml:space="preserve"> </w:t>
      </w:r>
      <w:r w:rsidR="004A708A">
        <w:rPr>
          <w:rFonts w:ascii="Calibri" w:hAnsi="Calibri" w:cs="Calibri"/>
        </w:rPr>
        <w:t xml:space="preserve">revival </w:t>
      </w:r>
      <w:r w:rsidR="008D4EDD">
        <w:rPr>
          <w:rFonts w:ascii="Calibri" w:hAnsi="Calibri" w:cs="Calibri"/>
        </w:rPr>
        <w:t xml:space="preserve">of ideological importance, noting </w:t>
      </w:r>
      <w:r w:rsidR="00D44B6F">
        <w:rPr>
          <w:rFonts w:ascii="Calibri" w:hAnsi="Calibri" w:cs="Calibri"/>
        </w:rPr>
        <w:t xml:space="preserve">particularly Islamic </w:t>
      </w:r>
      <w:r w:rsidR="00523337">
        <w:rPr>
          <w:rFonts w:ascii="Calibri" w:hAnsi="Calibri" w:cs="Calibri"/>
        </w:rPr>
        <w:t>ideology</w:t>
      </w:r>
      <w:r w:rsidR="00D44B6F">
        <w:rPr>
          <w:rFonts w:ascii="Calibri" w:hAnsi="Calibri" w:cs="Calibri"/>
        </w:rPr>
        <w:t xml:space="preserve"> as </w:t>
      </w:r>
      <w:r w:rsidR="0024411F">
        <w:rPr>
          <w:rFonts w:ascii="Calibri" w:hAnsi="Calibri" w:cs="Calibri"/>
        </w:rPr>
        <w:t xml:space="preserve">the ordering </w:t>
      </w:r>
      <w:r w:rsidR="00B12548">
        <w:rPr>
          <w:rFonts w:ascii="Calibri" w:hAnsi="Calibri" w:cs="Calibri"/>
        </w:rPr>
        <w:t>force that</w:t>
      </w:r>
      <w:r w:rsidR="007B4D87">
        <w:rPr>
          <w:rFonts w:ascii="Calibri" w:hAnsi="Calibri" w:cs="Calibri"/>
        </w:rPr>
        <w:t xml:space="preserve"> structure</w:t>
      </w:r>
      <w:r w:rsidR="003570FD">
        <w:rPr>
          <w:rFonts w:ascii="Calibri" w:hAnsi="Calibri" w:cs="Calibri"/>
        </w:rPr>
        <w:t>s</w:t>
      </w:r>
      <w:r w:rsidR="007B4D87">
        <w:rPr>
          <w:rFonts w:ascii="Calibri" w:hAnsi="Calibri" w:cs="Calibri"/>
        </w:rPr>
        <w:t xml:space="preserve"> </w:t>
      </w:r>
      <w:r w:rsidR="00C7524E">
        <w:rPr>
          <w:rFonts w:ascii="Calibri" w:hAnsi="Calibri" w:cs="Calibri"/>
        </w:rPr>
        <w:t>party</w:t>
      </w:r>
      <w:r w:rsidR="00D3456F">
        <w:rPr>
          <w:rFonts w:ascii="Calibri" w:hAnsi="Calibri" w:cs="Calibri"/>
        </w:rPr>
        <w:t xml:space="preserve"> rivalry</w:t>
      </w:r>
      <w:r w:rsidR="00C7524E">
        <w:rPr>
          <w:rFonts w:ascii="Calibri" w:hAnsi="Calibri" w:cs="Calibri"/>
        </w:rPr>
        <w:t xml:space="preserve"> </w:t>
      </w:r>
      <w:r w:rsidR="007B4D87">
        <w:rPr>
          <w:rFonts w:ascii="Calibri" w:hAnsi="Calibri" w:cs="Calibri"/>
        </w:rPr>
        <w:t>(</w:t>
      </w:r>
      <w:r w:rsidR="007B4D87" w:rsidRPr="007B4D87">
        <w:rPr>
          <w:rFonts w:ascii="Calibri" w:hAnsi="Calibri" w:cs="Calibri"/>
          <w:color w:val="FF0000"/>
        </w:rPr>
        <w:t>quota 3</w:t>
      </w:r>
      <w:r w:rsidR="007B4D87">
        <w:rPr>
          <w:rFonts w:ascii="Calibri" w:hAnsi="Calibri" w:cs="Calibri"/>
        </w:rPr>
        <w:t xml:space="preserve">). </w:t>
      </w:r>
      <w:r w:rsidR="00463CA8">
        <w:rPr>
          <w:rFonts w:ascii="Calibri" w:hAnsi="Calibri" w:cs="Calibri"/>
        </w:rPr>
        <w:t xml:space="preserve">In gender and politics </w:t>
      </w:r>
      <w:r w:rsidR="005214ED">
        <w:rPr>
          <w:rFonts w:ascii="Calibri" w:hAnsi="Calibri" w:cs="Calibri"/>
        </w:rPr>
        <w:t>literature</w:t>
      </w:r>
      <w:r w:rsidR="00463CA8">
        <w:rPr>
          <w:rFonts w:ascii="Calibri" w:hAnsi="Calibri" w:cs="Calibri"/>
        </w:rPr>
        <w:t>, the</w:t>
      </w:r>
      <w:r w:rsidR="003C491E">
        <w:rPr>
          <w:rFonts w:ascii="Calibri" w:hAnsi="Calibri" w:cs="Calibri"/>
        </w:rPr>
        <w:t xml:space="preserve"> ‘cultural barrier</w:t>
      </w:r>
      <w:r w:rsidR="005214ED">
        <w:rPr>
          <w:rFonts w:ascii="Calibri" w:hAnsi="Calibri" w:cs="Calibri"/>
        </w:rPr>
        <w:t>’</w:t>
      </w:r>
      <w:r w:rsidR="003C491E">
        <w:rPr>
          <w:rFonts w:ascii="Calibri" w:hAnsi="Calibri" w:cs="Calibri"/>
        </w:rPr>
        <w:t xml:space="preserve"> </w:t>
      </w:r>
      <w:r w:rsidR="00220B10">
        <w:rPr>
          <w:rFonts w:ascii="Calibri" w:hAnsi="Calibri" w:cs="Calibri"/>
        </w:rPr>
        <w:t xml:space="preserve">debates </w:t>
      </w:r>
      <w:r w:rsidR="003D42E0">
        <w:rPr>
          <w:rFonts w:ascii="Calibri" w:hAnsi="Calibri" w:cs="Calibri"/>
        </w:rPr>
        <w:t>have</w:t>
      </w:r>
      <w:r w:rsidR="00371FC0">
        <w:rPr>
          <w:rFonts w:ascii="Calibri" w:hAnsi="Calibri" w:cs="Calibri"/>
        </w:rPr>
        <w:t xml:space="preserve"> </w:t>
      </w:r>
      <w:r w:rsidR="00845AE5">
        <w:rPr>
          <w:rFonts w:ascii="Calibri" w:hAnsi="Calibri" w:cs="Calibri"/>
        </w:rPr>
        <w:t xml:space="preserve">evolved </w:t>
      </w:r>
      <w:r w:rsidR="007321D0">
        <w:rPr>
          <w:rFonts w:ascii="Calibri" w:hAnsi="Calibri" w:cs="Calibri"/>
        </w:rPr>
        <w:t xml:space="preserve">from </w:t>
      </w:r>
      <w:r w:rsidR="003417CA">
        <w:rPr>
          <w:rFonts w:ascii="Calibri" w:hAnsi="Calibri" w:cs="Calibri"/>
        </w:rPr>
        <w:t>early claim</w:t>
      </w:r>
      <w:r w:rsidR="007321D0">
        <w:rPr>
          <w:rFonts w:ascii="Calibri" w:hAnsi="Calibri" w:cs="Calibri"/>
        </w:rPr>
        <w:t xml:space="preserve"> that </w:t>
      </w:r>
      <w:r w:rsidR="00C072C6">
        <w:rPr>
          <w:rFonts w:ascii="Calibri" w:hAnsi="Calibri" w:cs="Calibri"/>
        </w:rPr>
        <w:t xml:space="preserve">argue </w:t>
      </w:r>
      <w:r w:rsidR="005A74DA">
        <w:rPr>
          <w:rFonts w:ascii="Calibri" w:hAnsi="Calibri" w:cs="Calibri"/>
        </w:rPr>
        <w:t xml:space="preserve">certain </w:t>
      </w:r>
      <w:r w:rsidR="002938F1">
        <w:rPr>
          <w:rFonts w:ascii="Calibri" w:hAnsi="Calibri" w:cs="Calibri"/>
        </w:rPr>
        <w:t xml:space="preserve">values infused by </w:t>
      </w:r>
      <w:r w:rsidR="00CA79E9">
        <w:rPr>
          <w:rFonts w:ascii="Calibri" w:hAnsi="Calibri" w:cs="Calibri"/>
        </w:rPr>
        <w:t>Islamic conservatism</w:t>
      </w:r>
      <w:r w:rsidR="002938F1">
        <w:rPr>
          <w:rFonts w:ascii="Calibri" w:hAnsi="Calibri" w:cs="Calibri"/>
        </w:rPr>
        <w:t xml:space="preserve"> </w:t>
      </w:r>
      <w:r w:rsidR="000A74E9">
        <w:rPr>
          <w:rFonts w:ascii="Calibri" w:hAnsi="Calibri" w:cs="Calibri"/>
        </w:rPr>
        <w:t xml:space="preserve">may inhibit </w:t>
      </w:r>
      <w:r w:rsidR="0042421E">
        <w:rPr>
          <w:rFonts w:ascii="Calibri" w:hAnsi="Calibri" w:cs="Calibri"/>
        </w:rPr>
        <w:t xml:space="preserve">women </w:t>
      </w:r>
      <w:r w:rsidR="0015028A">
        <w:rPr>
          <w:rFonts w:ascii="Calibri" w:hAnsi="Calibri" w:cs="Calibri"/>
        </w:rPr>
        <w:t>when pursuing public office (</w:t>
      </w:r>
      <w:r w:rsidR="0015028A" w:rsidRPr="00744C4D">
        <w:rPr>
          <w:rFonts w:ascii="Calibri" w:hAnsi="Calibri" w:cs="Calibri"/>
          <w:color w:val="FF0000"/>
        </w:rPr>
        <w:t>quota 2</w:t>
      </w:r>
      <w:r w:rsidR="0015028A">
        <w:rPr>
          <w:rFonts w:ascii="Calibri" w:hAnsi="Calibri" w:cs="Calibri"/>
        </w:rPr>
        <w:t xml:space="preserve">) </w:t>
      </w:r>
      <w:r w:rsidR="00DD5B85">
        <w:rPr>
          <w:rFonts w:ascii="Calibri" w:hAnsi="Calibri" w:cs="Calibri"/>
        </w:rPr>
        <w:t>to a more</w:t>
      </w:r>
      <w:r w:rsidR="0015028A">
        <w:rPr>
          <w:rFonts w:ascii="Calibri" w:hAnsi="Calibri" w:cs="Calibri"/>
        </w:rPr>
        <w:t xml:space="preserve"> </w:t>
      </w:r>
      <w:r w:rsidR="0040199C">
        <w:rPr>
          <w:rFonts w:ascii="Calibri" w:hAnsi="Calibri" w:cs="Calibri"/>
        </w:rPr>
        <w:t xml:space="preserve">contemporary works </w:t>
      </w:r>
      <w:r w:rsidR="00042BA7">
        <w:rPr>
          <w:rFonts w:ascii="Calibri" w:hAnsi="Calibri" w:cs="Calibri"/>
        </w:rPr>
        <w:t>that emphasize</w:t>
      </w:r>
      <w:r w:rsidR="0040199C">
        <w:rPr>
          <w:rFonts w:ascii="Calibri" w:hAnsi="Calibri" w:cs="Calibri"/>
        </w:rPr>
        <w:t xml:space="preserve"> </w:t>
      </w:r>
      <w:r w:rsidR="0087191C">
        <w:rPr>
          <w:rFonts w:ascii="Calibri" w:hAnsi="Calibri" w:cs="Calibri"/>
        </w:rPr>
        <w:t>its</w:t>
      </w:r>
      <w:r w:rsidR="0040199C">
        <w:rPr>
          <w:rFonts w:ascii="Calibri" w:hAnsi="Calibri" w:cs="Calibri"/>
        </w:rPr>
        <w:t xml:space="preserve"> </w:t>
      </w:r>
      <w:r w:rsidR="003C70B8">
        <w:rPr>
          <w:rFonts w:ascii="Calibri" w:hAnsi="Calibri" w:cs="Calibri"/>
        </w:rPr>
        <w:t>diminish</w:t>
      </w:r>
      <w:r w:rsidR="0087191C">
        <w:rPr>
          <w:rFonts w:ascii="Calibri" w:hAnsi="Calibri" w:cs="Calibri"/>
        </w:rPr>
        <w:t xml:space="preserve">ing </w:t>
      </w:r>
      <w:r w:rsidR="003C70B8">
        <w:rPr>
          <w:rFonts w:ascii="Calibri" w:hAnsi="Calibri" w:cs="Calibri"/>
        </w:rPr>
        <w:t>effect</w:t>
      </w:r>
      <w:r w:rsidR="001D13ED">
        <w:rPr>
          <w:rFonts w:ascii="Calibri" w:hAnsi="Calibri" w:cs="Calibri"/>
        </w:rPr>
        <w:t xml:space="preserve">s </w:t>
      </w:r>
      <w:r w:rsidR="008D0FEB">
        <w:rPr>
          <w:rFonts w:ascii="Calibri" w:hAnsi="Calibri" w:cs="Calibri"/>
        </w:rPr>
        <w:t>(</w:t>
      </w:r>
      <w:r w:rsidR="008D0FEB" w:rsidRPr="00AD48F6">
        <w:rPr>
          <w:rFonts w:ascii="Calibri" w:hAnsi="Calibri" w:cs="Calibri"/>
          <w:color w:val="FF0000"/>
        </w:rPr>
        <w:t>quote</w:t>
      </w:r>
      <w:r w:rsidR="008D0FEB">
        <w:rPr>
          <w:rFonts w:ascii="Calibri" w:hAnsi="Calibri" w:cs="Calibri"/>
        </w:rPr>
        <w:t>)</w:t>
      </w:r>
      <w:r w:rsidR="00A5629A">
        <w:rPr>
          <w:rFonts w:ascii="Calibri" w:hAnsi="Calibri" w:cs="Calibri"/>
        </w:rPr>
        <w:t xml:space="preserve">. </w:t>
      </w:r>
      <w:r w:rsidR="00B87414">
        <w:rPr>
          <w:rFonts w:ascii="Calibri" w:hAnsi="Calibri" w:cs="Calibri"/>
        </w:rPr>
        <w:t xml:space="preserve">Analyzing the </w:t>
      </w:r>
      <w:r w:rsidR="00C903A3">
        <w:rPr>
          <w:rFonts w:ascii="Calibri" w:hAnsi="Calibri" w:cs="Calibri"/>
        </w:rPr>
        <w:t xml:space="preserve">patterns of </w:t>
      </w:r>
      <w:proofErr w:type="gramStart"/>
      <w:r w:rsidR="00C903A3">
        <w:rPr>
          <w:rFonts w:ascii="Calibri" w:hAnsi="Calibri" w:cs="Calibri"/>
        </w:rPr>
        <w:t>candidate</w:t>
      </w:r>
      <w:r w:rsidR="00F56E31">
        <w:rPr>
          <w:rFonts w:ascii="Calibri" w:hAnsi="Calibri" w:cs="Calibri"/>
        </w:rPr>
        <w:t>s</w:t>
      </w:r>
      <w:proofErr w:type="gramEnd"/>
      <w:r w:rsidR="00C903A3">
        <w:rPr>
          <w:rFonts w:ascii="Calibri" w:hAnsi="Calibri" w:cs="Calibri"/>
        </w:rPr>
        <w:t xml:space="preserve"> nomination in </w:t>
      </w:r>
      <w:r w:rsidR="001F09BD">
        <w:rPr>
          <w:rFonts w:ascii="Calibri" w:hAnsi="Calibri" w:cs="Calibri"/>
        </w:rPr>
        <w:t>Indonesia’s</w:t>
      </w:r>
      <w:r w:rsidR="00C903A3">
        <w:rPr>
          <w:rFonts w:ascii="Calibri" w:hAnsi="Calibri" w:cs="Calibri"/>
        </w:rPr>
        <w:t xml:space="preserve"> 2019 election, </w:t>
      </w:r>
      <w:proofErr w:type="spellStart"/>
      <w:r w:rsidR="002F3F8C">
        <w:rPr>
          <w:rFonts w:ascii="Calibri" w:hAnsi="Calibri" w:cs="Calibri"/>
        </w:rPr>
        <w:t>Prihatini</w:t>
      </w:r>
      <w:proofErr w:type="spellEnd"/>
      <w:r w:rsidR="002F3F8C">
        <w:rPr>
          <w:rFonts w:ascii="Calibri" w:hAnsi="Calibri" w:cs="Calibri"/>
        </w:rPr>
        <w:t xml:space="preserve"> (2020) </w:t>
      </w:r>
      <w:r w:rsidR="00C342BC">
        <w:rPr>
          <w:rFonts w:ascii="Calibri" w:hAnsi="Calibri" w:cs="Calibri"/>
        </w:rPr>
        <w:t>found that Islamic and non-Islamic part</w:t>
      </w:r>
      <w:r w:rsidR="006C4429">
        <w:rPr>
          <w:rFonts w:ascii="Calibri" w:hAnsi="Calibri" w:cs="Calibri"/>
        </w:rPr>
        <w:t>ies</w:t>
      </w:r>
      <w:r w:rsidR="00C342BC">
        <w:rPr>
          <w:rFonts w:ascii="Calibri" w:hAnsi="Calibri" w:cs="Calibri"/>
        </w:rPr>
        <w:t xml:space="preserve"> have </w:t>
      </w:r>
      <w:r w:rsidR="00ED177A">
        <w:rPr>
          <w:rFonts w:ascii="Calibri" w:hAnsi="Calibri" w:cs="Calibri"/>
        </w:rPr>
        <w:t xml:space="preserve">no </w:t>
      </w:r>
      <w:r w:rsidR="00C468BB">
        <w:rPr>
          <w:rFonts w:ascii="Calibri" w:hAnsi="Calibri" w:cs="Calibri"/>
        </w:rPr>
        <w:t xml:space="preserve">difference when it comes to achieving </w:t>
      </w:r>
      <w:r w:rsidR="000B3CA6">
        <w:rPr>
          <w:rFonts w:ascii="Calibri" w:hAnsi="Calibri" w:cs="Calibri"/>
        </w:rPr>
        <w:t>the minimum quota percentage</w:t>
      </w:r>
      <w:r w:rsidR="00321528">
        <w:rPr>
          <w:rFonts w:ascii="Calibri" w:hAnsi="Calibri" w:cs="Calibri"/>
        </w:rPr>
        <w:t xml:space="preserve">. </w:t>
      </w:r>
      <w:r w:rsidR="00ED177A">
        <w:rPr>
          <w:rFonts w:ascii="Calibri" w:hAnsi="Calibri" w:cs="Calibri"/>
        </w:rPr>
        <w:t>But they</w:t>
      </w:r>
      <w:r w:rsidR="00304740">
        <w:rPr>
          <w:rFonts w:ascii="Calibri" w:hAnsi="Calibri" w:cs="Calibri"/>
        </w:rPr>
        <w:t xml:space="preserve"> both did poorly when it</w:t>
      </w:r>
      <w:r w:rsidR="003B0B0F">
        <w:rPr>
          <w:rFonts w:ascii="Calibri" w:hAnsi="Calibri" w:cs="Calibri"/>
        </w:rPr>
        <w:t xml:space="preserve"> comes to placing female candidate on the upper list </w:t>
      </w:r>
      <w:r w:rsidR="00F173A1">
        <w:rPr>
          <w:rFonts w:ascii="Calibri" w:hAnsi="Calibri" w:cs="Calibri"/>
        </w:rPr>
        <w:t>ballot</w:t>
      </w:r>
      <w:r w:rsidR="003B0B0F">
        <w:rPr>
          <w:rFonts w:ascii="Calibri" w:hAnsi="Calibri" w:cs="Calibri"/>
        </w:rPr>
        <w:t xml:space="preserve">. </w:t>
      </w:r>
      <w:r w:rsidR="00722F8B">
        <w:rPr>
          <w:rFonts w:ascii="Calibri" w:hAnsi="Calibri" w:cs="Calibri"/>
        </w:rPr>
        <w:t xml:space="preserve">A recent work from </w:t>
      </w:r>
      <w:r w:rsidR="003223BD">
        <w:rPr>
          <w:rFonts w:ascii="Calibri" w:hAnsi="Calibri" w:cs="Calibri"/>
        </w:rPr>
        <w:t>White et al. (2024)</w:t>
      </w:r>
      <w:r w:rsidR="00A179B4">
        <w:rPr>
          <w:rFonts w:ascii="Calibri" w:hAnsi="Calibri" w:cs="Calibri"/>
        </w:rPr>
        <w:t xml:space="preserve"> indicates that </w:t>
      </w:r>
      <w:r w:rsidR="00234D25">
        <w:rPr>
          <w:rFonts w:ascii="Calibri" w:hAnsi="Calibri" w:cs="Calibri"/>
        </w:rPr>
        <w:t xml:space="preserve">being Indonesian Muslim is associated </w:t>
      </w:r>
      <w:r w:rsidR="001F2245">
        <w:rPr>
          <w:rFonts w:ascii="Calibri" w:hAnsi="Calibri" w:cs="Calibri"/>
        </w:rPr>
        <w:t xml:space="preserve">with </w:t>
      </w:r>
      <w:r w:rsidR="009E00CE">
        <w:rPr>
          <w:rFonts w:ascii="Calibri" w:hAnsi="Calibri" w:cs="Calibri"/>
        </w:rPr>
        <w:t xml:space="preserve">a higher patriarchal attitude and </w:t>
      </w:r>
      <w:r w:rsidR="000648DC">
        <w:rPr>
          <w:rFonts w:ascii="Calibri" w:hAnsi="Calibri" w:cs="Calibri"/>
        </w:rPr>
        <w:t xml:space="preserve">less support for a higher quota for women. </w:t>
      </w:r>
    </w:p>
    <w:p w14:paraId="470358AC" w14:textId="77777777" w:rsidR="00AB0642" w:rsidRDefault="00AB0642" w:rsidP="002A6CD3">
      <w:pPr>
        <w:spacing w:line="240" w:lineRule="auto"/>
        <w:contextualSpacing/>
        <w:rPr>
          <w:rFonts w:ascii="Calibri" w:hAnsi="Calibri" w:cs="Calibri"/>
        </w:rPr>
      </w:pPr>
    </w:p>
    <w:p w14:paraId="0E31E09A" w14:textId="5D588719" w:rsidR="00BA682C" w:rsidRDefault="00BA682C" w:rsidP="002A6CD3">
      <w:pPr>
        <w:spacing w:line="240" w:lineRule="auto"/>
        <w:contextualSpacing/>
        <w:rPr>
          <w:rFonts w:ascii="Calibri" w:hAnsi="Calibri" w:cs="Calibri"/>
        </w:rPr>
      </w:pPr>
      <w:r>
        <w:rPr>
          <w:rFonts w:ascii="Calibri" w:hAnsi="Calibri" w:cs="Calibri"/>
        </w:rPr>
        <w:t xml:space="preserve">Armed with </w:t>
      </w:r>
      <w:r w:rsidR="008914EF">
        <w:rPr>
          <w:rFonts w:ascii="Calibri" w:hAnsi="Calibri" w:cs="Calibri"/>
        </w:rPr>
        <w:t>these</w:t>
      </w:r>
      <w:r>
        <w:rPr>
          <w:rFonts w:ascii="Calibri" w:hAnsi="Calibri" w:cs="Calibri"/>
        </w:rPr>
        <w:t xml:space="preserve"> insights</w:t>
      </w:r>
      <w:r w:rsidR="00F635A2">
        <w:rPr>
          <w:rFonts w:ascii="Calibri" w:hAnsi="Calibri" w:cs="Calibri"/>
        </w:rPr>
        <w:t xml:space="preserve">, </w:t>
      </w:r>
      <w:r w:rsidR="00F64B1D">
        <w:rPr>
          <w:rFonts w:ascii="Calibri" w:hAnsi="Calibri" w:cs="Calibri"/>
        </w:rPr>
        <w:t xml:space="preserve">I test the </w:t>
      </w:r>
      <w:r w:rsidR="00687CE2">
        <w:rPr>
          <w:rFonts w:ascii="Calibri" w:hAnsi="Calibri" w:cs="Calibri"/>
        </w:rPr>
        <w:t>idea</w:t>
      </w:r>
      <w:r w:rsidR="00F64B1D">
        <w:rPr>
          <w:rFonts w:ascii="Calibri" w:hAnsi="Calibri" w:cs="Calibri"/>
        </w:rPr>
        <w:t xml:space="preserve"> that </w:t>
      </w:r>
      <w:r w:rsidR="009219B8">
        <w:rPr>
          <w:rFonts w:ascii="Calibri" w:hAnsi="Calibri" w:cs="Calibri"/>
        </w:rPr>
        <w:t xml:space="preserve">the level </w:t>
      </w:r>
      <w:r w:rsidR="006D3C40">
        <w:rPr>
          <w:rFonts w:ascii="Calibri" w:hAnsi="Calibri" w:cs="Calibri"/>
        </w:rPr>
        <w:t>compliance to a new quota ruling can be explained by</w:t>
      </w:r>
      <w:r w:rsidR="00134450">
        <w:rPr>
          <w:rFonts w:ascii="Calibri" w:hAnsi="Calibri" w:cs="Calibri"/>
        </w:rPr>
        <w:t xml:space="preserve"> </w:t>
      </w:r>
      <w:r w:rsidR="002B40AD">
        <w:rPr>
          <w:rFonts w:ascii="Calibri" w:hAnsi="Calibri" w:cs="Calibri"/>
        </w:rPr>
        <w:t xml:space="preserve">variations of </w:t>
      </w:r>
      <w:r w:rsidR="0013702E">
        <w:rPr>
          <w:rFonts w:ascii="Calibri" w:hAnsi="Calibri" w:cs="Calibri"/>
        </w:rPr>
        <w:t xml:space="preserve">party ideology. </w:t>
      </w:r>
      <w:r w:rsidR="00C6273B">
        <w:rPr>
          <w:rFonts w:ascii="Calibri" w:hAnsi="Calibri" w:cs="Calibri"/>
        </w:rPr>
        <w:t xml:space="preserve">We expect Islamic </w:t>
      </w:r>
      <w:r w:rsidR="00F80840">
        <w:rPr>
          <w:rFonts w:ascii="Calibri" w:hAnsi="Calibri" w:cs="Calibri"/>
        </w:rPr>
        <w:t>parties</w:t>
      </w:r>
      <w:r w:rsidR="00C6273B">
        <w:rPr>
          <w:rFonts w:ascii="Calibri" w:hAnsi="Calibri" w:cs="Calibri"/>
        </w:rPr>
        <w:t xml:space="preserve"> to be less </w:t>
      </w:r>
      <w:r w:rsidR="000A736F">
        <w:rPr>
          <w:rFonts w:ascii="Calibri" w:hAnsi="Calibri" w:cs="Calibri"/>
        </w:rPr>
        <w:t xml:space="preserve">supportive </w:t>
      </w:r>
      <w:r w:rsidR="001E5434">
        <w:rPr>
          <w:rFonts w:ascii="Calibri" w:hAnsi="Calibri" w:cs="Calibri"/>
        </w:rPr>
        <w:t xml:space="preserve">toward women candidate </w:t>
      </w:r>
      <w:r w:rsidR="000A736F">
        <w:rPr>
          <w:rFonts w:ascii="Calibri" w:hAnsi="Calibri" w:cs="Calibri"/>
        </w:rPr>
        <w:t>and in general</w:t>
      </w:r>
      <w:r w:rsidR="0054116F">
        <w:rPr>
          <w:rFonts w:ascii="Calibri" w:hAnsi="Calibri" w:cs="Calibri"/>
        </w:rPr>
        <w:t xml:space="preserve"> will</w:t>
      </w:r>
      <w:r w:rsidR="000A736F">
        <w:rPr>
          <w:rFonts w:ascii="Calibri" w:hAnsi="Calibri" w:cs="Calibri"/>
        </w:rPr>
        <w:t xml:space="preserve"> </w:t>
      </w:r>
      <w:r w:rsidR="001E5434">
        <w:rPr>
          <w:rFonts w:ascii="Calibri" w:hAnsi="Calibri" w:cs="Calibri"/>
        </w:rPr>
        <w:t xml:space="preserve">have less compliance than </w:t>
      </w:r>
      <w:r w:rsidR="00CE15CC">
        <w:rPr>
          <w:rFonts w:ascii="Calibri" w:hAnsi="Calibri" w:cs="Calibri"/>
        </w:rPr>
        <w:t>non-Islamic</w:t>
      </w:r>
      <w:r w:rsidR="001E5434">
        <w:rPr>
          <w:rFonts w:ascii="Calibri" w:hAnsi="Calibri" w:cs="Calibri"/>
        </w:rPr>
        <w:t xml:space="preserve"> parties.</w:t>
      </w:r>
      <w:r w:rsidR="00586173">
        <w:rPr>
          <w:rFonts w:ascii="Calibri" w:hAnsi="Calibri" w:cs="Calibri"/>
        </w:rPr>
        <w:t xml:space="preserve"> Since </w:t>
      </w:r>
      <w:r w:rsidR="00702B93">
        <w:rPr>
          <w:rFonts w:ascii="Calibri" w:hAnsi="Calibri" w:cs="Calibri"/>
        </w:rPr>
        <w:t xml:space="preserve">classification of Islamic parties in Indonesia is a contested </w:t>
      </w:r>
      <w:r w:rsidR="0034432A">
        <w:rPr>
          <w:rFonts w:ascii="Calibri" w:hAnsi="Calibri" w:cs="Calibri"/>
        </w:rPr>
        <w:t xml:space="preserve">notion and scholars differ in defining what constitute </w:t>
      </w:r>
      <w:r w:rsidR="00A6508A">
        <w:rPr>
          <w:rFonts w:ascii="Calibri" w:hAnsi="Calibri" w:cs="Calibri"/>
        </w:rPr>
        <w:t xml:space="preserve">as </w:t>
      </w:r>
      <w:r w:rsidR="002A469D">
        <w:rPr>
          <w:rFonts w:ascii="Calibri" w:hAnsi="Calibri" w:cs="Calibri"/>
        </w:rPr>
        <w:t xml:space="preserve">Islamic party </w:t>
      </w:r>
      <w:r w:rsidR="00153767">
        <w:rPr>
          <w:rFonts w:ascii="Calibri" w:hAnsi="Calibri" w:cs="Calibri"/>
        </w:rPr>
        <w:t xml:space="preserve">(see </w:t>
      </w:r>
      <w:proofErr w:type="spellStart"/>
      <w:r w:rsidR="00153767">
        <w:rPr>
          <w:rFonts w:ascii="Calibri" w:hAnsi="Calibri" w:cs="Calibri"/>
        </w:rPr>
        <w:t>Baswedan</w:t>
      </w:r>
      <w:proofErr w:type="spellEnd"/>
      <w:r w:rsidR="004435BB">
        <w:rPr>
          <w:rFonts w:ascii="Calibri" w:hAnsi="Calibri" w:cs="Calibri"/>
        </w:rPr>
        <w:t xml:space="preserve">; </w:t>
      </w:r>
      <w:proofErr w:type="spellStart"/>
      <w:r w:rsidR="004435BB">
        <w:rPr>
          <w:rFonts w:ascii="Calibri" w:hAnsi="Calibri" w:cs="Calibri"/>
        </w:rPr>
        <w:t>Mujani</w:t>
      </w:r>
      <w:proofErr w:type="spellEnd"/>
      <w:r w:rsidR="002C1B4D">
        <w:rPr>
          <w:rFonts w:ascii="Calibri" w:hAnsi="Calibri" w:cs="Calibri"/>
        </w:rPr>
        <w:t xml:space="preserve">; </w:t>
      </w:r>
      <w:proofErr w:type="spellStart"/>
      <w:proofErr w:type="gramStart"/>
      <w:r w:rsidR="002C1B4D">
        <w:rPr>
          <w:rFonts w:ascii="Calibri" w:hAnsi="Calibri" w:cs="Calibri"/>
        </w:rPr>
        <w:t>Okthariza</w:t>
      </w:r>
      <w:proofErr w:type="spellEnd"/>
      <w:r w:rsidR="002C1B4D">
        <w:rPr>
          <w:rFonts w:ascii="Calibri" w:hAnsi="Calibri" w:cs="Calibri"/>
        </w:rPr>
        <w:t xml:space="preserve"> </w:t>
      </w:r>
      <w:r w:rsidR="00153767">
        <w:rPr>
          <w:rFonts w:ascii="Calibri" w:hAnsi="Calibri" w:cs="Calibri"/>
        </w:rPr>
        <w:t>)</w:t>
      </w:r>
      <w:proofErr w:type="gramEnd"/>
      <w:r w:rsidR="004316D5">
        <w:rPr>
          <w:rFonts w:ascii="Calibri" w:hAnsi="Calibri" w:cs="Calibri"/>
        </w:rPr>
        <w:t>,</w:t>
      </w:r>
      <w:r w:rsidR="00B03807">
        <w:rPr>
          <w:rFonts w:ascii="Calibri" w:hAnsi="Calibri" w:cs="Calibri"/>
        </w:rPr>
        <w:t xml:space="preserve"> I </w:t>
      </w:r>
      <w:r w:rsidR="00DC5892">
        <w:rPr>
          <w:rFonts w:ascii="Calibri" w:hAnsi="Calibri" w:cs="Calibri"/>
        </w:rPr>
        <w:t>differentiat</w:t>
      </w:r>
      <w:r w:rsidR="003F3DAD">
        <w:rPr>
          <w:rFonts w:ascii="Calibri" w:hAnsi="Calibri" w:cs="Calibri"/>
        </w:rPr>
        <w:t xml:space="preserve">e </w:t>
      </w:r>
      <w:r w:rsidR="004753C5">
        <w:rPr>
          <w:rFonts w:ascii="Calibri" w:hAnsi="Calibri" w:cs="Calibri"/>
        </w:rPr>
        <w:t xml:space="preserve">between ‘Islam inclusive’ and ‘Islam exclusive’ parties. The former </w:t>
      </w:r>
      <w:r w:rsidR="00057329">
        <w:rPr>
          <w:rFonts w:ascii="Calibri" w:hAnsi="Calibri" w:cs="Calibri"/>
        </w:rPr>
        <w:t>refers</w:t>
      </w:r>
      <w:r w:rsidR="00202DFF">
        <w:rPr>
          <w:rFonts w:ascii="Calibri" w:hAnsi="Calibri" w:cs="Calibri"/>
        </w:rPr>
        <w:t xml:space="preserve"> to </w:t>
      </w:r>
      <w:r w:rsidR="00002625">
        <w:rPr>
          <w:rFonts w:ascii="Calibri" w:hAnsi="Calibri" w:cs="Calibri"/>
        </w:rPr>
        <w:t xml:space="preserve">any </w:t>
      </w:r>
      <w:r w:rsidR="00D14236">
        <w:rPr>
          <w:rFonts w:ascii="Calibri" w:hAnsi="Calibri" w:cs="Calibri"/>
        </w:rPr>
        <w:t>party</w:t>
      </w:r>
      <w:r w:rsidR="00002625">
        <w:rPr>
          <w:rFonts w:ascii="Calibri" w:hAnsi="Calibri" w:cs="Calibri"/>
        </w:rPr>
        <w:t xml:space="preserve"> that </w:t>
      </w:r>
      <w:r w:rsidR="005F67E4">
        <w:rPr>
          <w:rFonts w:ascii="Calibri" w:hAnsi="Calibri" w:cs="Calibri"/>
        </w:rPr>
        <w:t xml:space="preserve">either </w:t>
      </w:r>
      <w:r w:rsidR="00962DC0">
        <w:rPr>
          <w:rFonts w:ascii="Calibri" w:hAnsi="Calibri" w:cs="Calibri"/>
        </w:rPr>
        <w:t>place</w:t>
      </w:r>
      <w:r w:rsidR="005F67E4">
        <w:rPr>
          <w:rFonts w:ascii="Calibri" w:hAnsi="Calibri" w:cs="Calibri"/>
        </w:rPr>
        <w:t xml:space="preserve"> Islamic value in their party platforms</w:t>
      </w:r>
      <w:r w:rsidR="00677E18">
        <w:rPr>
          <w:rFonts w:ascii="Calibri" w:hAnsi="Calibri" w:cs="Calibri"/>
        </w:rPr>
        <w:t xml:space="preserve">, having Islamic appeals, </w:t>
      </w:r>
      <w:r w:rsidR="005F67E4">
        <w:rPr>
          <w:rFonts w:ascii="Calibri" w:hAnsi="Calibri" w:cs="Calibri"/>
        </w:rPr>
        <w:t xml:space="preserve">or </w:t>
      </w:r>
      <w:r w:rsidR="00F025A4">
        <w:rPr>
          <w:rFonts w:ascii="Calibri" w:hAnsi="Calibri" w:cs="Calibri"/>
        </w:rPr>
        <w:t xml:space="preserve">conventionally </w:t>
      </w:r>
      <w:r w:rsidR="00847AA7">
        <w:rPr>
          <w:rFonts w:ascii="Calibri" w:hAnsi="Calibri" w:cs="Calibri"/>
        </w:rPr>
        <w:t>regarded as having traditional Muslim voters</w:t>
      </w:r>
      <w:r w:rsidR="00FA64DA">
        <w:rPr>
          <w:rFonts w:ascii="Calibri" w:hAnsi="Calibri" w:cs="Calibri"/>
        </w:rPr>
        <w:t xml:space="preserve"> as their main constituencies</w:t>
      </w:r>
      <w:r w:rsidR="00D708B1">
        <w:rPr>
          <w:rFonts w:ascii="Calibri" w:hAnsi="Calibri" w:cs="Calibri"/>
        </w:rPr>
        <w:t xml:space="preserve"> (</w:t>
      </w:r>
      <w:r w:rsidR="000C5B23">
        <w:rPr>
          <w:rFonts w:ascii="Calibri" w:hAnsi="Calibri" w:cs="Calibri"/>
        </w:rPr>
        <w:t xml:space="preserve">these include </w:t>
      </w:r>
      <w:r w:rsidR="00D708B1">
        <w:rPr>
          <w:rFonts w:ascii="Calibri" w:hAnsi="Calibri" w:cs="Calibri"/>
        </w:rPr>
        <w:t xml:space="preserve">PKS, Ummat, PPP, PBB, PAN, PKB, and </w:t>
      </w:r>
      <w:proofErr w:type="spellStart"/>
      <w:r w:rsidR="00D708B1">
        <w:rPr>
          <w:rFonts w:ascii="Calibri" w:hAnsi="Calibri" w:cs="Calibri"/>
        </w:rPr>
        <w:t>Gelora</w:t>
      </w:r>
      <w:proofErr w:type="spellEnd"/>
      <w:r w:rsidR="00D708B1">
        <w:rPr>
          <w:rFonts w:ascii="Calibri" w:hAnsi="Calibri" w:cs="Calibri"/>
        </w:rPr>
        <w:t>)</w:t>
      </w:r>
      <w:r w:rsidR="00704E74">
        <w:rPr>
          <w:rFonts w:ascii="Calibri" w:hAnsi="Calibri" w:cs="Calibri"/>
        </w:rPr>
        <w:t xml:space="preserve">, </w:t>
      </w:r>
      <w:r w:rsidR="001E234E">
        <w:rPr>
          <w:rFonts w:ascii="Calibri" w:hAnsi="Calibri" w:cs="Calibri"/>
        </w:rPr>
        <w:t>whilst</w:t>
      </w:r>
      <w:r w:rsidR="00704E74">
        <w:rPr>
          <w:rFonts w:ascii="Calibri" w:hAnsi="Calibri" w:cs="Calibri"/>
        </w:rPr>
        <w:t xml:space="preserve"> </w:t>
      </w:r>
      <w:r w:rsidR="004116E4">
        <w:rPr>
          <w:rFonts w:ascii="Calibri" w:hAnsi="Calibri" w:cs="Calibri"/>
        </w:rPr>
        <w:t>for the</w:t>
      </w:r>
      <w:r w:rsidR="00704E74">
        <w:rPr>
          <w:rFonts w:ascii="Calibri" w:hAnsi="Calibri" w:cs="Calibri"/>
        </w:rPr>
        <w:t xml:space="preserve"> </w:t>
      </w:r>
      <w:r w:rsidR="00D90A6C">
        <w:rPr>
          <w:rFonts w:ascii="Calibri" w:hAnsi="Calibri" w:cs="Calibri"/>
        </w:rPr>
        <w:t>later</w:t>
      </w:r>
      <w:r w:rsidR="00704E74">
        <w:rPr>
          <w:rFonts w:ascii="Calibri" w:hAnsi="Calibri" w:cs="Calibri"/>
        </w:rPr>
        <w:t xml:space="preserve"> </w:t>
      </w:r>
      <w:r w:rsidR="004116E4">
        <w:rPr>
          <w:rFonts w:ascii="Calibri" w:hAnsi="Calibri" w:cs="Calibri"/>
        </w:rPr>
        <w:t xml:space="preserve">I </w:t>
      </w:r>
      <w:r w:rsidR="00E86D80">
        <w:rPr>
          <w:rFonts w:ascii="Calibri" w:hAnsi="Calibri" w:cs="Calibri"/>
        </w:rPr>
        <w:t>apply</w:t>
      </w:r>
      <w:r w:rsidR="004116E4">
        <w:rPr>
          <w:rFonts w:ascii="Calibri" w:hAnsi="Calibri" w:cs="Calibri"/>
        </w:rPr>
        <w:t xml:space="preserve"> a more restrictive definition</w:t>
      </w:r>
      <w:r w:rsidR="00B81A2D">
        <w:rPr>
          <w:rFonts w:ascii="Calibri" w:hAnsi="Calibri" w:cs="Calibri"/>
        </w:rPr>
        <w:t xml:space="preserve">, that is, party </w:t>
      </w:r>
      <w:r w:rsidR="00B3556A">
        <w:rPr>
          <w:rFonts w:ascii="Calibri" w:hAnsi="Calibri" w:cs="Calibri"/>
        </w:rPr>
        <w:t xml:space="preserve">with an explicit </w:t>
      </w:r>
      <w:r w:rsidR="007155ED">
        <w:rPr>
          <w:rFonts w:ascii="Calibri" w:hAnsi="Calibri" w:cs="Calibri"/>
        </w:rPr>
        <w:t xml:space="preserve">recognition of Islam </w:t>
      </w:r>
      <w:r w:rsidR="008548B0">
        <w:rPr>
          <w:rFonts w:ascii="Calibri" w:hAnsi="Calibri" w:cs="Calibri"/>
        </w:rPr>
        <w:t>written in their party platform</w:t>
      </w:r>
      <w:r w:rsidR="00D708B1">
        <w:rPr>
          <w:rFonts w:ascii="Calibri" w:hAnsi="Calibri" w:cs="Calibri"/>
        </w:rPr>
        <w:t xml:space="preserve"> (restricted to PKS, Ummat, PPP, and PBB)</w:t>
      </w:r>
      <w:r w:rsidR="008548B0">
        <w:rPr>
          <w:rFonts w:ascii="Calibri" w:hAnsi="Calibri" w:cs="Calibri"/>
        </w:rPr>
        <w:t>.</w:t>
      </w:r>
      <w:r w:rsidR="00CF1F0A">
        <w:rPr>
          <w:rFonts w:ascii="Calibri" w:hAnsi="Calibri" w:cs="Calibri"/>
        </w:rPr>
        <w:t xml:space="preserve"> A slate of similar control variables </w:t>
      </w:r>
      <w:r w:rsidR="00605A41">
        <w:rPr>
          <w:rFonts w:ascii="Calibri" w:hAnsi="Calibri" w:cs="Calibri"/>
        </w:rPr>
        <w:t xml:space="preserve">and binary coding rule ‘1’ for Islamic party and ‘0’ otherwise applied. </w:t>
      </w:r>
    </w:p>
    <w:p w14:paraId="5C6BE035" w14:textId="77777777" w:rsidR="00BA682C" w:rsidRDefault="00BA682C" w:rsidP="002A6CD3">
      <w:pPr>
        <w:spacing w:line="240" w:lineRule="auto"/>
        <w:contextualSpacing/>
        <w:rPr>
          <w:rFonts w:ascii="Calibri" w:hAnsi="Calibri" w:cs="Calibri"/>
        </w:rPr>
      </w:pPr>
    </w:p>
    <w:p w14:paraId="37B844FE" w14:textId="6A0B0003" w:rsidR="00D85DAA" w:rsidRDefault="00D85DAA" w:rsidP="002A6CD3">
      <w:pPr>
        <w:spacing w:line="240" w:lineRule="auto"/>
        <w:contextualSpacing/>
        <w:rPr>
          <w:rFonts w:ascii="Calibri" w:hAnsi="Calibri" w:cs="Calibri"/>
          <w:color w:val="000000" w:themeColor="text1"/>
        </w:rPr>
      </w:pPr>
      <w:r>
        <w:rPr>
          <w:rFonts w:ascii="Calibri" w:hAnsi="Calibri" w:cs="Calibri"/>
        </w:rPr>
        <w:t xml:space="preserve">Table </w:t>
      </w:r>
      <w:r w:rsidRPr="00D85DAA">
        <w:rPr>
          <w:rFonts w:ascii="Calibri" w:hAnsi="Calibri" w:cs="Calibri"/>
          <w:color w:val="A02B93" w:themeColor="accent5"/>
        </w:rPr>
        <w:t>XX</w:t>
      </w:r>
      <w:r>
        <w:rPr>
          <w:rFonts w:ascii="Calibri" w:hAnsi="Calibri" w:cs="Calibri"/>
          <w:color w:val="A02B93" w:themeColor="accent5"/>
        </w:rPr>
        <w:t xml:space="preserve"> </w:t>
      </w:r>
      <w:r w:rsidR="005D6528">
        <w:rPr>
          <w:rFonts w:ascii="Calibri" w:hAnsi="Calibri" w:cs="Calibri"/>
          <w:color w:val="000000" w:themeColor="text1"/>
        </w:rPr>
        <w:t>confirms</w:t>
      </w:r>
      <w:r w:rsidR="00B70545">
        <w:rPr>
          <w:rFonts w:ascii="Calibri" w:hAnsi="Calibri" w:cs="Calibri"/>
          <w:color w:val="000000" w:themeColor="text1"/>
        </w:rPr>
        <w:t xml:space="preserve"> </w:t>
      </w:r>
      <w:r w:rsidR="005D6528">
        <w:rPr>
          <w:rFonts w:ascii="Calibri" w:hAnsi="Calibri" w:cs="Calibri"/>
          <w:color w:val="000000" w:themeColor="text1"/>
        </w:rPr>
        <w:t>our</w:t>
      </w:r>
      <w:r w:rsidR="003C62A3">
        <w:rPr>
          <w:rFonts w:ascii="Calibri" w:hAnsi="Calibri" w:cs="Calibri"/>
          <w:color w:val="000000" w:themeColor="text1"/>
        </w:rPr>
        <w:t xml:space="preserve"> first</w:t>
      </w:r>
      <w:r w:rsidR="005D6528">
        <w:rPr>
          <w:rFonts w:ascii="Calibri" w:hAnsi="Calibri" w:cs="Calibri"/>
          <w:color w:val="000000" w:themeColor="text1"/>
        </w:rPr>
        <w:t xml:space="preserve"> empirical expectation. </w:t>
      </w:r>
      <w:r w:rsidR="00796AD9">
        <w:rPr>
          <w:rFonts w:ascii="Calibri" w:hAnsi="Calibri" w:cs="Calibri"/>
          <w:color w:val="000000" w:themeColor="text1"/>
        </w:rPr>
        <w:t xml:space="preserve">When </w:t>
      </w:r>
      <w:r w:rsidR="001F1962">
        <w:rPr>
          <w:rFonts w:ascii="Calibri" w:hAnsi="Calibri" w:cs="Calibri"/>
          <w:color w:val="000000" w:themeColor="text1"/>
        </w:rPr>
        <w:t xml:space="preserve">the whole </w:t>
      </w:r>
      <w:r w:rsidR="00796AD9">
        <w:rPr>
          <w:rFonts w:ascii="Calibri" w:hAnsi="Calibri" w:cs="Calibri"/>
          <w:color w:val="000000" w:themeColor="text1"/>
        </w:rPr>
        <w:t xml:space="preserve">Islamic parties are considered, </w:t>
      </w:r>
      <w:r w:rsidR="00A37963">
        <w:rPr>
          <w:rFonts w:ascii="Calibri" w:hAnsi="Calibri" w:cs="Calibri"/>
          <w:color w:val="000000" w:themeColor="text1"/>
        </w:rPr>
        <w:t xml:space="preserve">the </w:t>
      </w:r>
      <w:r w:rsidR="0080340D">
        <w:rPr>
          <w:rFonts w:ascii="Calibri" w:hAnsi="Calibri" w:cs="Calibri"/>
          <w:color w:val="000000" w:themeColor="text1"/>
        </w:rPr>
        <w:t>result for quota compliance is negative and statistically significant at 1 percent level</w:t>
      </w:r>
      <w:r w:rsidR="00140BF6">
        <w:rPr>
          <w:rFonts w:ascii="Calibri" w:hAnsi="Calibri" w:cs="Calibri"/>
          <w:color w:val="000000" w:themeColor="text1"/>
        </w:rPr>
        <w:t>.</w:t>
      </w:r>
      <w:r w:rsidR="002F3271">
        <w:rPr>
          <w:rFonts w:ascii="Calibri" w:hAnsi="Calibri" w:cs="Calibri"/>
          <w:color w:val="000000" w:themeColor="text1"/>
        </w:rPr>
        <w:t xml:space="preserve"> </w:t>
      </w:r>
      <w:r w:rsidR="00140BF6">
        <w:rPr>
          <w:rFonts w:ascii="Calibri" w:hAnsi="Calibri" w:cs="Calibri"/>
          <w:color w:val="000000" w:themeColor="text1"/>
        </w:rPr>
        <w:t>This indicates</w:t>
      </w:r>
      <w:r w:rsidR="002F3271">
        <w:rPr>
          <w:rFonts w:ascii="Calibri" w:hAnsi="Calibri" w:cs="Calibri"/>
          <w:color w:val="000000" w:themeColor="text1"/>
        </w:rPr>
        <w:t xml:space="preserve"> </w:t>
      </w:r>
      <w:r w:rsidR="00141E55">
        <w:rPr>
          <w:rFonts w:ascii="Calibri" w:hAnsi="Calibri" w:cs="Calibri"/>
          <w:color w:val="000000" w:themeColor="text1"/>
        </w:rPr>
        <w:t xml:space="preserve">that Islamic parties overall </w:t>
      </w:r>
      <w:r w:rsidR="0085679F">
        <w:rPr>
          <w:rFonts w:ascii="Calibri" w:hAnsi="Calibri" w:cs="Calibri"/>
          <w:color w:val="000000" w:themeColor="text1"/>
        </w:rPr>
        <w:t xml:space="preserve">tend to </w:t>
      </w:r>
      <w:r w:rsidR="00A70C5F">
        <w:rPr>
          <w:rFonts w:ascii="Calibri" w:hAnsi="Calibri" w:cs="Calibri"/>
          <w:color w:val="000000" w:themeColor="text1"/>
        </w:rPr>
        <w:t xml:space="preserve">comply less than non-Islamic parties. </w:t>
      </w:r>
      <w:r w:rsidR="00043E51">
        <w:rPr>
          <w:rFonts w:ascii="Calibri" w:hAnsi="Calibri" w:cs="Calibri"/>
          <w:color w:val="000000" w:themeColor="text1"/>
        </w:rPr>
        <w:t xml:space="preserve">The same relationship can be found when </w:t>
      </w:r>
      <w:r w:rsidR="00AB1020">
        <w:rPr>
          <w:rFonts w:ascii="Calibri" w:hAnsi="Calibri" w:cs="Calibri"/>
          <w:color w:val="000000" w:themeColor="text1"/>
        </w:rPr>
        <w:t xml:space="preserve">other indicators are </w:t>
      </w:r>
      <w:r w:rsidR="00107D9E">
        <w:rPr>
          <w:rFonts w:ascii="Calibri" w:hAnsi="Calibri" w:cs="Calibri"/>
          <w:color w:val="000000" w:themeColor="text1"/>
        </w:rPr>
        <w:t>included</w:t>
      </w:r>
      <w:r w:rsidR="00B14F2A">
        <w:rPr>
          <w:rFonts w:ascii="Calibri" w:hAnsi="Calibri" w:cs="Calibri"/>
          <w:color w:val="000000" w:themeColor="text1"/>
        </w:rPr>
        <w:t xml:space="preserve">. </w:t>
      </w:r>
      <w:r w:rsidR="00EF4AFA">
        <w:rPr>
          <w:rFonts w:ascii="Calibri" w:hAnsi="Calibri" w:cs="Calibri"/>
          <w:color w:val="000000" w:themeColor="text1"/>
        </w:rPr>
        <w:t xml:space="preserve">Interestingly, </w:t>
      </w:r>
      <w:r w:rsidR="003968A9">
        <w:rPr>
          <w:rFonts w:ascii="Calibri" w:hAnsi="Calibri" w:cs="Calibri"/>
          <w:color w:val="000000" w:themeColor="text1"/>
        </w:rPr>
        <w:t xml:space="preserve">when the </w:t>
      </w:r>
      <w:r w:rsidR="00B92986">
        <w:rPr>
          <w:rFonts w:ascii="Calibri" w:hAnsi="Calibri" w:cs="Calibri"/>
          <w:color w:val="000000" w:themeColor="text1"/>
        </w:rPr>
        <w:t xml:space="preserve">analysis is restricted </w:t>
      </w:r>
      <w:r w:rsidR="004A406A">
        <w:rPr>
          <w:rFonts w:ascii="Calibri" w:hAnsi="Calibri" w:cs="Calibri"/>
          <w:color w:val="000000" w:themeColor="text1"/>
        </w:rPr>
        <w:t>to all</w:t>
      </w:r>
      <w:r w:rsidR="00605CF4">
        <w:rPr>
          <w:rFonts w:ascii="Calibri" w:hAnsi="Calibri" w:cs="Calibri"/>
          <w:color w:val="000000" w:themeColor="text1"/>
        </w:rPr>
        <w:t xml:space="preserve"> more conservative Islamic parties, the direction of </w:t>
      </w:r>
      <w:r w:rsidR="00EC6537">
        <w:rPr>
          <w:rFonts w:ascii="Calibri" w:hAnsi="Calibri" w:cs="Calibri"/>
          <w:color w:val="000000" w:themeColor="text1"/>
        </w:rPr>
        <w:t>coefficient</w:t>
      </w:r>
      <w:r w:rsidR="00605CF4">
        <w:rPr>
          <w:rFonts w:ascii="Calibri" w:hAnsi="Calibri" w:cs="Calibri"/>
          <w:color w:val="000000" w:themeColor="text1"/>
        </w:rPr>
        <w:t xml:space="preserve"> become</w:t>
      </w:r>
      <w:r w:rsidR="00EC6537">
        <w:rPr>
          <w:rFonts w:ascii="Calibri" w:hAnsi="Calibri" w:cs="Calibri"/>
          <w:color w:val="000000" w:themeColor="text1"/>
        </w:rPr>
        <w:t xml:space="preserve">s positive and </w:t>
      </w:r>
      <w:r w:rsidR="008A6B15">
        <w:rPr>
          <w:rFonts w:ascii="Calibri" w:hAnsi="Calibri" w:cs="Calibri"/>
          <w:color w:val="000000" w:themeColor="text1"/>
        </w:rPr>
        <w:t>much stronger in magnitude</w:t>
      </w:r>
      <w:r w:rsidR="00323090">
        <w:rPr>
          <w:rFonts w:ascii="Calibri" w:hAnsi="Calibri" w:cs="Calibri"/>
          <w:color w:val="000000" w:themeColor="text1"/>
        </w:rPr>
        <w:t xml:space="preserve"> (p-value </w:t>
      </w:r>
      <w:r w:rsidR="000404AA">
        <w:rPr>
          <w:rFonts w:ascii="Calibri" w:hAnsi="Calibri" w:cs="Calibri"/>
          <w:color w:val="000000" w:themeColor="text1"/>
        </w:rPr>
        <w:t xml:space="preserve">is </w:t>
      </w:r>
      <w:r w:rsidR="00323090">
        <w:rPr>
          <w:rFonts w:ascii="Calibri" w:hAnsi="Calibri" w:cs="Calibri"/>
          <w:color w:val="000000" w:themeColor="text1"/>
        </w:rPr>
        <w:t xml:space="preserve">less than </w:t>
      </w:r>
      <w:r w:rsidR="0004681B">
        <w:rPr>
          <w:rFonts w:ascii="Calibri" w:hAnsi="Calibri" w:cs="Calibri"/>
          <w:color w:val="000000" w:themeColor="text1"/>
        </w:rPr>
        <w:t>1 percent</w:t>
      </w:r>
      <w:r w:rsidR="00F13058">
        <w:rPr>
          <w:rFonts w:ascii="Calibri" w:hAnsi="Calibri" w:cs="Calibri"/>
          <w:color w:val="000000" w:themeColor="text1"/>
        </w:rPr>
        <w:t xml:space="preserve"> level</w:t>
      </w:r>
      <w:r w:rsidR="0004681B">
        <w:rPr>
          <w:rFonts w:ascii="Calibri" w:hAnsi="Calibri" w:cs="Calibri"/>
          <w:color w:val="000000" w:themeColor="text1"/>
        </w:rPr>
        <w:t>)</w:t>
      </w:r>
      <w:r w:rsidR="00173D2F">
        <w:rPr>
          <w:rFonts w:ascii="Calibri" w:hAnsi="Calibri" w:cs="Calibri"/>
          <w:color w:val="000000" w:themeColor="text1"/>
        </w:rPr>
        <w:t xml:space="preserve"> than model 1</w:t>
      </w:r>
      <w:r w:rsidR="0049687B">
        <w:rPr>
          <w:rFonts w:ascii="Calibri" w:hAnsi="Calibri" w:cs="Calibri"/>
          <w:color w:val="000000" w:themeColor="text1"/>
        </w:rPr>
        <w:t xml:space="preserve"> and 2</w:t>
      </w:r>
      <w:r w:rsidR="00B31963">
        <w:rPr>
          <w:rFonts w:ascii="Calibri" w:hAnsi="Calibri" w:cs="Calibri"/>
          <w:color w:val="000000" w:themeColor="text1"/>
        </w:rPr>
        <w:t xml:space="preserve">. </w:t>
      </w:r>
      <w:r w:rsidR="00FF2DF1" w:rsidRPr="00FF2DF1">
        <w:rPr>
          <w:rFonts w:ascii="Calibri" w:hAnsi="Calibri" w:cs="Calibri"/>
          <w:color w:val="000000" w:themeColor="text1"/>
        </w:rPr>
        <w:t>This suggests that the level of conservatism within Islamic parties may play a decisive role in determining their stance towards quota compliance.</w:t>
      </w:r>
      <w:r w:rsidR="00FF2DF1">
        <w:rPr>
          <w:rFonts w:ascii="Calibri" w:hAnsi="Calibri" w:cs="Calibri"/>
          <w:color w:val="000000" w:themeColor="text1"/>
        </w:rPr>
        <w:t xml:space="preserve"> </w:t>
      </w:r>
      <w:r w:rsidR="004C3451">
        <w:rPr>
          <w:rFonts w:ascii="Calibri" w:hAnsi="Calibri" w:cs="Calibri"/>
          <w:color w:val="000000" w:themeColor="text1"/>
        </w:rPr>
        <w:t xml:space="preserve">The negative results that we found in the previous models were likely due to the moderate </w:t>
      </w:r>
      <w:r w:rsidR="00457C03">
        <w:rPr>
          <w:rFonts w:ascii="Calibri" w:hAnsi="Calibri" w:cs="Calibri"/>
          <w:color w:val="000000" w:themeColor="text1"/>
        </w:rPr>
        <w:t xml:space="preserve">Islamic </w:t>
      </w:r>
      <w:proofErr w:type="gramStart"/>
      <w:r w:rsidR="00457C03">
        <w:rPr>
          <w:rFonts w:ascii="Calibri" w:hAnsi="Calibri" w:cs="Calibri"/>
          <w:color w:val="000000" w:themeColor="text1"/>
        </w:rPr>
        <w:t>parties</w:t>
      </w:r>
      <w:proofErr w:type="gramEnd"/>
      <w:r w:rsidR="00457C03">
        <w:rPr>
          <w:rFonts w:ascii="Calibri" w:hAnsi="Calibri" w:cs="Calibri"/>
          <w:color w:val="000000" w:themeColor="text1"/>
        </w:rPr>
        <w:t xml:space="preserve"> </w:t>
      </w:r>
      <w:r w:rsidR="004C3451">
        <w:rPr>
          <w:rFonts w:ascii="Calibri" w:hAnsi="Calibri" w:cs="Calibri"/>
          <w:color w:val="000000" w:themeColor="text1"/>
        </w:rPr>
        <w:t xml:space="preserve">drive drown the coefficient </w:t>
      </w:r>
      <w:r w:rsidR="00223EB8">
        <w:rPr>
          <w:rFonts w:ascii="Calibri" w:hAnsi="Calibri" w:cs="Calibri"/>
          <w:color w:val="000000" w:themeColor="text1"/>
        </w:rPr>
        <w:t xml:space="preserve">as they have less </w:t>
      </w:r>
      <w:r w:rsidR="00457C03">
        <w:rPr>
          <w:rFonts w:ascii="Calibri" w:hAnsi="Calibri" w:cs="Calibri"/>
          <w:color w:val="000000" w:themeColor="text1"/>
        </w:rPr>
        <w:t xml:space="preserve">compliance toward new quota rule. </w:t>
      </w:r>
      <w:r w:rsidR="00F3256C">
        <w:rPr>
          <w:rFonts w:ascii="Calibri" w:hAnsi="Calibri" w:cs="Calibri"/>
          <w:color w:val="000000" w:themeColor="text1"/>
        </w:rPr>
        <w:t xml:space="preserve">The conclusion to be drawn </w:t>
      </w:r>
      <w:r w:rsidR="00F3256C">
        <w:rPr>
          <w:rFonts w:ascii="Calibri" w:hAnsi="Calibri" w:cs="Calibri"/>
          <w:color w:val="000000" w:themeColor="text1"/>
        </w:rPr>
        <w:lastRenderedPageBreak/>
        <w:t>from this rather surprising result is that quota compliance is strongest among the most conservative parties in Indonesia.</w:t>
      </w:r>
      <w:r w:rsidR="00006C55">
        <w:rPr>
          <w:rFonts w:ascii="Calibri" w:hAnsi="Calibri" w:cs="Calibri"/>
          <w:color w:val="000000" w:themeColor="text1"/>
        </w:rPr>
        <w:t xml:space="preserve"> This </w:t>
      </w:r>
      <w:r w:rsidR="00E0049A">
        <w:rPr>
          <w:rFonts w:ascii="Calibri" w:hAnsi="Calibri" w:cs="Calibri"/>
          <w:color w:val="000000" w:themeColor="text1"/>
        </w:rPr>
        <w:t xml:space="preserve">run counter to </w:t>
      </w:r>
      <w:r w:rsidR="00246691">
        <w:rPr>
          <w:rFonts w:ascii="Calibri" w:hAnsi="Calibri" w:cs="Calibri"/>
          <w:color w:val="000000" w:themeColor="text1"/>
        </w:rPr>
        <w:t xml:space="preserve">the broader </w:t>
      </w:r>
      <w:r w:rsidR="0000249A">
        <w:rPr>
          <w:rFonts w:ascii="Calibri" w:hAnsi="Calibri" w:cs="Calibri"/>
          <w:color w:val="000000" w:themeColor="text1"/>
        </w:rPr>
        <w:t>‘cultural barrier’ literature</w:t>
      </w:r>
      <w:r w:rsidR="00FC2907">
        <w:rPr>
          <w:rFonts w:ascii="Calibri" w:hAnsi="Calibri" w:cs="Calibri"/>
          <w:color w:val="000000" w:themeColor="text1"/>
        </w:rPr>
        <w:t xml:space="preserve"> and </w:t>
      </w:r>
      <w:r w:rsidR="00A56B1B">
        <w:rPr>
          <w:rFonts w:ascii="Calibri" w:hAnsi="Calibri" w:cs="Calibri"/>
          <w:color w:val="000000" w:themeColor="text1"/>
        </w:rPr>
        <w:t xml:space="preserve">warrants more systematic examinations in future research. </w:t>
      </w:r>
    </w:p>
    <w:p w14:paraId="402273D1" w14:textId="77777777" w:rsidR="002A53BA" w:rsidRDefault="002A53BA" w:rsidP="002A6CD3">
      <w:pPr>
        <w:spacing w:line="240" w:lineRule="auto"/>
        <w:contextualSpacing/>
        <w:rPr>
          <w:rFonts w:ascii="Calibri" w:hAnsi="Calibri" w:cs="Calibri"/>
          <w:color w:val="000000" w:themeColor="text1"/>
        </w:rPr>
      </w:pPr>
    </w:p>
    <w:p w14:paraId="21A1C2D3" w14:textId="45E6D52C" w:rsidR="002A53BA" w:rsidRDefault="002A53BA" w:rsidP="002A6CD3">
      <w:pPr>
        <w:spacing w:line="240" w:lineRule="auto"/>
        <w:contextualSpacing/>
        <w:rPr>
          <w:rFonts w:ascii="Calibri" w:hAnsi="Calibri" w:cs="Calibri"/>
          <w:b/>
          <w:bCs/>
          <w:color w:val="000000" w:themeColor="text1"/>
        </w:rPr>
      </w:pPr>
      <w:r w:rsidRPr="002A53BA">
        <w:rPr>
          <w:rFonts w:ascii="Calibri" w:hAnsi="Calibri" w:cs="Calibri"/>
          <w:b/>
          <w:bCs/>
          <w:color w:val="000000" w:themeColor="text1"/>
        </w:rPr>
        <w:t>Conclusion</w:t>
      </w:r>
    </w:p>
    <w:p w14:paraId="1FD6275C" w14:textId="77777777" w:rsidR="00365F0A" w:rsidRPr="002A53BA" w:rsidRDefault="00365F0A" w:rsidP="002A6CD3">
      <w:pPr>
        <w:spacing w:line="240" w:lineRule="auto"/>
        <w:contextualSpacing/>
        <w:rPr>
          <w:rFonts w:ascii="Calibri" w:hAnsi="Calibri" w:cs="Calibri"/>
          <w:b/>
          <w:bCs/>
          <w:color w:val="000000" w:themeColor="text1"/>
        </w:rPr>
      </w:pPr>
    </w:p>
    <w:p w14:paraId="5FC69156" w14:textId="77777777" w:rsidR="007956A5" w:rsidRDefault="007956A5" w:rsidP="002A6CD3">
      <w:pPr>
        <w:spacing w:line="240" w:lineRule="auto"/>
        <w:contextualSpacing/>
        <w:rPr>
          <w:rFonts w:ascii="Calibri" w:hAnsi="Calibri" w:cs="Calibri"/>
          <w:color w:val="000000" w:themeColor="text1"/>
        </w:rPr>
      </w:pPr>
    </w:p>
    <w:p w14:paraId="1C9D6CA6" w14:textId="77777777" w:rsidR="002A53BA" w:rsidRPr="00B70545" w:rsidRDefault="002A53BA" w:rsidP="002A6CD3">
      <w:pPr>
        <w:spacing w:line="240" w:lineRule="auto"/>
        <w:contextualSpacing/>
        <w:rPr>
          <w:rFonts w:ascii="Calibri" w:hAnsi="Calibri" w:cs="Calibri"/>
          <w:color w:val="000000" w:themeColor="text1"/>
        </w:rPr>
      </w:pPr>
    </w:p>
    <w:p w14:paraId="72E3D836" w14:textId="77777777" w:rsidR="00635037" w:rsidRPr="002A6CD3" w:rsidRDefault="00635037" w:rsidP="002A6CD3">
      <w:pPr>
        <w:spacing w:line="240" w:lineRule="auto"/>
        <w:contextualSpacing/>
        <w:rPr>
          <w:rFonts w:ascii="Calibri" w:hAnsi="Calibri" w:cs="Calibri"/>
        </w:rPr>
      </w:pPr>
    </w:p>
    <w:p w14:paraId="7AB5E3CE" w14:textId="77777777" w:rsidR="002A6CD3" w:rsidRPr="002A6CD3" w:rsidRDefault="002A6CD3" w:rsidP="002A6CD3">
      <w:pPr>
        <w:spacing w:line="240" w:lineRule="auto"/>
        <w:contextualSpacing/>
        <w:rPr>
          <w:rFonts w:ascii="Calibri" w:hAnsi="Calibri" w:cs="Calibri"/>
        </w:rPr>
      </w:pPr>
    </w:p>
    <w:p w14:paraId="34F3F554" w14:textId="15919178" w:rsidR="00810590" w:rsidRPr="002A6CD3" w:rsidRDefault="00EC1592" w:rsidP="002A6CD3">
      <w:pPr>
        <w:spacing w:line="240" w:lineRule="auto"/>
        <w:contextualSpacing/>
        <w:rPr>
          <w:rFonts w:ascii="Calibri" w:hAnsi="Calibri" w:cs="Calibri"/>
        </w:rPr>
      </w:pPr>
      <w:r>
        <w:rPr>
          <w:rFonts w:ascii="Calibri" w:hAnsi="Calibri" w:cs="Calibri"/>
          <w:noProof/>
        </w:rPr>
        <w:drawing>
          <wp:anchor distT="0" distB="0" distL="114300" distR="114300" simplePos="0" relativeHeight="251658240" behindDoc="0" locked="0" layoutInCell="1" allowOverlap="1" wp14:anchorId="1C3E4DBD" wp14:editId="260047A8">
            <wp:simplePos x="0" y="0"/>
            <wp:positionH relativeFrom="column">
              <wp:posOffset>0</wp:posOffset>
            </wp:positionH>
            <wp:positionV relativeFrom="paragraph">
              <wp:posOffset>0</wp:posOffset>
            </wp:positionV>
            <wp:extent cx="5943600" cy="408305"/>
            <wp:effectExtent l="0" t="0" r="0" b="0"/>
            <wp:wrapThrough wrapText="bothSides">
              <wp:wrapPolygon edited="0">
                <wp:start x="0" y="0"/>
                <wp:lineTo x="0" y="20827"/>
                <wp:lineTo x="21554" y="20827"/>
                <wp:lineTo x="21554" y="0"/>
                <wp:lineTo x="0" y="0"/>
              </wp:wrapPolygon>
            </wp:wrapThrough>
            <wp:docPr id="145830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01074" name="Picture 1458301074"/>
                    <pic:cNvPicPr/>
                  </pic:nvPicPr>
                  <pic:blipFill>
                    <a:blip r:embed="rId7">
                      <a:extLst>
                        <a:ext uri="{28A0092B-C50C-407E-A947-70E740481C1C}">
                          <a14:useLocalDpi xmlns:a14="http://schemas.microsoft.com/office/drawing/2010/main" val="0"/>
                        </a:ext>
                      </a:extLst>
                    </a:blip>
                    <a:stretch>
                      <a:fillRect/>
                    </a:stretch>
                  </pic:blipFill>
                  <pic:spPr>
                    <a:xfrm>
                      <a:off x="0" y="0"/>
                      <a:ext cx="5943600" cy="408305"/>
                    </a:xfrm>
                    <a:prstGeom prst="rect">
                      <a:avLst/>
                    </a:prstGeom>
                  </pic:spPr>
                </pic:pic>
              </a:graphicData>
            </a:graphic>
            <wp14:sizeRelH relativeFrom="page">
              <wp14:pctWidth>0</wp14:pctWidth>
            </wp14:sizeRelH>
            <wp14:sizeRelV relativeFrom="page">
              <wp14:pctHeight>0</wp14:pctHeight>
            </wp14:sizeRelV>
          </wp:anchor>
        </w:drawing>
      </w:r>
    </w:p>
    <w:sectPr w:rsidR="00810590" w:rsidRPr="002A6C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84A3B" w14:textId="77777777" w:rsidR="00245F83" w:rsidRDefault="00245F83" w:rsidP="008F6FBC">
      <w:pPr>
        <w:spacing w:after="0" w:line="240" w:lineRule="auto"/>
      </w:pPr>
      <w:r>
        <w:separator/>
      </w:r>
    </w:p>
  </w:endnote>
  <w:endnote w:type="continuationSeparator" w:id="0">
    <w:p w14:paraId="024F6002" w14:textId="77777777" w:rsidR="00245F83" w:rsidRDefault="00245F83" w:rsidP="008F6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97F28" w14:textId="77777777" w:rsidR="00245F83" w:rsidRDefault="00245F83" w:rsidP="008F6FBC">
      <w:pPr>
        <w:spacing w:after="0" w:line="240" w:lineRule="auto"/>
      </w:pPr>
      <w:r>
        <w:separator/>
      </w:r>
    </w:p>
  </w:footnote>
  <w:footnote w:type="continuationSeparator" w:id="0">
    <w:p w14:paraId="738C828F" w14:textId="77777777" w:rsidR="00245F83" w:rsidRDefault="00245F83" w:rsidP="008F6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705BFC"/>
    <w:multiLevelType w:val="hybridMultilevel"/>
    <w:tmpl w:val="E4FC5820"/>
    <w:lvl w:ilvl="0" w:tplc="B8BEE5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2062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90"/>
    <w:rsid w:val="0000232D"/>
    <w:rsid w:val="0000249A"/>
    <w:rsid w:val="00002625"/>
    <w:rsid w:val="0000340C"/>
    <w:rsid w:val="00005589"/>
    <w:rsid w:val="00006C55"/>
    <w:rsid w:val="0001052F"/>
    <w:rsid w:val="000139F0"/>
    <w:rsid w:val="00023BDD"/>
    <w:rsid w:val="00026876"/>
    <w:rsid w:val="000325F4"/>
    <w:rsid w:val="00032DD2"/>
    <w:rsid w:val="000404AA"/>
    <w:rsid w:val="00042A3D"/>
    <w:rsid w:val="00042BA7"/>
    <w:rsid w:val="0004374B"/>
    <w:rsid w:val="00043E51"/>
    <w:rsid w:val="00045D56"/>
    <w:rsid w:val="0004681B"/>
    <w:rsid w:val="00046BF8"/>
    <w:rsid w:val="0005720F"/>
    <w:rsid w:val="00057329"/>
    <w:rsid w:val="00060D6A"/>
    <w:rsid w:val="00063799"/>
    <w:rsid w:val="000648DC"/>
    <w:rsid w:val="00073B05"/>
    <w:rsid w:val="00073BAD"/>
    <w:rsid w:val="00080B59"/>
    <w:rsid w:val="00081DD9"/>
    <w:rsid w:val="0008295E"/>
    <w:rsid w:val="000847AB"/>
    <w:rsid w:val="00091057"/>
    <w:rsid w:val="00091C07"/>
    <w:rsid w:val="00095246"/>
    <w:rsid w:val="000A0A00"/>
    <w:rsid w:val="000A0B69"/>
    <w:rsid w:val="000A1F6B"/>
    <w:rsid w:val="000A67A6"/>
    <w:rsid w:val="000A736F"/>
    <w:rsid w:val="000A74E9"/>
    <w:rsid w:val="000B041C"/>
    <w:rsid w:val="000B0F56"/>
    <w:rsid w:val="000B24FC"/>
    <w:rsid w:val="000B3CA6"/>
    <w:rsid w:val="000B4576"/>
    <w:rsid w:val="000B60CA"/>
    <w:rsid w:val="000C19EF"/>
    <w:rsid w:val="000C273C"/>
    <w:rsid w:val="000C3CF3"/>
    <w:rsid w:val="000C5B23"/>
    <w:rsid w:val="000C7384"/>
    <w:rsid w:val="000D01C5"/>
    <w:rsid w:val="000D31E7"/>
    <w:rsid w:val="000D60AE"/>
    <w:rsid w:val="000D7E3A"/>
    <w:rsid w:val="000E252D"/>
    <w:rsid w:val="000E258F"/>
    <w:rsid w:val="000E686C"/>
    <w:rsid w:val="000F7DE9"/>
    <w:rsid w:val="0010639A"/>
    <w:rsid w:val="00107D9E"/>
    <w:rsid w:val="001128BB"/>
    <w:rsid w:val="001147B8"/>
    <w:rsid w:val="001149E5"/>
    <w:rsid w:val="00124238"/>
    <w:rsid w:val="00125102"/>
    <w:rsid w:val="00126BB5"/>
    <w:rsid w:val="001275A3"/>
    <w:rsid w:val="00131BFD"/>
    <w:rsid w:val="00132625"/>
    <w:rsid w:val="001335DB"/>
    <w:rsid w:val="00134450"/>
    <w:rsid w:val="0013702E"/>
    <w:rsid w:val="0013744C"/>
    <w:rsid w:val="00140BF6"/>
    <w:rsid w:val="00141E55"/>
    <w:rsid w:val="00142E6A"/>
    <w:rsid w:val="00143031"/>
    <w:rsid w:val="0014434D"/>
    <w:rsid w:val="0015028A"/>
    <w:rsid w:val="001533AF"/>
    <w:rsid w:val="00153767"/>
    <w:rsid w:val="00155408"/>
    <w:rsid w:val="0016102D"/>
    <w:rsid w:val="00161336"/>
    <w:rsid w:val="00165240"/>
    <w:rsid w:val="001701F0"/>
    <w:rsid w:val="001706D0"/>
    <w:rsid w:val="00170D33"/>
    <w:rsid w:val="00173D2F"/>
    <w:rsid w:val="0017474E"/>
    <w:rsid w:val="00177D23"/>
    <w:rsid w:val="00181B70"/>
    <w:rsid w:val="00183AED"/>
    <w:rsid w:val="00192299"/>
    <w:rsid w:val="001A203D"/>
    <w:rsid w:val="001A39BF"/>
    <w:rsid w:val="001A4222"/>
    <w:rsid w:val="001A78E5"/>
    <w:rsid w:val="001B4354"/>
    <w:rsid w:val="001B7895"/>
    <w:rsid w:val="001C0AF1"/>
    <w:rsid w:val="001C650A"/>
    <w:rsid w:val="001C6533"/>
    <w:rsid w:val="001C7B9F"/>
    <w:rsid w:val="001D13ED"/>
    <w:rsid w:val="001D3BB4"/>
    <w:rsid w:val="001D6265"/>
    <w:rsid w:val="001D680E"/>
    <w:rsid w:val="001D7CAD"/>
    <w:rsid w:val="001E234E"/>
    <w:rsid w:val="001E5434"/>
    <w:rsid w:val="001F09BD"/>
    <w:rsid w:val="001F1962"/>
    <w:rsid w:val="001F2245"/>
    <w:rsid w:val="001F38A4"/>
    <w:rsid w:val="001F4F2C"/>
    <w:rsid w:val="001F5A18"/>
    <w:rsid w:val="00202AF9"/>
    <w:rsid w:val="00202DFF"/>
    <w:rsid w:val="00203C02"/>
    <w:rsid w:val="00204AC2"/>
    <w:rsid w:val="0020650C"/>
    <w:rsid w:val="00207552"/>
    <w:rsid w:val="00220B10"/>
    <w:rsid w:val="00220B38"/>
    <w:rsid w:val="00221F7B"/>
    <w:rsid w:val="00223EB8"/>
    <w:rsid w:val="002244C2"/>
    <w:rsid w:val="00224636"/>
    <w:rsid w:val="002257C2"/>
    <w:rsid w:val="00227A57"/>
    <w:rsid w:val="00227D95"/>
    <w:rsid w:val="00234D25"/>
    <w:rsid w:val="002411CA"/>
    <w:rsid w:val="00241E0F"/>
    <w:rsid w:val="0024411F"/>
    <w:rsid w:val="002443F4"/>
    <w:rsid w:val="00245F83"/>
    <w:rsid w:val="00246691"/>
    <w:rsid w:val="002468D5"/>
    <w:rsid w:val="00251F2C"/>
    <w:rsid w:val="002536D5"/>
    <w:rsid w:val="002538CE"/>
    <w:rsid w:val="00253DF5"/>
    <w:rsid w:val="00262C94"/>
    <w:rsid w:val="00263C6F"/>
    <w:rsid w:val="00280990"/>
    <w:rsid w:val="00287C8B"/>
    <w:rsid w:val="002938F1"/>
    <w:rsid w:val="00297598"/>
    <w:rsid w:val="002A1022"/>
    <w:rsid w:val="002A10C3"/>
    <w:rsid w:val="002A3F34"/>
    <w:rsid w:val="002A469D"/>
    <w:rsid w:val="002A494D"/>
    <w:rsid w:val="002A53BA"/>
    <w:rsid w:val="002A5A41"/>
    <w:rsid w:val="002A6CD3"/>
    <w:rsid w:val="002B177B"/>
    <w:rsid w:val="002B2ED6"/>
    <w:rsid w:val="002B40AD"/>
    <w:rsid w:val="002B4D82"/>
    <w:rsid w:val="002B4F07"/>
    <w:rsid w:val="002C094F"/>
    <w:rsid w:val="002C0D00"/>
    <w:rsid w:val="002C1B4D"/>
    <w:rsid w:val="002C36A5"/>
    <w:rsid w:val="002C3FE0"/>
    <w:rsid w:val="002C4F63"/>
    <w:rsid w:val="002D2BA4"/>
    <w:rsid w:val="002D616A"/>
    <w:rsid w:val="002E62E3"/>
    <w:rsid w:val="002E671C"/>
    <w:rsid w:val="002F16C8"/>
    <w:rsid w:val="002F3271"/>
    <w:rsid w:val="002F3B0D"/>
    <w:rsid w:val="002F3F8C"/>
    <w:rsid w:val="002F41DE"/>
    <w:rsid w:val="002F6D68"/>
    <w:rsid w:val="0030059B"/>
    <w:rsid w:val="00300623"/>
    <w:rsid w:val="00302073"/>
    <w:rsid w:val="00304740"/>
    <w:rsid w:val="00311A2B"/>
    <w:rsid w:val="00312C78"/>
    <w:rsid w:val="00316F96"/>
    <w:rsid w:val="00317CE2"/>
    <w:rsid w:val="00321528"/>
    <w:rsid w:val="00321B11"/>
    <w:rsid w:val="003223BD"/>
    <w:rsid w:val="00323090"/>
    <w:rsid w:val="00325EE5"/>
    <w:rsid w:val="00334A05"/>
    <w:rsid w:val="0033541E"/>
    <w:rsid w:val="00340F68"/>
    <w:rsid w:val="003417CA"/>
    <w:rsid w:val="00343315"/>
    <w:rsid w:val="0034432A"/>
    <w:rsid w:val="00345E83"/>
    <w:rsid w:val="0034664A"/>
    <w:rsid w:val="00346E26"/>
    <w:rsid w:val="00350C64"/>
    <w:rsid w:val="00350E0A"/>
    <w:rsid w:val="00352634"/>
    <w:rsid w:val="0035335C"/>
    <w:rsid w:val="0035543D"/>
    <w:rsid w:val="003570FD"/>
    <w:rsid w:val="0035770F"/>
    <w:rsid w:val="00361B02"/>
    <w:rsid w:val="0036284D"/>
    <w:rsid w:val="00364114"/>
    <w:rsid w:val="00365F0A"/>
    <w:rsid w:val="0037088F"/>
    <w:rsid w:val="00371FC0"/>
    <w:rsid w:val="0037425C"/>
    <w:rsid w:val="00374828"/>
    <w:rsid w:val="00375102"/>
    <w:rsid w:val="00380C29"/>
    <w:rsid w:val="003819A9"/>
    <w:rsid w:val="00381EA0"/>
    <w:rsid w:val="003869AB"/>
    <w:rsid w:val="00387BA1"/>
    <w:rsid w:val="00387C72"/>
    <w:rsid w:val="00390043"/>
    <w:rsid w:val="003940E1"/>
    <w:rsid w:val="0039564C"/>
    <w:rsid w:val="00395D93"/>
    <w:rsid w:val="003968A9"/>
    <w:rsid w:val="003A26BB"/>
    <w:rsid w:val="003A6CE0"/>
    <w:rsid w:val="003B0B0F"/>
    <w:rsid w:val="003B190D"/>
    <w:rsid w:val="003B2294"/>
    <w:rsid w:val="003B3EE8"/>
    <w:rsid w:val="003B4DF0"/>
    <w:rsid w:val="003C3B62"/>
    <w:rsid w:val="003C491E"/>
    <w:rsid w:val="003C62A3"/>
    <w:rsid w:val="003C70B8"/>
    <w:rsid w:val="003D2A0D"/>
    <w:rsid w:val="003D42E0"/>
    <w:rsid w:val="003D4FEC"/>
    <w:rsid w:val="003E0574"/>
    <w:rsid w:val="003E2DC1"/>
    <w:rsid w:val="003E33B0"/>
    <w:rsid w:val="003E68D2"/>
    <w:rsid w:val="003F293E"/>
    <w:rsid w:val="003F2D29"/>
    <w:rsid w:val="003F3624"/>
    <w:rsid w:val="003F3DAD"/>
    <w:rsid w:val="003F7CC7"/>
    <w:rsid w:val="0040199C"/>
    <w:rsid w:val="00401F36"/>
    <w:rsid w:val="00404C02"/>
    <w:rsid w:val="004066E4"/>
    <w:rsid w:val="00406800"/>
    <w:rsid w:val="004107C8"/>
    <w:rsid w:val="004116E4"/>
    <w:rsid w:val="00424148"/>
    <w:rsid w:val="0042421E"/>
    <w:rsid w:val="0042686D"/>
    <w:rsid w:val="00427184"/>
    <w:rsid w:val="0043079E"/>
    <w:rsid w:val="004316D5"/>
    <w:rsid w:val="0043768A"/>
    <w:rsid w:val="00441657"/>
    <w:rsid w:val="00443168"/>
    <w:rsid w:val="004435BB"/>
    <w:rsid w:val="0044522D"/>
    <w:rsid w:val="00446404"/>
    <w:rsid w:val="00457C03"/>
    <w:rsid w:val="004607F7"/>
    <w:rsid w:val="00463CA8"/>
    <w:rsid w:val="0046687A"/>
    <w:rsid w:val="004679C7"/>
    <w:rsid w:val="004722C7"/>
    <w:rsid w:val="004742C9"/>
    <w:rsid w:val="00474E51"/>
    <w:rsid w:val="004753C5"/>
    <w:rsid w:val="00476024"/>
    <w:rsid w:val="0047728A"/>
    <w:rsid w:val="00482A65"/>
    <w:rsid w:val="0049516C"/>
    <w:rsid w:val="0049677E"/>
    <w:rsid w:val="0049687B"/>
    <w:rsid w:val="004A12AE"/>
    <w:rsid w:val="004A406A"/>
    <w:rsid w:val="004A708A"/>
    <w:rsid w:val="004A78B9"/>
    <w:rsid w:val="004B230E"/>
    <w:rsid w:val="004B3258"/>
    <w:rsid w:val="004C1F24"/>
    <w:rsid w:val="004C3451"/>
    <w:rsid w:val="004D4DDE"/>
    <w:rsid w:val="004E68B1"/>
    <w:rsid w:val="004F5C92"/>
    <w:rsid w:val="004F5E3C"/>
    <w:rsid w:val="00511475"/>
    <w:rsid w:val="005114B1"/>
    <w:rsid w:val="00513F81"/>
    <w:rsid w:val="0051420E"/>
    <w:rsid w:val="00515120"/>
    <w:rsid w:val="005204C5"/>
    <w:rsid w:val="00520FA2"/>
    <w:rsid w:val="005214ED"/>
    <w:rsid w:val="00523337"/>
    <w:rsid w:val="00527168"/>
    <w:rsid w:val="00527575"/>
    <w:rsid w:val="00531D32"/>
    <w:rsid w:val="00537FC3"/>
    <w:rsid w:val="0054116F"/>
    <w:rsid w:val="0054581E"/>
    <w:rsid w:val="00550B61"/>
    <w:rsid w:val="00551F4A"/>
    <w:rsid w:val="00553A91"/>
    <w:rsid w:val="00554B35"/>
    <w:rsid w:val="00554E81"/>
    <w:rsid w:val="00555715"/>
    <w:rsid w:val="00560D85"/>
    <w:rsid w:val="00564403"/>
    <w:rsid w:val="00583F96"/>
    <w:rsid w:val="005860F6"/>
    <w:rsid w:val="00586173"/>
    <w:rsid w:val="00586647"/>
    <w:rsid w:val="00587002"/>
    <w:rsid w:val="00587E23"/>
    <w:rsid w:val="0059149C"/>
    <w:rsid w:val="00591CD4"/>
    <w:rsid w:val="00593A8A"/>
    <w:rsid w:val="00596222"/>
    <w:rsid w:val="005A0B68"/>
    <w:rsid w:val="005A10AD"/>
    <w:rsid w:val="005A74DA"/>
    <w:rsid w:val="005B035C"/>
    <w:rsid w:val="005C0853"/>
    <w:rsid w:val="005D45B0"/>
    <w:rsid w:val="005D6528"/>
    <w:rsid w:val="005E1E23"/>
    <w:rsid w:val="005E2266"/>
    <w:rsid w:val="005E455D"/>
    <w:rsid w:val="005F50C0"/>
    <w:rsid w:val="005F67E4"/>
    <w:rsid w:val="00602C91"/>
    <w:rsid w:val="00605A41"/>
    <w:rsid w:val="00605CF4"/>
    <w:rsid w:val="00614B75"/>
    <w:rsid w:val="00632ECD"/>
    <w:rsid w:val="00633D6F"/>
    <w:rsid w:val="00635037"/>
    <w:rsid w:val="00636570"/>
    <w:rsid w:val="00637418"/>
    <w:rsid w:val="00645A7A"/>
    <w:rsid w:val="006519BB"/>
    <w:rsid w:val="00651AC7"/>
    <w:rsid w:val="00651C9E"/>
    <w:rsid w:val="00652F55"/>
    <w:rsid w:val="006534CC"/>
    <w:rsid w:val="006536B2"/>
    <w:rsid w:val="00655139"/>
    <w:rsid w:val="006607B3"/>
    <w:rsid w:val="00661841"/>
    <w:rsid w:val="00666581"/>
    <w:rsid w:val="0067288C"/>
    <w:rsid w:val="006739AF"/>
    <w:rsid w:val="00674623"/>
    <w:rsid w:val="00677E18"/>
    <w:rsid w:val="00682CE3"/>
    <w:rsid w:val="00685220"/>
    <w:rsid w:val="006853B8"/>
    <w:rsid w:val="00687CE2"/>
    <w:rsid w:val="00697A21"/>
    <w:rsid w:val="00697E9F"/>
    <w:rsid w:val="006A7220"/>
    <w:rsid w:val="006B084D"/>
    <w:rsid w:val="006B084F"/>
    <w:rsid w:val="006B128C"/>
    <w:rsid w:val="006B1B95"/>
    <w:rsid w:val="006B72EB"/>
    <w:rsid w:val="006C247D"/>
    <w:rsid w:val="006C2CDB"/>
    <w:rsid w:val="006C4429"/>
    <w:rsid w:val="006C47D5"/>
    <w:rsid w:val="006C75D3"/>
    <w:rsid w:val="006D2F65"/>
    <w:rsid w:val="006D3C40"/>
    <w:rsid w:val="006D5E38"/>
    <w:rsid w:val="006D6CE8"/>
    <w:rsid w:val="006E2D30"/>
    <w:rsid w:val="006E3DFE"/>
    <w:rsid w:val="006F3399"/>
    <w:rsid w:val="006F459F"/>
    <w:rsid w:val="00702B55"/>
    <w:rsid w:val="00702B93"/>
    <w:rsid w:val="00704DB0"/>
    <w:rsid w:val="00704E74"/>
    <w:rsid w:val="0070724B"/>
    <w:rsid w:val="007077A2"/>
    <w:rsid w:val="00707A73"/>
    <w:rsid w:val="007143D4"/>
    <w:rsid w:val="007155ED"/>
    <w:rsid w:val="007169C5"/>
    <w:rsid w:val="00720B8F"/>
    <w:rsid w:val="0072194C"/>
    <w:rsid w:val="00722F8B"/>
    <w:rsid w:val="007255B4"/>
    <w:rsid w:val="00726105"/>
    <w:rsid w:val="00731327"/>
    <w:rsid w:val="007321D0"/>
    <w:rsid w:val="00732CD3"/>
    <w:rsid w:val="00736DEE"/>
    <w:rsid w:val="0073768A"/>
    <w:rsid w:val="00744C4D"/>
    <w:rsid w:val="00746364"/>
    <w:rsid w:val="00750BC3"/>
    <w:rsid w:val="00753323"/>
    <w:rsid w:val="007562A4"/>
    <w:rsid w:val="00756A18"/>
    <w:rsid w:val="00761143"/>
    <w:rsid w:val="0076246F"/>
    <w:rsid w:val="0076389E"/>
    <w:rsid w:val="00764F23"/>
    <w:rsid w:val="00767907"/>
    <w:rsid w:val="0077423B"/>
    <w:rsid w:val="0077598D"/>
    <w:rsid w:val="00777878"/>
    <w:rsid w:val="00777E5D"/>
    <w:rsid w:val="007823D4"/>
    <w:rsid w:val="00782867"/>
    <w:rsid w:val="00784DAD"/>
    <w:rsid w:val="007850CF"/>
    <w:rsid w:val="00786085"/>
    <w:rsid w:val="00787F20"/>
    <w:rsid w:val="00792E04"/>
    <w:rsid w:val="007956A5"/>
    <w:rsid w:val="00796AD9"/>
    <w:rsid w:val="007A63E3"/>
    <w:rsid w:val="007A795A"/>
    <w:rsid w:val="007B48D1"/>
    <w:rsid w:val="007B4D87"/>
    <w:rsid w:val="007B52F2"/>
    <w:rsid w:val="007B5ACB"/>
    <w:rsid w:val="007C1C0B"/>
    <w:rsid w:val="007C2001"/>
    <w:rsid w:val="007C39D1"/>
    <w:rsid w:val="007D4A2D"/>
    <w:rsid w:val="007D74A6"/>
    <w:rsid w:val="007E2F3E"/>
    <w:rsid w:val="007E5DAF"/>
    <w:rsid w:val="007E6B38"/>
    <w:rsid w:val="007F0A07"/>
    <w:rsid w:val="007F0CB8"/>
    <w:rsid w:val="007F0D31"/>
    <w:rsid w:val="007F0E8B"/>
    <w:rsid w:val="007F1F51"/>
    <w:rsid w:val="007F5411"/>
    <w:rsid w:val="007F76CC"/>
    <w:rsid w:val="0080340D"/>
    <w:rsid w:val="008050AE"/>
    <w:rsid w:val="00807226"/>
    <w:rsid w:val="00810590"/>
    <w:rsid w:val="00813557"/>
    <w:rsid w:val="0081385B"/>
    <w:rsid w:val="008153DC"/>
    <w:rsid w:val="008210F0"/>
    <w:rsid w:val="0082116B"/>
    <w:rsid w:val="00825624"/>
    <w:rsid w:val="00827519"/>
    <w:rsid w:val="00837C06"/>
    <w:rsid w:val="008420D0"/>
    <w:rsid w:val="00845AE5"/>
    <w:rsid w:val="00846D5D"/>
    <w:rsid w:val="00847AA7"/>
    <w:rsid w:val="00854016"/>
    <w:rsid w:val="008548B0"/>
    <w:rsid w:val="0085679F"/>
    <w:rsid w:val="00860C2E"/>
    <w:rsid w:val="00861644"/>
    <w:rsid w:val="0086183E"/>
    <w:rsid w:val="00865E0F"/>
    <w:rsid w:val="008710C1"/>
    <w:rsid w:val="0087191C"/>
    <w:rsid w:val="00872E3A"/>
    <w:rsid w:val="008746E9"/>
    <w:rsid w:val="0088120C"/>
    <w:rsid w:val="008874A5"/>
    <w:rsid w:val="008914EF"/>
    <w:rsid w:val="008A1C41"/>
    <w:rsid w:val="008A31EB"/>
    <w:rsid w:val="008A6B15"/>
    <w:rsid w:val="008A742E"/>
    <w:rsid w:val="008B414A"/>
    <w:rsid w:val="008B56C6"/>
    <w:rsid w:val="008C5184"/>
    <w:rsid w:val="008D016F"/>
    <w:rsid w:val="008D059E"/>
    <w:rsid w:val="008D0B1F"/>
    <w:rsid w:val="008D0FEB"/>
    <w:rsid w:val="008D4EDD"/>
    <w:rsid w:val="008D6265"/>
    <w:rsid w:val="008E5B06"/>
    <w:rsid w:val="008E6DC4"/>
    <w:rsid w:val="008F11A6"/>
    <w:rsid w:val="008F33F0"/>
    <w:rsid w:val="008F4582"/>
    <w:rsid w:val="008F6FBC"/>
    <w:rsid w:val="008F7B6D"/>
    <w:rsid w:val="009020BF"/>
    <w:rsid w:val="009105B9"/>
    <w:rsid w:val="0091448C"/>
    <w:rsid w:val="00917FC6"/>
    <w:rsid w:val="009219B8"/>
    <w:rsid w:val="00924777"/>
    <w:rsid w:val="00924A2D"/>
    <w:rsid w:val="009414B0"/>
    <w:rsid w:val="00945169"/>
    <w:rsid w:val="009555C8"/>
    <w:rsid w:val="00956F76"/>
    <w:rsid w:val="00957388"/>
    <w:rsid w:val="00962DC0"/>
    <w:rsid w:val="00965189"/>
    <w:rsid w:val="00972217"/>
    <w:rsid w:val="0097323C"/>
    <w:rsid w:val="009732D9"/>
    <w:rsid w:val="00975CB7"/>
    <w:rsid w:val="00977037"/>
    <w:rsid w:val="009845FC"/>
    <w:rsid w:val="009956F9"/>
    <w:rsid w:val="00996C16"/>
    <w:rsid w:val="009979F2"/>
    <w:rsid w:val="009A033B"/>
    <w:rsid w:val="009A30A8"/>
    <w:rsid w:val="009A48CD"/>
    <w:rsid w:val="009B0E67"/>
    <w:rsid w:val="009B2A3A"/>
    <w:rsid w:val="009B7FB8"/>
    <w:rsid w:val="009C0C93"/>
    <w:rsid w:val="009C11ED"/>
    <w:rsid w:val="009C12BC"/>
    <w:rsid w:val="009C1755"/>
    <w:rsid w:val="009C484B"/>
    <w:rsid w:val="009D1246"/>
    <w:rsid w:val="009D541E"/>
    <w:rsid w:val="009E00CE"/>
    <w:rsid w:val="009E0EB7"/>
    <w:rsid w:val="009E3949"/>
    <w:rsid w:val="009E3DF1"/>
    <w:rsid w:val="009E74D6"/>
    <w:rsid w:val="009F480A"/>
    <w:rsid w:val="009F4989"/>
    <w:rsid w:val="00A01742"/>
    <w:rsid w:val="00A04888"/>
    <w:rsid w:val="00A07B3B"/>
    <w:rsid w:val="00A114F7"/>
    <w:rsid w:val="00A1447E"/>
    <w:rsid w:val="00A1610D"/>
    <w:rsid w:val="00A164D8"/>
    <w:rsid w:val="00A179B4"/>
    <w:rsid w:val="00A24525"/>
    <w:rsid w:val="00A31F65"/>
    <w:rsid w:val="00A32480"/>
    <w:rsid w:val="00A33BB0"/>
    <w:rsid w:val="00A364AF"/>
    <w:rsid w:val="00A37219"/>
    <w:rsid w:val="00A37963"/>
    <w:rsid w:val="00A44471"/>
    <w:rsid w:val="00A461DA"/>
    <w:rsid w:val="00A47558"/>
    <w:rsid w:val="00A5320D"/>
    <w:rsid w:val="00A5566E"/>
    <w:rsid w:val="00A5629A"/>
    <w:rsid w:val="00A56B1B"/>
    <w:rsid w:val="00A602F2"/>
    <w:rsid w:val="00A60694"/>
    <w:rsid w:val="00A645CE"/>
    <w:rsid w:val="00A65005"/>
    <w:rsid w:val="00A6508A"/>
    <w:rsid w:val="00A651A1"/>
    <w:rsid w:val="00A70019"/>
    <w:rsid w:val="00A70C5F"/>
    <w:rsid w:val="00A75E62"/>
    <w:rsid w:val="00A76E3B"/>
    <w:rsid w:val="00A77934"/>
    <w:rsid w:val="00A82C41"/>
    <w:rsid w:val="00A914F6"/>
    <w:rsid w:val="00A938AE"/>
    <w:rsid w:val="00A94AC4"/>
    <w:rsid w:val="00A955D0"/>
    <w:rsid w:val="00AA13A0"/>
    <w:rsid w:val="00AA2E82"/>
    <w:rsid w:val="00AB0642"/>
    <w:rsid w:val="00AB1020"/>
    <w:rsid w:val="00AB3289"/>
    <w:rsid w:val="00AB3FB2"/>
    <w:rsid w:val="00AB5685"/>
    <w:rsid w:val="00AB5919"/>
    <w:rsid w:val="00AC1EC6"/>
    <w:rsid w:val="00AD03CB"/>
    <w:rsid w:val="00AD0CBA"/>
    <w:rsid w:val="00AD1D35"/>
    <w:rsid w:val="00AD3387"/>
    <w:rsid w:val="00AD3E02"/>
    <w:rsid w:val="00AD45F6"/>
    <w:rsid w:val="00AD48F6"/>
    <w:rsid w:val="00AE30CD"/>
    <w:rsid w:val="00AE565C"/>
    <w:rsid w:val="00AE5B61"/>
    <w:rsid w:val="00AE7EAA"/>
    <w:rsid w:val="00AF270D"/>
    <w:rsid w:val="00AF36BF"/>
    <w:rsid w:val="00AF4323"/>
    <w:rsid w:val="00AF5901"/>
    <w:rsid w:val="00B03807"/>
    <w:rsid w:val="00B03DEB"/>
    <w:rsid w:val="00B03FCD"/>
    <w:rsid w:val="00B07047"/>
    <w:rsid w:val="00B12548"/>
    <w:rsid w:val="00B143BB"/>
    <w:rsid w:val="00B14F2A"/>
    <w:rsid w:val="00B15272"/>
    <w:rsid w:val="00B21F83"/>
    <w:rsid w:val="00B22B67"/>
    <w:rsid w:val="00B245D8"/>
    <w:rsid w:val="00B254B0"/>
    <w:rsid w:val="00B25651"/>
    <w:rsid w:val="00B2652D"/>
    <w:rsid w:val="00B3042B"/>
    <w:rsid w:val="00B30C5D"/>
    <w:rsid w:val="00B31963"/>
    <w:rsid w:val="00B325AA"/>
    <w:rsid w:val="00B3329D"/>
    <w:rsid w:val="00B3556A"/>
    <w:rsid w:val="00B3559B"/>
    <w:rsid w:val="00B417C7"/>
    <w:rsid w:val="00B43398"/>
    <w:rsid w:val="00B46654"/>
    <w:rsid w:val="00B471AE"/>
    <w:rsid w:val="00B47A95"/>
    <w:rsid w:val="00B52BD1"/>
    <w:rsid w:val="00B52D90"/>
    <w:rsid w:val="00B54E07"/>
    <w:rsid w:val="00B63F23"/>
    <w:rsid w:val="00B647A1"/>
    <w:rsid w:val="00B679E3"/>
    <w:rsid w:val="00B70545"/>
    <w:rsid w:val="00B70C30"/>
    <w:rsid w:val="00B72CC9"/>
    <w:rsid w:val="00B74F45"/>
    <w:rsid w:val="00B75A92"/>
    <w:rsid w:val="00B81A2D"/>
    <w:rsid w:val="00B84A76"/>
    <w:rsid w:val="00B84AD0"/>
    <w:rsid w:val="00B86DB4"/>
    <w:rsid w:val="00B87414"/>
    <w:rsid w:val="00B87942"/>
    <w:rsid w:val="00B92986"/>
    <w:rsid w:val="00BA0CDD"/>
    <w:rsid w:val="00BA0D56"/>
    <w:rsid w:val="00BA0E92"/>
    <w:rsid w:val="00BA1004"/>
    <w:rsid w:val="00BA682C"/>
    <w:rsid w:val="00BA7093"/>
    <w:rsid w:val="00BB681A"/>
    <w:rsid w:val="00BB79AF"/>
    <w:rsid w:val="00BD160F"/>
    <w:rsid w:val="00BD2E08"/>
    <w:rsid w:val="00BD3AE0"/>
    <w:rsid w:val="00BD73CE"/>
    <w:rsid w:val="00BE1709"/>
    <w:rsid w:val="00BE2A04"/>
    <w:rsid w:val="00BE4FF6"/>
    <w:rsid w:val="00BE577F"/>
    <w:rsid w:val="00BF1432"/>
    <w:rsid w:val="00BF4867"/>
    <w:rsid w:val="00C01996"/>
    <w:rsid w:val="00C02677"/>
    <w:rsid w:val="00C072C6"/>
    <w:rsid w:val="00C12016"/>
    <w:rsid w:val="00C12D59"/>
    <w:rsid w:val="00C131E9"/>
    <w:rsid w:val="00C14413"/>
    <w:rsid w:val="00C15FC4"/>
    <w:rsid w:val="00C22583"/>
    <w:rsid w:val="00C30373"/>
    <w:rsid w:val="00C342BC"/>
    <w:rsid w:val="00C44DAD"/>
    <w:rsid w:val="00C45098"/>
    <w:rsid w:val="00C468BB"/>
    <w:rsid w:val="00C51B95"/>
    <w:rsid w:val="00C57A2B"/>
    <w:rsid w:val="00C62312"/>
    <w:rsid w:val="00C6273B"/>
    <w:rsid w:val="00C6319A"/>
    <w:rsid w:val="00C7524E"/>
    <w:rsid w:val="00C75291"/>
    <w:rsid w:val="00C75B47"/>
    <w:rsid w:val="00C7701B"/>
    <w:rsid w:val="00C903A3"/>
    <w:rsid w:val="00CA14B5"/>
    <w:rsid w:val="00CA3AF9"/>
    <w:rsid w:val="00CA79E9"/>
    <w:rsid w:val="00CB1639"/>
    <w:rsid w:val="00CB6C94"/>
    <w:rsid w:val="00CC1A2B"/>
    <w:rsid w:val="00CC1D4E"/>
    <w:rsid w:val="00CC7296"/>
    <w:rsid w:val="00CC7CD0"/>
    <w:rsid w:val="00CD06C1"/>
    <w:rsid w:val="00CD17ED"/>
    <w:rsid w:val="00CD347D"/>
    <w:rsid w:val="00CD5D37"/>
    <w:rsid w:val="00CD7947"/>
    <w:rsid w:val="00CE0A7A"/>
    <w:rsid w:val="00CE15CC"/>
    <w:rsid w:val="00CF1F0A"/>
    <w:rsid w:val="00CF2338"/>
    <w:rsid w:val="00D0068D"/>
    <w:rsid w:val="00D015D2"/>
    <w:rsid w:val="00D0302E"/>
    <w:rsid w:val="00D13F87"/>
    <w:rsid w:val="00D14236"/>
    <w:rsid w:val="00D15F81"/>
    <w:rsid w:val="00D23687"/>
    <w:rsid w:val="00D26517"/>
    <w:rsid w:val="00D30A26"/>
    <w:rsid w:val="00D30A54"/>
    <w:rsid w:val="00D34504"/>
    <w:rsid w:val="00D3456F"/>
    <w:rsid w:val="00D351A5"/>
    <w:rsid w:val="00D41224"/>
    <w:rsid w:val="00D4372F"/>
    <w:rsid w:val="00D44B6F"/>
    <w:rsid w:val="00D547CF"/>
    <w:rsid w:val="00D567BD"/>
    <w:rsid w:val="00D62FA6"/>
    <w:rsid w:val="00D65997"/>
    <w:rsid w:val="00D67EAB"/>
    <w:rsid w:val="00D708B1"/>
    <w:rsid w:val="00D7430D"/>
    <w:rsid w:val="00D7586D"/>
    <w:rsid w:val="00D80A5E"/>
    <w:rsid w:val="00D81EE7"/>
    <w:rsid w:val="00D82921"/>
    <w:rsid w:val="00D83BF1"/>
    <w:rsid w:val="00D84B2A"/>
    <w:rsid w:val="00D85DAA"/>
    <w:rsid w:val="00D90A6C"/>
    <w:rsid w:val="00D940B8"/>
    <w:rsid w:val="00D97A97"/>
    <w:rsid w:val="00DA0E9B"/>
    <w:rsid w:val="00DA486D"/>
    <w:rsid w:val="00DA6D15"/>
    <w:rsid w:val="00DA6D52"/>
    <w:rsid w:val="00DB4B04"/>
    <w:rsid w:val="00DC3C02"/>
    <w:rsid w:val="00DC5892"/>
    <w:rsid w:val="00DC630A"/>
    <w:rsid w:val="00DD024F"/>
    <w:rsid w:val="00DD5B85"/>
    <w:rsid w:val="00DE18BA"/>
    <w:rsid w:val="00DE4187"/>
    <w:rsid w:val="00DE5789"/>
    <w:rsid w:val="00DF7962"/>
    <w:rsid w:val="00E0049A"/>
    <w:rsid w:val="00E06BBC"/>
    <w:rsid w:val="00E108E7"/>
    <w:rsid w:val="00E10CB3"/>
    <w:rsid w:val="00E12F85"/>
    <w:rsid w:val="00E1403F"/>
    <w:rsid w:val="00E263EE"/>
    <w:rsid w:val="00E27143"/>
    <w:rsid w:val="00E30606"/>
    <w:rsid w:val="00E377CD"/>
    <w:rsid w:val="00E53B2F"/>
    <w:rsid w:val="00E54997"/>
    <w:rsid w:val="00E63B8F"/>
    <w:rsid w:val="00E63D07"/>
    <w:rsid w:val="00E730F1"/>
    <w:rsid w:val="00E750EC"/>
    <w:rsid w:val="00E7529B"/>
    <w:rsid w:val="00E80C68"/>
    <w:rsid w:val="00E83F1B"/>
    <w:rsid w:val="00E859C3"/>
    <w:rsid w:val="00E86D80"/>
    <w:rsid w:val="00E879A9"/>
    <w:rsid w:val="00E97D15"/>
    <w:rsid w:val="00EA5D54"/>
    <w:rsid w:val="00EA6E34"/>
    <w:rsid w:val="00EB3020"/>
    <w:rsid w:val="00EB565A"/>
    <w:rsid w:val="00EB5D4C"/>
    <w:rsid w:val="00EB6EB4"/>
    <w:rsid w:val="00EC0FAC"/>
    <w:rsid w:val="00EC1540"/>
    <w:rsid w:val="00EC1592"/>
    <w:rsid w:val="00EC6537"/>
    <w:rsid w:val="00ED1233"/>
    <w:rsid w:val="00ED177A"/>
    <w:rsid w:val="00ED509D"/>
    <w:rsid w:val="00ED67BF"/>
    <w:rsid w:val="00EE2B22"/>
    <w:rsid w:val="00EE63BC"/>
    <w:rsid w:val="00EF1B8A"/>
    <w:rsid w:val="00EF4669"/>
    <w:rsid w:val="00EF4AFA"/>
    <w:rsid w:val="00EF5253"/>
    <w:rsid w:val="00EF5DF0"/>
    <w:rsid w:val="00EF6ACE"/>
    <w:rsid w:val="00F025A4"/>
    <w:rsid w:val="00F058BF"/>
    <w:rsid w:val="00F114BA"/>
    <w:rsid w:val="00F13058"/>
    <w:rsid w:val="00F13D4D"/>
    <w:rsid w:val="00F14EDC"/>
    <w:rsid w:val="00F14FE6"/>
    <w:rsid w:val="00F173A1"/>
    <w:rsid w:val="00F23930"/>
    <w:rsid w:val="00F3232D"/>
    <w:rsid w:val="00F3256C"/>
    <w:rsid w:val="00F3450D"/>
    <w:rsid w:val="00F46EC8"/>
    <w:rsid w:val="00F47793"/>
    <w:rsid w:val="00F47D59"/>
    <w:rsid w:val="00F50170"/>
    <w:rsid w:val="00F5062A"/>
    <w:rsid w:val="00F56E31"/>
    <w:rsid w:val="00F61B07"/>
    <w:rsid w:val="00F635A2"/>
    <w:rsid w:val="00F649F8"/>
    <w:rsid w:val="00F64B1D"/>
    <w:rsid w:val="00F65F19"/>
    <w:rsid w:val="00F80840"/>
    <w:rsid w:val="00F81991"/>
    <w:rsid w:val="00F8219F"/>
    <w:rsid w:val="00F8462C"/>
    <w:rsid w:val="00F86416"/>
    <w:rsid w:val="00F92E70"/>
    <w:rsid w:val="00F93059"/>
    <w:rsid w:val="00F94DC7"/>
    <w:rsid w:val="00F96640"/>
    <w:rsid w:val="00FA0D9F"/>
    <w:rsid w:val="00FA0DF3"/>
    <w:rsid w:val="00FA64DA"/>
    <w:rsid w:val="00FB0C33"/>
    <w:rsid w:val="00FB4564"/>
    <w:rsid w:val="00FB7586"/>
    <w:rsid w:val="00FC100A"/>
    <w:rsid w:val="00FC23E2"/>
    <w:rsid w:val="00FC2907"/>
    <w:rsid w:val="00FC667C"/>
    <w:rsid w:val="00FC6D4E"/>
    <w:rsid w:val="00FD0642"/>
    <w:rsid w:val="00FD3693"/>
    <w:rsid w:val="00FD36A3"/>
    <w:rsid w:val="00FD744C"/>
    <w:rsid w:val="00FF0151"/>
    <w:rsid w:val="00FF19B5"/>
    <w:rsid w:val="00FF1F0A"/>
    <w:rsid w:val="00FF2DF1"/>
    <w:rsid w:val="00FF4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F08A"/>
  <w15:chartTrackingRefBased/>
  <w15:docId w15:val="{4A3AB122-EDD3-5941-9FD7-2683212BA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5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5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5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5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5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5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590"/>
    <w:rPr>
      <w:rFonts w:eastAsiaTheme="majorEastAsia" w:cstheme="majorBidi"/>
      <w:color w:val="272727" w:themeColor="text1" w:themeTint="D8"/>
    </w:rPr>
  </w:style>
  <w:style w:type="paragraph" w:styleId="Title">
    <w:name w:val="Title"/>
    <w:basedOn w:val="Normal"/>
    <w:next w:val="Normal"/>
    <w:link w:val="TitleChar"/>
    <w:uiPriority w:val="10"/>
    <w:qFormat/>
    <w:rsid w:val="00810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590"/>
    <w:pPr>
      <w:spacing w:before="160"/>
      <w:jc w:val="center"/>
    </w:pPr>
    <w:rPr>
      <w:i/>
      <w:iCs/>
      <w:color w:val="404040" w:themeColor="text1" w:themeTint="BF"/>
    </w:rPr>
  </w:style>
  <w:style w:type="character" w:customStyle="1" w:styleId="QuoteChar">
    <w:name w:val="Quote Char"/>
    <w:basedOn w:val="DefaultParagraphFont"/>
    <w:link w:val="Quote"/>
    <w:uiPriority w:val="29"/>
    <w:rsid w:val="00810590"/>
    <w:rPr>
      <w:i/>
      <w:iCs/>
      <w:color w:val="404040" w:themeColor="text1" w:themeTint="BF"/>
    </w:rPr>
  </w:style>
  <w:style w:type="paragraph" w:styleId="ListParagraph">
    <w:name w:val="List Paragraph"/>
    <w:basedOn w:val="Normal"/>
    <w:uiPriority w:val="34"/>
    <w:qFormat/>
    <w:rsid w:val="00810590"/>
    <w:pPr>
      <w:ind w:left="720"/>
      <w:contextualSpacing/>
    </w:pPr>
  </w:style>
  <w:style w:type="character" w:styleId="IntenseEmphasis">
    <w:name w:val="Intense Emphasis"/>
    <w:basedOn w:val="DefaultParagraphFont"/>
    <w:uiPriority w:val="21"/>
    <w:qFormat/>
    <w:rsid w:val="00810590"/>
    <w:rPr>
      <w:i/>
      <w:iCs/>
      <w:color w:val="0F4761" w:themeColor="accent1" w:themeShade="BF"/>
    </w:rPr>
  </w:style>
  <w:style w:type="paragraph" w:styleId="IntenseQuote">
    <w:name w:val="Intense Quote"/>
    <w:basedOn w:val="Normal"/>
    <w:next w:val="Normal"/>
    <w:link w:val="IntenseQuoteChar"/>
    <w:uiPriority w:val="30"/>
    <w:qFormat/>
    <w:rsid w:val="00810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590"/>
    <w:rPr>
      <w:i/>
      <w:iCs/>
      <w:color w:val="0F4761" w:themeColor="accent1" w:themeShade="BF"/>
    </w:rPr>
  </w:style>
  <w:style w:type="character" w:styleId="IntenseReference">
    <w:name w:val="Intense Reference"/>
    <w:basedOn w:val="DefaultParagraphFont"/>
    <w:uiPriority w:val="32"/>
    <w:qFormat/>
    <w:rsid w:val="00810590"/>
    <w:rPr>
      <w:b/>
      <w:bCs/>
      <w:smallCaps/>
      <w:color w:val="0F4761" w:themeColor="accent1" w:themeShade="BF"/>
      <w:spacing w:val="5"/>
    </w:rPr>
  </w:style>
  <w:style w:type="paragraph" w:styleId="Header">
    <w:name w:val="header"/>
    <w:basedOn w:val="Normal"/>
    <w:link w:val="HeaderChar"/>
    <w:uiPriority w:val="99"/>
    <w:unhideWhenUsed/>
    <w:rsid w:val="008F6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FBC"/>
  </w:style>
  <w:style w:type="paragraph" w:styleId="Footer">
    <w:name w:val="footer"/>
    <w:basedOn w:val="Normal"/>
    <w:link w:val="FooterChar"/>
    <w:uiPriority w:val="99"/>
    <w:unhideWhenUsed/>
    <w:rsid w:val="008F6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9096</TotalTime>
  <Pages>4</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1516</cp:revision>
  <dcterms:created xsi:type="dcterms:W3CDTF">2024-10-11T17:14:00Z</dcterms:created>
  <dcterms:modified xsi:type="dcterms:W3CDTF">2024-11-01T20:23:00Z</dcterms:modified>
</cp:coreProperties>
</file>