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Robert Stobbe (teaching in Winter Term 2024), </w:t>
      </w:r>
      <w:r>
        <w:t>Alan Wilman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It is open to other students after June 15th.</w:t>
      </w:r>
    </w:p>
    <w:p>
      <w:r>
        <w:br w:type="page"/>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being a multimedia signal processing course, is generally considered to be less difficult than ECE 403, which is known for its challenging material in the field of digital logic design.</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405, Biophysical Instrumentation and Measurement, has very few students enrolled, with only one student taking it since 2011. The course is known to have a significant amount of calculations and theoretical questions on assignments and exams. However, it is described as being straightforward.</w:t>
      </w:r>
    </w:p>
    <w:p>
      <w:r>
        <w:br w:type="page"/>
      </w:r>
    </w:p>
    <w:p>
      <w:pPr>
        <w:pStyle w:val="Heading1"/>
      </w:pPr>
      <w:r>
        <w:t>ECE 408</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These special topic courses in ECE 408 may require a strong interest in a particular subject and approval from the department. The grading structure is unknown due to the course's infrequent offering and potential changes in departmental resources. Overall, the difficulty of these courses may vary depending on the specific topic and the resources available to the department at the time of offering.</w:t>
      </w:r>
    </w:p>
    <w:p>
      <w:r>
        <w:br w:type="page"/>
      </w:r>
    </w:p>
    <w:p>
      <w:pPr>
        <w:pStyle w:val="Heading1"/>
      </w:pPr>
      <w:r>
        <w:t>ECE 409</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r>
        <w:br w:type="page"/>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appears to be moderately difficult, as indicated by the fact that the final average was 78% and some students were able to achieve high grades despite this. However, the class is curved, suggesting that a higher grade may be required for an A+. The comment "oof" implies that the speaker may have struggled in the class.</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understanding of machine learning and some hands-on experience with data analysis. The programming aspect of the course is not particularly challenging for those with a background in software. Overall, the course is considered fairly easy.</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may not require the use of a lab kit, as it may primarily consist of programming labs. However, for capstone projects, some components may still be necessary. The overall difficulty of the course is unclear based on this context.</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Based on the comments, ECE 455 is considered to be a challenging course by some students. One student's friend described it as "absolute ass." However, it seems that advisors may require students to take the course in order to graduate. An alternative suggestion is to consider taking a group II elective online through Athabasca, such as 442, which is reportedly easier and more interesting, focusing on multimedia signal processing.</w:t>
      </w:r>
    </w:p>
    <w:p>
      <w:r>
        <w:br w:type="page"/>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is considered the most challenging undergraduate EE course at the university, but those who have taken it find it rewarding. The professor is known to be one of the best in the field. The course is expected to be well-organized and fair, with all necessary resources provided.</w:t>
      </w:r>
    </w:p>
    <w:p>
      <w:r>
        <w:br w:type="page"/>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