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r>
    </w:p>
    <w:p>
      <w:pPr>
        <w:pStyle w:val="Heading1"/>
      </w:pPr>
      <w:r>
        <w:t>CMPUT 404</w:t>
        <w:br/>
      </w:r>
    </w:p>
    <w:p>
      <w:pPr>
        <w:pStyle w:val="ListBullet"/>
      </w:pPr>
      <w:r>
        <w:rPr>
          <w:b/>
        </w:rPr>
        <w:t>Course Description:</w:t>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r>
    </w:p>
    <w:p>
      <w:pPr>
        <w:pStyle w:val="Heading1"/>
      </w:pPr>
      <w:r>
        <w:t>CMPUT 411</w:t>
        <w:br/>
      </w:r>
    </w:p>
    <w:p>
      <w:pPr>
        <w:pStyle w:val="ListBullet"/>
      </w:pPr>
      <w:r>
        <w:rPr>
          <w:b/>
        </w:rPr>
        <w:t>Course Description:</w:t>
      </w:r>
      <w:r>
        <w:br/>
        <w:t>2D and 3D transformation; 3D modeling and viewing; illumination models and shading methods; texture mapping; ray tracing.</w:t>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r>
    </w:p>
    <w:p>
      <w:pPr>
        <w:pStyle w:val="Heading1"/>
      </w:pPr>
      <w:r>
        <w:t>ECE 455</w:t>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