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3A75C4"/>
          <w:spacing w:val="40"/>
          <w:sz w:val="20"/>
          <w:szCs w:val="20"/>
        </w:rPr>
        <w:t xml:space="preserve">FICHE ATELIER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804E"/>
          <w:sz w:val="48"/>
          <w:szCs w:val="48"/>
        </w:rPr>
        <w:t xml:space="preserve">Créer un compte avec eSignet</w:t>
      </w:r>
    </w:p>
    <w:p>
      <w:pPr>
        <w:pBdr>
          <w:bottom w:val="single" w:color="FCD116" w:sz="18" w:space="8"/>
        </w:pBdr>
        <w:spacing w:after="240"/>
      </w:pPr>
      <w:r>
        <w:rPr>
          <w:rFonts w:ascii="Arial" w:cs="Arial" w:eastAsia="Arial" w:hAnsi="Arial"/>
          <w:color w:val="5D6B65"/>
          <w:sz w:val="22"/>
          <w:szCs w:val="22"/>
        </w:rPr>
        <w:t xml:space="preserve">Méthodologie d’intégration au portail des services — inscription avec identité vérifiée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2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</w:t>
            </w:r>
          </w:p>
        </w:tc>
        <w:tc>
          <w:tcPr>
            <w:tcW w:type="dxa" w:w="72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Développeurs backend (Laravel) et frontend (Angular), architectes, référents sécurité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</w:t>
            </w:r>
          </w:p>
        </w:tc>
        <w:tc>
          <w:tcPr>
            <w:tcW w:type="dxa" w:w="72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Portail des services démarré (Docker, BD mutualisée) · notions OAuth 2.0 / OpenID Connect · stack eSignet + Mock Identity System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 indicative</w:t>
            </w:r>
          </w:p>
        </w:tc>
        <w:tc>
          <w:tcPr>
            <w:tcW w:type="dxa" w:w="72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journée : ½ journée de méthodologie, ½ journée de travaux pratiques (à adapter)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— 21/10/2026 (connexion uniquement avec eSignet)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Objectif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Permettre à un usager de </w:t>
      </w:r>
      <w:r>
        <w:rPr>
          <w:rFonts w:ascii="Arial" w:cs="Arial" w:eastAsia="Arial" w:hAnsi="Arial"/>
          <w:b/>
          <w:bCs/>
        </w:rPr>
        <w:t xml:space="preserve">créer son compte en prouvant son identité avec eSignet</w:t>
      </w:r>
      <w:r>
        <w:rPr>
          <w:rFonts w:ascii="Arial" w:cs="Arial" w:eastAsia="Arial" w:hAnsi="Arial"/>
        </w:rPr>
        <w:t xml:space="preserve">. Le NIP n’est plus saisi par l’usager : il est fourni et vérifié par le registre national, ce qui supprime le risque d’usurpation d’un NIP.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À l’issue de l’atelier, les participants savent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enregistrer le portail comme client OIDC (relying party) dans eSignet 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implémenter le parcours authorization code + PKCE et l’authentification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private_key_jwt</w:t>
      </w:r>
      <w:r>
        <w:rPr>
          <w:rFonts w:ascii="Arial" w:cs="Arial" w:eastAsia="Arial" w:hAnsi="Arial"/>
        </w:rPr>
        <w:t xml:space="preserve"> 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valider l’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id_token</w:t>
      </w:r>
      <w:r>
        <w:rPr>
          <w:rFonts w:ascii="Arial" w:cs="Arial" w:eastAsia="Arial" w:hAnsi="Arial"/>
        </w:rPr>
        <w:t xml:space="preserve"> et la réponse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/userinfo</w:t>
      </w:r>
      <w:r>
        <w:rPr>
          <w:rFonts w:ascii="Arial" w:cs="Arial" w:eastAsia="Arial" w:hAnsi="Arial"/>
        </w:rPr>
        <w:t xml:space="preserve"> sans exception 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créer le compte ou connecter l’usager selon une matrice de décision, sans fusion automatique 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tester les cas d’erreur et les attaques courantes (rejeu, CSRF, code expiré).</w:t>
      </w:r>
    </w:p>
    <w:p>
      <w:pPr>
        <w:pStyle w:val="Heading1"/>
      </w:pPr>
      <w:r>
        <w:rPr>
          <w:rFonts w:ascii="Arial" w:cs="Arial" w:eastAsia="Arial" w:hAnsi="Arial"/>
        </w:rPr>
        <w:t xml:space="preserve">2. Principe : ce que change eSignet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Inscription déclarative (abandonnée)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Avec eSignet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NIP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Déclaré par l’usager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Fourni par le registre (claim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individual_id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Preuve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Contrôle d’un contact (code SMS/email)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Authentification auprès du registre : OTP sur le téléphone enregistré, biométrie…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Usurpation de NIP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Bloquée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Données d’identité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Saisies, modifiables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Issues du registre, non modifiables, resynchronisées à chaque connexion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Connexion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 de passe</w:t>
            </w:r>
          </w:p>
        </w:tc>
        <w:tc>
          <w:tcPr>
            <w:tcW w:type="dxa" w:w="371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eSignet uniquement : le portail ne gère aucun mot de passe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Prérequis techniques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OIDC enregistré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clientId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redirectUris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(URL exacte), clé publique JWK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PS256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grantTypes: authorization_code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clientAuthMethods: private_key_jwt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Claims autorisés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minimum utile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birthdate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gender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phone_number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1C2622"/>
                <w:sz w:val="19"/>
                <w:szCs w:val="19"/>
              </w:rPr>
              <w:t xml:space="preserve">individual_id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(= NIP)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à libérer par la configuration de l’instance eSignet (décision de gouvernance des données)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Niveaux d’authentification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acceptés pour une création de compte, par ex.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mosip:idp:acr:generated-code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(OTP)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mosip:idp:acr:biometrics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pas de mot de passe seul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Horloge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Serveurs synchronisés (NTP) : le code d’autorisation n’est valable que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60 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et les JWT tolèrent peu de décalage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Données de test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Identités fictives dans le Mock Identity System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individualId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NIP, OTP de test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111111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</w:t>
            </w:r>
            <w:r>
              <w:rPr>
                <w:rFonts w:ascii="Consolas" w:cs="Consolas" w:eastAsia="Consolas" w:hAnsi="Consolas"/>
                <w:b/>
                <w:bCs/>
                <w:color w:val="1C2622"/>
                <w:sz w:val="19"/>
                <w:szCs w:val="19"/>
              </w:rPr>
              <w:t xml:space="preserve">users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esignet_sub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(unique),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nip_source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declare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esignet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nip_verifie_at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nullable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b/>
                <w:bCs/>
                <w:color w:val="1C2622"/>
                <w:sz w:val="19"/>
                <w:szCs w:val="19"/>
              </w:rPr>
              <w:t xml:space="preserve">esignet_transactions</w:t>
            </w:r>
          </w:p>
        </w:tc>
        <w:tc>
          <w:tcPr>
            <w:tcW w:type="dxa" w:w="7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code_verifier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chiffré, empreinte du navigateur, statut, expiration, usage unique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Parcours vu par l’usager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L’usager clique sur </w:t>
      </w:r>
      <w:r>
        <w:rPr>
          <w:rFonts w:ascii="Arial" w:cs="Arial" w:eastAsia="Arial" w:hAnsi="Arial"/>
          <w:b/>
          <w:bCs/>
        </w:rPr>
        <w:t xml:space="preserve">« Créer mon compte avec eSignet 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Sur l’écran eSignet, il saisit son </w:t>
      </w:r>
      <w:r>
        <w:rPr>
          <w:rFonts w:ascii="Arial" w:cs="Arial" w:eastAsia="Arial" w:hAnsi="Arial"/>
          <w:b/>
          <w:bCs/>
        </w:rPr>
        <w:t xml:space="preserve">NIP</w:t>
      </w:r>
      <w:r>
        <w:rPr>
          <w:rFonts w:ascii="Arial" w:cs="Arial" w:eastAsia="Arial" w:hAnsi="Arial"/>
        </w:rPr>
        <w:t xml:space="preserve">, puis le code OTP reçu sur le </w:t>
      </w:r>
      <w:r>
        <w:rPr>
          <w:rFonts w:ascii="Arial" w:cs="Arial" w:eastAsia="Arial" w:hAnsi="Arial"/>
          <w:b/>
          <w:bCs/>
        </w:rPr>
        <w:t xml:space="preserve">téléphone enregistré au registre</w:t>
      </w:r>
      <w:r>
        <w:rPr>
          <w:rFonts w:ascii="Arial" w:cs="Arial" w:eastAsia="Arial" w:hAnsi="Arial"/>
        </w:rPr>
        <w:t xml:space="preserve"> (ou s’authentifie par biométrie).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Il </w:t>
      </w:r>
      <w:r>
        <w:rPr>
          <w:rFonts w:ascii="Arial" w:cs="Arial" w:eastAsia="Arial" w:hAnsi="Arial"/>
          <w:b/>
          <w:bCs/>
        </w:rPr>
        <w:t xml:space="preserve">consent</w:t>
      </w:r>
      <w:r>
        <w:rPr>
          <w:rFonts w:ascii="Arial" w:cs="Arial" w:eastAsia="Arial" w:hAnsi="Arial"/>
        </w:rPr>
        <w:t xml:space="preserve"> au partage des données listées (nom, date de naissance, NIP…).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De retour sur le portail, un </w:t>
      </w:r>
      <w:r>
        <w:rPr>
          <w:rFonts w:ascii="Arial" w:cs="Arial" w:eastAsia="Arial" w:hAnsi="Arial"/>
          <w:b/>
          <w:bCs/>
        </w:rPr>
        <w:t xml:space="preserve">écran de finalisation</w:t>
      </w:r>
      <w:r>
        <w:rPr>
          <w:rFonts w:ascii="Arial" w:cs="Arial" w:eastAsia="Arial" w:hAnsi="Arial"/>
        </w:rPr>
        <w:t xml:space="preserve"> affiche son identité en lecture seule ; il confirme ses moyens de contact et accepte les CGU.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Le compte est créé, une </w:t>
      </w:r>
      <w:r>
        <w:rPr>
          <w:rFonts w:ascii="Arial" w:cs="Arial" w:eastAsia="Arial" w:hAnsi="Arial"/>
          <w:b/>
          <w:bCs/>
        </w:rPr>
        <w:t xml:space="preserve">notification</w:t>
      </w:r>
      <w:r>
        <w:rPr>
          <w:rFonts w:ascii="Arial" w:cs="Arial" w:eastAsia="Arial" w:hAnsi="Arial"/>
        </w:rPr>
        <w:t xml:space="preserve"> est envoyée, l’usager est connecté.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Déroulé technique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Huit étapes, toutes exécutées par le </w:t>
      </w:r>
      <w:r>
        <w:rPr>
          <w:rFonts w:ascii="Arial" w:cs="Arial" w:eastAsia="Arial" w:hAnsi="Arial"/>
          <w:b/>
          <w:bCs/>
        </w:rPr>
        <w:t xml:space="preserve">backend</w:t>
      </w:r>
      <w:r>
        <w:rPr>
          <w:rFonts w:ascii="Arial" w:cs="Arial" w:eastAsia="Arial" w:hAnsi="Arial"/>
        </w:rPr>
        <w:t xml:space="preserve"> (le navigateur ne voit jamais les jetons). Chaque contrôle de la colonne de droite est </w:t>
      </w:r>
      <w:r>
        <w:rPr>
          <w:rFonts w:ascii="Arial" w:cs="Arial" w:eastAsia="Arial" w:hAnsi="Arial"/>
          <w:b/>
          <w:bCs/>
        </w:rPr>
        <w:t xml:space="preserve">obligatoire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4000"/>
        <w:gridCol w:w="4538"/>
      </w:tblGrid>
      <w:tr>
        <w:trPr>
          <w:tblHeader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Contrôles de sécurité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A. Démarrer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Générer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code_verifier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; enregistrer la transaction (10 min) ; envoyer la requête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puis rediriger vers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/authorize?request_uri=…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Cookie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HttpOnly, SameSite=Lax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portant l’identifiant de transaction (lie le parcours au navigateur) · PKCE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S256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B. Retour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Recevoir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sur 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redirect_uri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; traiter un éventuel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error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cookie = transaction · transaction non expirée,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marquée utilisée immédiatement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C. Jetons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POST /oauth2/token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code_verifier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redirect_uri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et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client_assertion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Assertion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PS256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iss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client_id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aud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endpoint token,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exp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+2 min,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jti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unique · échange en moins de 60 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D. id_token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Vérifier le jeton d’identité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Signature (JWKS, rechargé si rotation)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iss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aud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exp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C2622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accepté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E. userinfo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GET /oauth2/userinfo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avec l’access token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Signature JWS (JWE déchiffré en production)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identique à l’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id_token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date de naissance cohérente avec le NIP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Décider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Appliquer la matrice de décision (section 6)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Jamais de fusion automatique de comptes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G. Créer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Créer le compte dans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une transaction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nip_source = esignet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nip_verifie_at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données du registre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Contraintes d’unicité NIP 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effacer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code_verifier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session régénérée (cookie HttpOnly)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H. Tracer</w:t>
            </w:r>
          </w:p>
        </w:tc>
        <w:tc>
          <w:tcPr>
            <w:tcW w:type="dxa" w:w="4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Journaliser chaque étape avec 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request_id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; notifier l’usager</w:t>
            </w:r>
          </w:p>
        </w:tc>
        <w:tc>
          <w:tcPr>
            <w:tcW w:type="dxa" w:w="4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Aucun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jeton, code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code_verifier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dans les logs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Matrice de décision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 au retour d’eSignet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déjà connu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Connexion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(modes « connexion » et « création ») ; mise à jour des données issues du registre et du rôle administrateur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inconnu, NIP inconnu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Création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: écran de finalisation via un jeton d’inscription à usage unique (15 min), y compris quand l’usager a cliqué sur « Se connecter »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inconnu, NIP déjà associé à un compte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Anomalie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d’un usager est stable) : refus + alerte dans le journal, jamais de fusion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individual_id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absent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Refus « configuration incomplète » — jamais de repli sur une saisie manuelle du NIP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insuffisant</w:t>
            </w:r>
          </w:p>
        </w:tc>
        <w:tc>
          <w:tcPr>
            <w:tcW w:type="dxa" w:w="6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Refus et nouvelle authentification avec un niveau accepté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Gestion des erreurs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Erreur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 probable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 du portail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access_denied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Annulation ou consentement refusé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Message clair + proposition de recommencer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invalid_transaction</w:t>
            </w:r>
          </w:p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invalid_grant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expiré (&gt; 60 s) ou déjà utilisé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Relancer le parcours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invalid_assertion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Horloge décalée, mauvais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aud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mauvais algorithme ou clé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Alerte technique (journal)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invalid_nonce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inconnu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Rejeu ou tentative de CSRF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Refus + alerte de sécurité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manquant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Consentement partiel</w:t>
            </w:r>
          </w:p>
        </w:tc>
        <w:tc>
          <w:tcPr>
            <w:tcW w:type="dxa" w:w="4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Expliquer pourquoi la donnée est nécessaire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Pièges fréquents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PS256, pas RS256</w:t>
      </w:r>
      <w:r>
        <w:rPr>
          <w:rFonts w:ascii="Arial" w:cs="Arial" w:eastAsia="Arial" w:hAnsi="Arial"/>
        </w:rPr>
        <w:t xml:space="preserve"> : eSignet 2.x n’accepte pas RS256 pour le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client_assertion</w:t>
      </w:r>
      <w:r>
        <w:rPr>
          <w:rFonts w:ascii="Arial" w:cs="Arial" w:eastAsia="Arial" w:hAnsi="Arial"/>
        </w:rPr>
        <w:t xml:space="preserve"> (voir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token_endpoint_auth_signing_alg_values_supported</w:t>
      </w:r>
      <w:r>
        <w:rPr>
          <w:rFonts w:ascii="Arial" w:cs="Arial" w:eastAsia="Arial" w:hAnsi="Arial"/>
        </w:rPr>
        <w:t xml:space="preserve"> dans la découverte).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Le </w:t>
      </w:r>
      <w:r>
        <w:rPr>
          <w:rFonts w:ascii="Consolas" w:cs="Consolas" w:eastAsia="Consolas" w:hAnsi="Consolas"/>
          <w:b/>
          <w:bCs/>
          <w:color w:val="1C2622"/>
          <w:sz w:val="19"/>
          <w:szCs w:val="19"/>
        </w:rPr>
        <w:t xml:space="preserve">sub</w:t>
      </w:r>
      <w:r>
        <w:rPr>
          <w:rFonts w:ascii="Arial" w:cs="Arial" w:eastAsia="Arial" w:hAnsi="Arial"/>
          <w:b/>
          <w:bCs/>
        </w:rPr>
        <w:t xml:space="preserve"> n’est pas le NIP</w:t>
      </w:r>
      <w:r>
        <w:rPr>
          <w:rFonts w:ascii="Arial" w:cs="Arial" w:eastAsia="Arial" w:hAnsi="Arial"/>
        </w:rPr>
        <w:t xml:space="preserve"> : il est pairwise (propre au portail). Sans le claim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individual_id</w:t>
      </w:r>
      <w:r>
        <w:rPr>
          <w:rFonts w:ascii="Arial" w:cs="Arial" w:eastAsia="Arial" w:hAnsi="Arial"/>
        </w:rPr>
        <w:t xml:space="preserve">, impossible de vérifier le NIP.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Format du NIP et Mock Identity System</w:t>
      </w:r>
      <w:r>
        <w:rPr>
          <w:rFonts w:ascii="Arial" w:cs="Arial" w:eastAsia="Arial" w:hAnsi="Arial"/>
        </w:rPr>
        <w:t xml:space="preserve"> : le schéma du mock n’accepte que 5 à 19 chiffres (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^[0-9]{5,19}$</w:t>
      </w:r>
      <w:r>
        <w:rPr>
          <w:rFonts w:ascii="Arial" w:cs="Arial" w:eastAsia="Arial" w:hAnsi="Arial"/>
        </w:rPr>
        <w:t xml:space="preserve">). Le NIP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CC-NNNN-AAAAMMJJ</w:t>
      </w:r>
      <w:r>
        <w:rPr>
          <w:rFonts w:ascii="Arial" w:cs="Arial" w:eastAsia="Arial" w:hAnsi="Arial"/>
        </w:rPr>
        <w:t xml:space="preserve"> contient lettres et tirets : adapter le schéma du mock (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mosip.mock.ida.identity.schema.url</w:t>
      </w:r>
      <w:r>
        <w:rPr>
          <w:rFonts w:ascii="Arial" w:cs="Arial" w:eastAsia="Arial" w:hAnsi="Arial"/>
        </w:rPr>
        <w:t xml:space="preserve">) avant de créer les identités de test.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URL publique et URL interne</w:t>
      </w:r>
      <w:r>
        <w:rPr>
          <w:rFonts w:ascii="Arial" w:cs="Arial" w:eastAsia="Arial" w:hAnsi="Arial"/>
        </w:rPr>
        <w:t xml:space="preserve"> : dans Docker, le backend appelle eSignet par son nom de conteneur, mais l’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iss</w:t>
      </w:r>
      <w:r>
        <w:rPr>
          <w:rFonts w:ascii="Arial" w:cs="Arial" w:eastAsia="Arial" w:hAnsi="Arial"/>
        </w:rPr>
        <w:t xml:space="preserve"> attendu reste l’URL publique de la découverte.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Code valable 60 s</w:t>
      </w:r>
      <w:r>
        <w:rPr>
          <w:rFonts w:ascii="Arial" w:cs="Arial" w:eastAsia="Arial" w:hAnsi="Arial"/>
        </w:rPr>
        <w:t xml:space="preserve"> : échanger le code dès le retour, sans étape intermédiaire côté usager.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color w:val="1C2622"/>
          <w:sz w:val="19"/>
          <w:szCs w:val="19"/>
        </w:rPr>
        <w:t xml:space="preserve">state</w:t>
      </w:r>
      <w:r>
        <w:rPr>
          <w:rFonts w:ascii="Arial" w:cs="Arial" w:eastAsia="Arial" w:hAnsi="Arial"/>
          <w:b/>
          <w:bCs/>
        </w:rPr>
        <w:t xml:space="preserve"> non lié au navigateur</w:t>
      </w:r>
      <w:r>
        <w:rPr>
          <w:rFonts w:ascii="Arial" w:cs="Arial" w:eastAsia="Arial" w:hAnsi="Arial"/>
        </w:rPr>
        <w:t xml:space="preserve"> : ouvre la porte au login CSRF ; toujours le comparer à un cookie HttpOnly.</w:t>
      </w:r>
    </w:p>
    <w:p>
      <w:pPr>
        <w:pStyle w:val="Heading1"/>
      </w:pPr>
      <w:r>
        <w:rPr>
          <w:rFonts w:ascii="Arial" w:cs="Arial" w:eastAsia="Arial" w:hAnsi="Arial"/>
        </w:rPr>
        <w:t xml:space="preserve">9. Travaux pratiques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300"/>
        <w:gridCol w:w="4438"/>
      </w:tblGrid>
      <w:tr>
        <w:trPr>
          <w:tblHeader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TP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Monter eSignet + Mock Identity System sur la BD mutualisée ; créer 3 identités de test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Découverte OIDC accessible, identités créées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Générer la paire de clés et enregistrer le client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POST /client-mgmt/client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clientId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clé JWK PS256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Étapes A–B : démarrage (PAR, PKCE, cookie) et retour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Redirection vers eSignet et retour contrôlé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Étapes C–E : échange du code, validation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id_token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/userinfo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vérifiés affichés en journal (sans secret)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Étapes F–H : matrice de décision, création du compte, notification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Compte « NIP vérifié » créé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Recette : dérouler les scénarios de la section 10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Grille de recette complétée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Scénarios de recette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838"/>
        <w:gridCol w:w="1100"/>
      </w:tblGrid>
      <w:tr>
        <w:trPr>
          <w:tblHeader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Création nominale (NIP inconnu), puis connexion suivante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sub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reconnu)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Refus de consentement, annulation sur l’écran eSignet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Rejeu de l’URL de retour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modifié · cookie absent (autre navigateur)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échangé après plus de 60 s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 sur « Se connecter » sans compte existant : orientation vers la finalisation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individual_id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absent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insuffisant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Rotation des clés eSignet pendant un parcours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7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Données du registre modifiées entre deux connexions (mise à jour)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11. Critères d’acceptation</w:t>
      </w:r>
    </w:p>
    <w:p>
      <w:pPr>
        <w:keepNext/>
        <w:spacing w:after="70" w:line="280"/>
        <w:ind w:left="200"/>
      </w:pPr>
      <w:r>
        <w:rPr>
          <w:rFonts w:ascii="Arial" w:cs="Arial" w:eastAsia="Arial" w:hAnsi="Arial"/>
          <w:b/>
          <w:bCs/>
          <w:color w:val="00804E"/>
        </w:rPr>
        <w:t xml:space="preserve">☐  </w:t>
      </w:r>
      <w:r>
        <w:rPr>
          <w:rFonts w:ascii="Arial" w:cs="Arial" w:eastAsia="Arial" w:hAnsi="Arial"/>
        </w:rPr>
        <w:t xml:space="preserve">Aucun compte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nip_source = esignet</w:t>
      </w:r>
      <w:r>
        <w:rPr>
          <w:rFonts w:ascii="Arial" w:cs="Arial" w:eastAsia="Arial" w:hAnsi="Arial"/>
        </w:rPr>
        <w:t xml:space="preserve"> sans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id_token</w:t>
      </w:r>
      <w:r>
        <w:rPr>
          <w:rFonts w:ascii="Arial" w:cs="Arial" w:eastAsia="Arial" w:hAnsi="Arial"/>
        </w:rPr>
        <w:t xml:space="preserve"> validé (signature,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nonce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acr</w:t>
      </w:r>
      <w:r>
        <w:rPr>
          <w:rFonts w:ascii="Arial" w:cs="Arial" w:eastAsia="Arial" w:hAnsi="Arial"/>
        </w:rPr>
        <w:t xml:space="preserve">).</w:t>
      </w:r>
    </w:p>
    <w:p>
      <w:pPr>
        <w:keepNext/>
        <w:spacing w:after="70" w:line="280"/>
        <w:ind w:left="200"/>
      </w:pPr>
      <w:r>
        <w:rPr>
          <w:rFonts w:ascii="Arial" w:cs="Arial" w:eastAsia="Arial" w:hAnsi="Arial"/>
          <w:b/>
          <w:bCs/>
          <w:color w:val="00804E"/>
        </w:rPr>
        <w:t xml:space="preserve">☐  </w:t>
      </w:r>
      <w:r>
        <w:rPr>
          <w:rFonts w:ascii="Arial" w:cs="Arial" w:eastAsia="Arial" w:hAnsi="Arial"/>
        </w:rPr>
        <w:t xml:space="preserve">Unicité garantie en base : un NIP ↔ un compte, un </w:t>
      </w:r>
      <w:r>
        <w:rPr>
          <w:rFonts w:ascii="Consolas" w:cs="Consolas" w:eastAsia="Consolas" w:hAnsi="Consolas"/>
          <w:b w:val="false"/>
          <w:bCs w:val="false"/>
          <w:color w:val="1C2622"/>
          <w:sz w:val="19"/>
          <w:szCs w:val="19"/>
        </w:rPr>
        <w:t xml:space="preserve">sub</w:t>
      </w:r>
      <w:r>
        <w:rPr>
          <w:rFonts w:ascii="Arial" w:cs="Arial" w:eastAsia="Arial" w:hAnsi="Arial"/>
        </w:rPr>
        <w:t xml:space="preserve"> ↔ un compte.</w:t>
      </w:r>
    </w:p>
    <w:p>
      <w:pPr>
        <w:keepNext/>
        <w:spacing w:after="70" w:line="280"/>
        <w:ind w:left="200"/>
      </w:pPr>
      <w:r>
        <w:rPr>
          <w:rFonts w:ascii="Arial" w:cs="Arial" w:eastAsia="Arial" w:hAnsi="Arial"/>
          <w:b/>
          <w:bCs/>
          <w:color w:val="00804E"/>
        </w:rPr>
        <w:t xml:space="preserve">☐  </w:t>
      </w:r>
      <w:r>
        <w:rPr>
          <w:rFonts w:ascii="Arial" w:cs="Arial" w:eastAsia="Arial" w:hAnsi="Arial"/>
        </w:rPr>
        <w:t xml:space="preserve">Chaque parcours tracé de bout en bout dans le journal, sans aucun secret.</w:t>
      </w:r>
    </w:p>
    <w:p>
      <w:pPr>
        <w:keepNext w:val="false"/>
        <w:spacing w:after="70" w:line="280"/>
        <w:ind w:left="200"/>
      </w:pPr>
      <w:r>
        <w:rPr>
          <w:rFonts w:ascii="Arial" w:cs="Arial" w:eastAsia="Arial" w:hAnsi="Arial"/>
          <w:b/>
          <w:bCs/>
          <w:color w:val="00804E"/>
        </w:rPr>
        <w:t xml:space="preserve">☐  </w:t>
      </w:r>
      <w:r>
        <w:rPr>
          <w:rFonts w:ascii="Arial" w:cs="Arial" w:eastAsia="Arial" w:hAnsi="Arial"/>
        </w:rPr>
        <w:t xml:space="preserve">Les 8 scénarios de recette passent.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Annexe — Points d’accès eSignet 2.x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d’accès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080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/.well-known/openid-configuration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Découverte : URL des autres points d’accès, algorithmes, claims 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acr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supportés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/oauth2/par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Requête d’autorisation poussée (PAR)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/oauth2/authorize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Redirection de l’usager vers l’écran de connexion eSignet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/oauth2/token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Échange du code contre les jetons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private_key_jwt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/oauth2/userinfo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Données consenties (JWS ou JWE)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/oauth2/jwks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5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Clés publiques de vérification des signatures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622"/>
                <w:sz w:val="19"/>
                <w:szCs w:val="19"/>
              </w:rPr>
              <w:t xml:space="preserve">/client-mgmt/client</w:t>
            </w:r>
          </w:p>
        </w:tc>
        <w:tc>
          <w:tcPr>
            <w:tcW w:type="dxa" w:w="6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Enregistrement du client OIDC (API à protéger hors atelier)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rFonts w:ascii="Arial" w:cs="Arial" w:eastAsia="Arial" w:hAnsi="Arial"/>
          <w:color w:val="5D6B65"/>
          <w:sz w:val="18"/>
          <w:szCs w:val="18"/>
        </w:rPr>
        <w:t xml:space="preserve">Références : documentation relying party d’eSignet (docs.esignet.io/integration/relying-party), dépôt mosip/esignet (dossier docker-compose), dépôt mosip/esignet-mock-services.</w:t>
      </w:r>
    </w:p>
    <w:sectPr>
      <w:headerReference w:type="default" r:id="rId6"/>
      <w:footerReference w:type="default" r:id="rId7"/>
      <w:pgSz w:w="11906" w:h="16838" w:orient="portrait"/>
      <w:pgMar w:top="1300" w:right="1134" w:bottom="11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B65"/>
        <w:sz w:val="16"/>
        <w:szCs w:val="16"/>
      </w:rPr>
      <w:t xml:space="preserve">Fiche atelier — Créer un compte avec eSignet  ·  page </w:t>
    </w:r>
    <w:r>
      <w:rPr>
        <w:rFonts w:ascii="Arial" w:cs="Arial" w:eastAsia="Arial" w:hAnsi="Arial"/>
        <w:color w:val="5D6B65"/>
        <w:sz w:val="16"/>
        <w:szCs w:val="16"/>
      </w:rPr>
      <w:fldChar w:fldCharType="begin"/>
    </w:r>
    <w:r>
      <w:rPr>
        <w:rFonts w:ascii="Arial" w:cs="Arial" w:eastAsia="Arial" w:hAnsi="Arial"/>
        <w:color w:val="5D6B65"/>
        <w:sz w:val="16"/>
        <w:szCs w:val="16"/>
      </w:rPr>
      <w:instrText xml:space="preserve">PAGE</w:instrText>
    </w:r>
    <w:r>
      <w:rPr>
        <w:rFonts w:ascii="Arial" w:cs="Arial" w:eastAsia="Arial" w:hAnsi="Arial"/>
        <w:color w:val="5D6B65"/>
        <w:sz w:val="16"/>
        <w:szCs w:val="16"/>
      </w:rPr>
      <w:fldChar w:fldCharType="separate"/>
    </w:r>
    <w:r>
      <w:rPr>
        <w:rFonts w:ascii="Arial" w:cs="Arial" w:eastAsia="Arial" w:hAnsi="Arial"/>
        <w:color w:val="5D6B65"/>
        <w:sz w:val="16"/>
        <w:szCs w:val="16"/>
      </w:rPr>
      <w:fldChar w:fldCharType="end"/>
    </w:r>
    <w:r>
      <w:rPr>
        <w:rFonts w:ascii="Arial" w:cs="Arial" w:eastAsia="Arial" w:hAnsi="Arial"/>
        <w:color w:val="5D6B65"/>
        <w:sz w:val="16"/>
        <w:szCs w:val="16"/>
      </w:rPr>
      <w:t xml:space="preserve"> / </w:t>
    </w:r>
    <w:r>
      <w:rPr>
        <w:rFonts w:ascii="Arial" w:cs="Arial" w:eastAsia="Arial" w:hAnsi="Arial"/>
        <w:color w:val="5D6B65"/>
        <w:sz w:val="16"/>
        <w:szCs w:val="16"/>
      </w:rPr>
      <w:fldChar w:fldCharType="begin"/>
    </w:r>
    <w:r>
      <w:rPr>
        <w:rFonts w:ascii="Arial" w:cs="Arial" w:eastAsia="Arial" w:hAnsi="Arial"/>
        <w:color w:val="5D6B65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5D6B65"/>
        <w:sz w:val="16"/>
        <w:szCs w:val="16"/>
      </w:rPr>
      <w:fldChar w:fldCharType="separate"/>
    </w:r>
    <w:r>
      <w:rPr>
        <w:rFonts w:ascii="Arial" w:cs="Arial" w:eastAsia="Arial" w:hAnsi="Arial"/>
        <w:color w:val="5D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04E" w:sz="6" w:space="4"/>
      </w:pBdr>
    </w:pPr>
    <w:r>
      <w:drawing>
        <wp:inline distT="0" distB="0" distL="0" distR="0">
          <wp:extent cx="247650" cy="247650"/>
          <wp:effectExtent t="0" r="0" b="0" l="0"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804E"/>
        <w:sz w:val="17"/>
        <w:szCs w:val="17"/>
      </w:rPr>
      <w:t xml:space="preserve">   Gabon Digital · Portail des services</w:t>
    </w:r>
    <w:r>
      <w:rPr>
        <w:rFonts w:ascii="Arial" w:cs="Arial" w:eastAsia="Arial" w:hAnsi="Arial"/>
        <w:color w:val="5D6B65"/>
        <w:sz w:val="17"/>
        <w:szCs w:val="17"/>
      </w:rPr>
      <w:t xml:space="preserve">  —  Ateliers MOSIP / eSignet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  <w:rPr>
        <w:color w:val="00804E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080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6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0080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3A75C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00c19a851c2d56622356657ee62ab9d0298e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atelier — Créer un compte avec eSignet</dc:title>
  <dc:creator>Portail des services — Ateliers MOSIP</dc:creator>
  <cp:lastModifiedBy>Un-named</cp:lastModifiedBy>
  <cp:revision>1</cp:revision>
  <dcterms:created xsi:type="dcterms:W3CDTF">2026-10-21T12:04:02.400Z</dcterms:created>
  <dcterms:modified xsi:type="dcterms:W3CDTF">2026-10-21T12:04:02.401Z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