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0.png" ContentType="image/png"/>
  <Override PartName="/word/media/rId20.png" ContentType="image/png"/>
  <Override PartName="/word/media/rId27.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Bistand</w:t>
      </w:r>
      <w:r>
        <w:t xml:space="preserve"> </w:t>
      </w:r>
      <w:r>
        <w:t xml:space="preserve">til</w:t>
      </w:r>
      <w:r>
        <w:t xml:space="preserve"> </w:t>
      </w:r>
      <w:r>
        <w:t xml:space="preserve">Ukraina</w:t>
      </w:r>
    </w:p>
    <w:bookmarkStart w:id="23" w:name="internasjonal-bistand-til-ukraina"/>
    <w:p>
      <w:pPr>
        <w:pStyle w:val="Heading1"/>
      </w:pPr>
      <w:r>
        <w:rPr>
          <w:rStyle w:val="SectionNumber"/>
        </w:rPr>
        <w:t xml:space="preserve">1</w:t>
      </w:r>
      <w:r>
        <w:tab/>
      </w:r>
      <w:r>
        <w:t xml:space="preserve">Internasjonal bistand til Ukraina</w:t>
      </w:r>
    </w:p>
    <w:p>
      <w:pPr>
        <w:pStyle w:val="FirstParagraph"/>
      </w:pPr>
      <w:r>
        <w:t xml:space="preserve">I 2023 var Norge det femte største giverlandet i OECDs utviklingskomite (DAC) av øremerket bistand til Ukraina. 2023 er den mest oppdaterte statistikken for landfordelt internasjonal bistand.</w:t>
      </w:r>
    </w:p>
    <w:p>
      <w:pPr>
        <w:pStyle w:val="BodyText"/>
      </w:pPr>
      <w:r>
        <w:drawing>
          <wp:inline>
            <wp:extent cx="3682147" cy="2209288"/>
            <wp:effectExtent b="0" l="0" r="0" t="0"/>
            <wp:docPr descr="" title="" id="21" name="Picture"/>
            <a:graphic>
              <a:graphicData uri="http://schemas.openxmlformats.org/drawingml/2006/picture">
                <pic:pic>
                  <pic:nvPicPr>
                    <pic:cNvPr descr="C:/Users/aaw262/AppData/Local/Temp/RtmpWCTnwG/file45243ff63559_files/figure-docx/print-plot-internasjonal-1.png" id="22" name="Picture"/>
                    <pic:cNvPicPr>
                      <a:picLocks noChangeArrowheads="1" noChangeAspect="1"/>
                    </pic:cNvPicPr>
                  </pic:nvPicPr>
                  <pic:blipFill>
                    <a:blip r:embed="rId20"/>
                    <a:stretch>
                      <a:fillRect/>
                    </a:stretch>
                  </pic:blipFill>
                  <pic:spPr bwMode="auto">
                    <a:xfrm>
                      <a:off x="0" y="0"/>
                      <a:ext cx="3682147" cy="2209288"/>
                    </a:xfrm>
                    <a:prstGeom prst="rect">
                      <a:avLst/>
                    </a:prstGeom>
                    <a:noFill/>
                    <a:ln w="9525">
                      <a:noFill/>
                      <a:headEnd/>
                      <a:tailEnd/>
                    </a:ln>
                  </pic:spPr>
                </pic:pic>
              </a:graphicData>
            </a:graphic>
          </wp:inline>
        </w:drawing>
      </w:r>
    </w:p>
    <w:bookmarkEnd w:id="23"/>
    <w:bookmarkStart w:id="39" w:name="norsk-bistand-til-ukraina"/>
    <w:p>
      <w:pPr>
        <w:pStyle w:val="Heading1"/>
      </w:pPr>
      <w:r>
        <w:rPr>
          <w:rStyle w:val="SectionNumber"/>
        </w:rPr>
        <w:t xml:space="preserve">2</w:t>
      </w:r>
      <w:r>
        <w:tab/>
      </w:r>
      <w:r>
        <w:t xml:space="preserve">Norsk bistand til Ukraina</w:t>
      </w:r>
    </w:p>
    <w:p>
      <w:pPr>
        <w:pStyle w:val="FirstParagraph"/>
      </w:pPr>
      <w:r>
        <w:t xml:space="preserve">I 2023 utbetalte Norge 7946 millioner kroner øremerket bistand til Ukraina gjennom bilaterale og multilaterale kanaler</w:t>
      </w:r>
      <w:r>
        <w:rPr>
          <w:rStyle w:val="FootnoteReference"/>
        </w:rPr>
        <w:footnoteReference w:id="24"/>
      </w:r>
      <w:r>
        <w:t xml:space="preserve">. I tillegg viser beregninger at landet har mottatt bistand fra norsk kjernestøtte til multilaterale organisasjoner</w:t>
      </w:r>
      <w:r>
        <w:rPr>
          <w:rStyle w:val="FootnoteReference"/>
        </w:rPr>
        <w:footnoteReference w:id="26"/>
      </w:r>
      <w:r>
        <w:t xml:space="preserve">.</w:t>
      </w:r>
      <w:r>
        <w:t xml:space="preserv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3495"/>
        <w:gridCol w:w="756"/>
        <w:gridCol w:w="756"/>
        <w:gridCol w:w="756"/>
        <w:gridCol w:w="756"/>
        <w:gridCol w:w="756"/>
        <w:gridCol w:w="756"/>
        <w:gridCol w:w="756"/>
        <w:gridCol w:w="817"/>
        <w:gridCol w:w="817"/>
      </w:tblGrid>
      <w:tr>
        <w:trPr>
          <w:cantSplit/>
          <w:trHeight w:val="470" w:hRule="auto"/>
          <w:tblHeader/>
        </w:trPr>
        header1
        <w:tc>
          <w:tcPr>
            <w:gridSpan w:val="10"/>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true"/>
                <w:u w:val="none"/>
                <w:sz w:val="22"/>
                <w:szCs w:val="22"/>
                <w:color w:val="000000"/>
              </w:rPr>
              <w:t xml:space="preserve">Bistand til Ukraina 2015-2023, fordelt på type bistand. NOK mill.</w:t>
            </w:r>
          </w:p>
        </w:tc>
      </w:tr>
      <w:tr>
        <w:trPr>
          <w:cantSplit/>
          <w:trHeight w:val="470" w:hRule="auto"/>
          <w:tblHeader/>
        </w:trPr>
        header2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Type bistand</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2015</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2016</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2017</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2018</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2019</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2020</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2021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2022</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2023</w:t>
            </w:r>
          </w:p>
        </w:tc>
      </w:tr>
      <w:tr>
        <w:trPr>
          <w:cantSplit/>
          <w:trHeight w:val="436" w:hRule="auto"/>
        </w:trPr>
        body1
        <w:tc>
          <w:tcPr>
            <w:tcBorders>
              <w:bottom w:val="none" w:sz="0" w:space="0" w:color="000000"/>
              <w:top w:val="single" w:sz="8" w:space="0" w:color="000000"/>
              <w:left w:val="none" w:sz="0" w:space="0" w:color="000000"/>
              <w:right w:val="none" w:sz="0" w:space="0" w:color="000000"/>
            </w:tcBorders>
            <w:shd w:val="clear" w:color="auto" w:fill="B4EAC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Øremerket bistand</w:t>
            </w:r>
          </w:p>
        </w:tc>
        <w:tc>
          <w:tcPr>
            <w:tcBorders>
              <w:bottom w:val="none" w:sz="0" w:space="0" w:color="000000"/>
              <w:top w:val="single" w:sz="8" w:space="0" w:color="000000"/>
              <w:left w:val="none" w:sz="0" w:space="0" w:color="000000"/>
              <w:right w:val="none" w:sz="0" w:space="0" w:color="000000"/>
            </w:tcBorders>
            <w:shd w:val="clear" w:color="auto" w:fill="B4EAC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323</w:t>
            </w:r>
          </w:p>
        </w:tc>
        <w:tc>
          <w:tcPr>
            <w:tcBorders>
              <w:bottom w:val="none" w:sz="0" w:space="0" w:color="000000"/>
              <w:top w:val="single" w:sz="8" w:space="0" w:color="000000"/>
              <w:left w:val="none" w:sz="0" w:space="0" w:color="000000"/>
              <w:right w:val="none" w:sz="0" w:space="0" w:color="000000"/>
            </w:tcBorders>
            <w:shd w:val="clear" w:color="auto" w:fill="B4EAC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117</w:t>
            </w:r>
          </w:p>
        </w:tc>
        <w:tc>
          <w:tcPr>
            <w:tcBorders>
              <w:bottom w:val="none" w:sz="0" w:space="0" w:color="000000"/>
              <w:top w:val="single" w:sz="8" w:space="0" w:color="000000"/>
              <w:left w:val="none" w:sz="0" w:space="0" w:color="000000"/>
              <w:right w:val="none" w:sz="0" w:space="0" w:color="000000"/>
            </w:tcBorders>
            <w:shd w:val="clear" w:color="auto" w:fill="B4EAC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205</w:t>
            </w:r>
          </w:p>
        </w:tc>
        <w:tc>
          <w:tcPr>
            <w:tcBorders>
              <w:bottom w:val="none" w:sz="0" w:space="0" w:color="000000"/>
              <w:top w:val="single" w:sz="8" w:space="0" w:color="000000"/>
              <w:left w:val="none" w:sz="0" w:space="0" w:color="000000"/>
              <w:right w:val="none" w:sz="0" w:space="0" w:color="000000"/>
            </w:tcBorders>
            <w:shd w:val="clear" w:color="auto" w:fill="B4EAC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183</w:t>
            </w:r>
          </w:p>
        </w:tc>
        <w:tc>
          <w:tcPr>
            <w:tcBorders>
              <w:bottom w:val="none" w:sz="0" w:space="0" w:color="000000"/>
              <w:top w:val="single" w:sz="8" w:space="0" w:color="000000"/>
              <w:left w:val="none" w:sz="0" w:space="0" w:color="000000"/>
              <w:right w:val="none" w:sz="0" w:space="0" w:color="000000"/>
            </w:tcBorders>
            <w:shd w:val="clear" w:color="auto" w:fill="B4EAC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227</w:t>
            </w:r>
          </w:p>
        </w:tc>
        <w:tc>
          <w:tcPr>
            <w:tcBorders>
              <w:bottom w:val="none" w:sz="0" w:space="0" w:color="000000"/>
              <w:top w:val="single" w:sz="8" w:space="0" w:color="000000"/>
              <w:left w:val="none" w:sz="0" w:space="0" w:color="000000"/>
              <w:right w:val="none" w:sz="0" w:space="0" w:color="000000"/>
            </w:tcBorders>
            <w:shd w:val="clear" w:color="auto" w:fill="B4EAC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226</w:t>
            </w:r>
          </w:p>
        </w:tc>
        <w:tc>
          <w:tcPr>
            <w:tcBorders>
              <w:bottom w:val="none" w:sz="0" w:space="0" w:color="000000"/>
              <w:top w:val="single" w:sz="8" w:space="0" w:color="000000"/>
              <w:left w:val="none" w:sz="0" w:space="0" w:color="000000"/>
              <w:right w:val="none" w:sz="0" w:space="0" w:color="000000"/>
            </w:tcBorders>
            <w:shd w:val="clear" w:color="auto" w:fill="B4EAC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159</w:t>
            </w:r>
          </w:p>
        </w:tc>
        <w:tc>
          <w:tcPr>
            <w:tcBorders>
              <w:bottom w:val="none" w:sz="0" w:space="0" w:color="000000"/>
              <w:top w:val="single" w:sz="8" w:space="0" w:color="000000"/>
              <w:left w:val="none" w:sz="0" w:space="0" w:color="000000"/>
              <w:right w:val="none" w:sz="0" w:space="0" w:color="000000"/>
            </w:tcBorders>
            <w:shd w:val="clear" w:color="auto" w:fill="B4EAC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5 298</w:t>
            </w:r>
          </w:p>
        </w:tc>
        <w:tc>
          <w:tcPr>
            <w:tcBorders>
              <w:bottom w:val="none" w:sz="0" w:space="0" w:color="000000"/>
              <w:top w:val="single" w:sz="8" w:space="0" w:color="000000"/>
              <w:left w:val="none" w:sz="0" w:space="0" w:color="000000"/>
              <w:right w:val="none" w:sz="0" w:space="0" w:color="000000"/>
            </w:tcBorders>
            <w:shd w:val="clear" w:color="auto" w:fill="B4EAC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7 946</w:t>
            </w:r>
          </w:p>
        </w:tc>
      </w:tr>
      <w:tr>
        <w:trPr>
          <w:cantSplit/>
          <w:trHeight w:val="470" w:hRule="auto"/>
        </w:trPr>
        body2
        <w:tc>
          <w:tcPr>
            <w:tcBorders>
              <w:bottom w:val="single" w:sz="8" w:space="0" w:color="000000"/>
              <w:top w:val="none" w:sz="0" w:space="0" w:color="000000"/>
              <w:left w:val="none" w:sz="0" w:space="0" w:color="000000"/>
              <w:right w:val="none" w:sz="0" w:space="0" w:color="000000"/>
            </w:tcBorders>
            <w:shd w:val="clear" w:color="auto" w:fill="FFA27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Beregnet multilateral kjernestøtte</w:t>
            </w:r>
          </w:p>
        </w:tc>
        <w:tc>
          <w:tcPr>
            <w:tcBorders>
              <w:bottom w:val="single" w:sz="8" w:space="0" w:color="000000"/>
              <w:top w:val="none" w:sz="0" w:space="0" w:color="000000"/>
              <w:left w:val="none" w:sz="0" w:space="0" w:color="000000"/>
              <w:right w:val="none" w:sz="0" w:space="0" w:color="000000"/>
            </w:tcBorders>
            <w:shd w:val="clear" w:color="auto" w:fill="FFA274"/>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 19</w:t>
            </w:r>
          </w:p>
        </w:tc>
        <w:tc>
          <w:tcPr>
            <w:tcBorders>
              <w:bottom w:val="single" w:sz="8" w:space="0" w:color="000000"/>
              <w:top w:val="none" w:sz="0" w:space="0" w:color="000000"/>
              <w:left w:val="none" w:sz="0" w:space="0" w:color="000000"/>
              <w:right w:val="none" w:sz="0" w:space="0" w:color="000000"/>
            </w:tcBorders>
            <w:shd w:val="clear" w:color="auto" w:fill="FFA274"/>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 24</w:t>
            </w:r>
          </w:p>
        </w:tc>
        <w:tc>
          <w:tcPr>
            <w:tcBorders>
              <w:bottom w:val="single" w:sz="8" w:space="0" w:color="000000"/>
              <w:top w:val="none" w:sz="0" w:space="0" w:color="000000"/>
              <w:left w:val="none" w:sz="0" w:space="0" w:color="000000"/>
              <w:right w:val="none" w:sz="0" w:space="0" w:color="000000"/>
            </w:tcBorders>
            <w:shd w:val="clear" w:color="auto" w:fill="FFA274"/>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 14</w:t>
            </w:r>
          </w:p>
        </w:tc>
        <w:tc>
          <w:tcPr>
            <w:tcBorders>
              <w:bottom w:val="single" w:sz="8" w:space="0" w:color="000000"/>
              <w:top w:val="none" w:sz="0" w:space="0" w:color="000000"/>
              <w:left w:val="none" w:sz="0" w:space="0" w:color="000000"/>
              <w:right w:val="none" w:sz="0" w:space="0" w:color="000000"/>
            </w:tcBorders>
            <w:shd w:val="clear" w:color="auto" w:fill="FFA274"/>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 21</w:t>
            </w:r>
          </w:p>
        </w:tc>
        <w:tc>
          <w:tcPr>
            <w:tcBorders>
              <w:bottom w:val="single" w:sz="8" w:space="0" w:color="000000"/>
              <w:top w:val="none" w:sz="0" w:space="0" w:color="000000"/>
              <w:left w:val="none" w:sz="0" w:space="0" w:color="000000"/>
              <w:right w:val="none" w:sz="0" w:space="0" w:color="000000"/>
            </w:tcBorders>
            <w:shd w:val="clear" w:color="auto" w:fill="FFA274"/>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 28</w:t>
            </w:r>
          </w:p>
        </w:tc>
        <w:tc>
          <w:tcPr>
            <w:tcBorders>
              <w:bottom w:val="single" w:sz="8" w:space="0" w:color="000000"/>
              <w:top w:val="none" w:sz="0" w:space="0" w:color="000000"/>
              <w:left w:val="none" w:sz="0" w:space="0" w:color="000000"/>
              <w:right w:val="none" w:sz="0" w:space="0" w:color="000000"/>
            </w:tcBorders>
            <w:shd w:val="clear" w:color="auto" w:fill="FFA274"/>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 25</w:t>
            </w:r>
          </w:p>
        </w:tc>
        <w:tc>
          <w:tcPr>
            <w:tcBorders>
              <w:bottom w:val="single" w:sz="8" w:space="0" w:color="000000"/>
              <w:top w:val="none" w:sz="0" w:space="0" w:color="000000"/>
              <w:left w:val="none" w:sz="0" w:space="0" w:color="000000"/>
              <w:right w:val="none" w:sz="0" w:space="0" w:color="000000"/>
            </w:tcBorders>
            <w:shd w:val="clear" w:color="auto" w:fill="FFA274"/>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 38</w:t>
            </w:r>
          </w:p>
        </w:tc>
        <w:tc>
          <w:tcPr>
            <w:tcBorders>
              <w:bottom w:val="single" w:sz="8" w:space="0" w:color="000000"/>
              <w:top w:val="none" w:sz="0" w:space="0" w:color="000000"/>
              <w:left w:val="none" w:sz="0" w:space="0" w:color="000000"/>
              <w:right w:val="none" w:sz="0" w:space="0" w:color="000000"/>
            </w:tcBorders>
            <w:shd w:val="clear" w:color="auto" w:fill="FFA274"/>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   68</w:t>
            </w:r>
          </w:p>
        </w:tc>
        <w:tc>
          <w:tcPr>
            <w:tcBorders>
              <w:bottom w:val="single" w:sz="8" w:space="0" w:color="000000"/>
              <w:top w:val="none" w:sz="0" w:space="0" w:color="000000"/>
              <w:left w:val="none" w:sz="0" w:space="0" w:color="000000"/>
              <w:right w:val="none" w:sz="0" w:space="0" w:color="000000"/>
            </w:tcBorders>
            <w:shd w:val="clear" w:color="auto" w:fill="FFA274"/>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   46</w:t>
            </w:r>
          </w:p>
        </w:tc>
      </w:tr>
      <w:tr>
        <w:trPr>
          <w:cantSplit/>
          <w:trHeight w:val="428" w:hRule="auto"/>
        </w:trPr>
        body3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Total</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342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141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219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204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256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252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197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5 366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7 992</w:t>
            </w:r>
          </w:p>
        </w:tc>
      </w:tr>
    </w:tbl>
    <w:bookmarkStart w:id="33" w:name="norsk-øremerket-bistand-i-2023"/>
    <w:p>
      <w:pPr>
        <w:pStyle w:val="Heading2"/>
      </w:pPr>
      <w:r>
        <w:rPr>
          <w:rStyle w:val="SectionNumber"/>
        </w:rPr>
        <w:t xml:space="preserve">2.1</w:t>
      </w:r>
      <w:r>
        <w:tab/>
      </w:r>
      <w:r>
        <w:t xml:space="preserve">Norsk øremerket bistand i 2023</w:t>
      </w:r>
    </w:p>
    <w:p>
      <w:pPr>
        <w:pStyle w:val="FirstParagraph"/>
      </w:pPr>
      <w:r>
        <w:t xml:space="preserve">I 2023 var mest av den øremerkede bistanden til Ukraina rettet mot Multisektor og annet (3 135 mill), Nødhjelp (2 237 mill) og Miljø og energi (1 923 mill).</w:t>
      </w:r>
    </w:p>
    <w:p>
      <w:pPr>
        <w:pStyle w:val="BodyText"/>
      </w:pPr>
      <w:r>
        <w:drawing>
          <wp:inline>
            <wp:extent cx="3682147" cy="2025181"/>
            <wp:effectExtent b="0" l="0" r="0" t="0"/>
            <wp:docPr descr="" title="" id="28" name="Picture"/>
            <a:graphic>
              <a:graphicData uri="http://schemas.openxmlformats.org/drawingml/2006/picture">
                <pic:pic>
                  <pic:nvPicPr>
                    <pic:cNvPr descr="C:/Users/aaw262/AppData/Local/Temp/RtmpWCTnwG/file45243ff63559_files/figure-docx/tema_plot_print-1.png" id="29" name="Picture"/>
                    <pic:cNvPicPr>
                      <a:picLocks noChangeArrowheads="1" noChangeAspect="1"/>
                    </pic:cNvPicPr>
                  </pic:nvPicPr>
                  <pic:blipFill>
                    <a:blip r:embed="rId27"/>
                    <a:stretch>
                      <a:fillRect/>
                    </a:stretch>
                  </pic:blipFill>
                  <pic:spPr bwMode="auto">
                    <a:xfrm>
                      <a:off x="0" y="0"/>
                      <a:ext cx="3682147" cy="2025181"/>
                    </a:xfrm>
                    <a:prstGeom prst="rect">
                      <a:avLst/>
                    </a:prstGeom>
                    <a:noFill/>
                    <a:ln w="9525">
                      <a:noFill/>
                      <a:headEnd/>
                      <a:tailEnd/>
                    </a:ln>
                  </pic:spPr>
                </pic:pic>
              </a:graphicData>
            </a:graphic>
          </wp:inline>
        </w:drawing>
      </w:r>
    </w:p>
    <w:p>
      <w:pPr>
        <w:pStyle w:val="BodyText"/>
      </w:pPr>
      <w:r>
        <w:t xml:space="preserve">I 2023 ble mest av den øremerkede bistanden til Ukraina gitt gjennom Multilaterale organisasjoner (6 503 mill), Norske ikke-statlige organisasjoner (1 064 mill) og Offentlig sektor i Norge/ andre giverland ( 325 mill).</w:t>
      </w:r>
    </w:p>
    <w:p>
      <w:pPr>
        <w:pStyle w:val="BodyText"/>
      </w:pPr>
      <w:r>
        <w:drawing>
          <wp:inline>
            <wp:extent cx="3682147" cy="2025181"/>
            <wp:effectExtent b="0" l="0" r="0" t="0"/>
            <wp:docPr descr="" title="" id="31" name="Picture"/>
            <a:graphic>
              <a:graphicData uri="http://schemas.openxmlformats.org/drawingml/2006/picture">
                <pic:pic>
                  <pic:nvPicPr>
                    <pic:cNvPr descr="C:/Users/aaw262/AppData/Local/Temp/RtmpWCTnwG/file45243ff63559_files/figure-docx/partnertype_plot_print-1.png" id="32" name="Picture"/>
                    <pic:cNvPicPr>
                      <a:picLocks noChangeArrowheads="1" noChangeAspect="1"/>
                    </pic:cNvPicPr>
                  </pic:nvPicPr>
                  <pic:blipFill>
                    <a:blip r:embed="rId30"/>
                    <a:stretch>
                      <a:fillRect/>
                    </a:stretch>
                  </pic:blipFill>
                  <pic:spPr bwMode="auto">
                    <a:xfrm>
                      <a:off x="0" y="0"/>
                      <a:ext cx="3682147" cy="2025181"/>
                    </a:xfrm>
                    <a:prstGeom prst="rect">
                      <a:avLst/>
                    </a:prstGeom>
                    <a:noFill/>
                    <a:ln w="9525">
                      <a:noFill/>
                      <a:headEnd/>
                      <a:tailEnd/>
                    </a:ln>
                  </pic:spPr>
                </pic:pic>
              </a:graphicData>
            </a:graphic>
          </wp:inline>
        </w:drawing>
      </w:r>
    </w:p>
    <w:p>
      <w:pPr>
        <w:pStyle w:val="BodyText"/>
      </w:pPr>
      <w:r>
        <w:t xml:space="preserve">De tre største partnerne for den øremerkede bistanden til Ukraina i 2023 var IBRD - International Bank for Reconstruction and Development (2135 mill), EBRD - European Bank for Reconstruction and Development (1590 mill) og IDA - International Development Association (1000 mill).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6502"/>
        <w:gridCol w:w="1134"/>
      </w:tblGrid>
      <w:tr>
        <w:trPr>
          <w:trHeight w:val="360" w:hRule="exact"/>
          <w:tblHeader/>
        </w:trPr>
        header 1
        <w:tc>
          <w:tcPr>
            <w:gridSpan w:val="2"/>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true"/>
                <w:u w:val="none"/>
                <w:sz w:val="22"/>
                <w:szCs w:val="22"/>
                <w:color w:val="000000"/>
              </w:rPr>
              <w:t xml:space="preserve">Avtalepartnere, øremerket bistand til Ukraina i 2023</w:t>
            </w:r>
          </w:p>
        </w:tc>
      </w:tr>
      <w:tr>
        <w:trPr>
          <w:trHeight w:val="360" w:hRule="exact"/>
          <w:tblHeader/>
        </w:trPr>
        header 2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Avtalepartner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NOK mill</w:t>
            </w:r>
          </w:p>
        </w:tc>
      </w:tr>
      <w:tr>
        <w:trPr>
          <w:trHeight w:val="360" w:hRule="exact"/>
        </w:trPr>
        body 1
        <w:tc>
          <w:tcPr>
            <w:tcBorders>
              <w:bottom w:val="none" w:sz="0" w:space="0" w:color="000000"/>
              <w:top w:val="single" w:sz="8" w:space="0" w:color="000000"/>
              <w:left w:val="none" w:sz="0" w:space="0" w:color="000000"/>
              <w:right w:val="none" w:sz="0" w:space="0" w:color="000000"/>
            </w:tcBorders>
            <w:shd w:val="clear" w:color="auto" w:fill="B4EAC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IBRD - International Bank for Reconstruction and Development</w:t>
            </w:r>
          </w:p>
        </w:tc>
        <w:tc>
          <w:tcPr>
            <w:tcBorders>
              <w:bottom w:val="none" w:sz="0" w:space="0" w:color="000000"/>
              <w:top w:val="single" w:sz="8" w:space="0" w:color="000000"/>
              <w:left w:val="none" w:sz="0" w:space="0" w:color="000000"/>
              <w:right w:val="none" w:sz="0" w:space="0" w:color="000000"/>
            </w:tcBorders>
            <w:shd w:val="clear" w:color="auto" w:fill="B4EAC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2135</w:t>
            </w:r>
          </w:p>
        </w:tc>
      </w:tr>
      <w:tr>
        <w:trPr>
          <w:trHeight w:val="360" w:hRule="exact"/>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EBRD - European Bank for Reconstruction and Development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1590</w:t>
            </w:r>
          </w:p>
        </w:tc>
      </w:tr>
      <w:tr>
        <w:trPr>
          <w:trHeight w:val="360" w:hRule="exact"/>
        </w:trPr>
        body 3
        <w:tc>
          <w:tcPr>
            <w:tcBorders>
              <w:bottom w:val="none" w:sz="0" w:space="0" w:color="000000"/>
              <w:top w:val="none" w:sz="0" w:space="0" w:color="000000"/>
              <w:left w:val="none" w:sz="0" w:space="0" w:color="000000"/>
              <w:right w:val="none" w:sz="0" w:space="0" w:color="000000"/>
            </w:tcBorders>
            <w:shd w:val="clear" w:color="auto" w:fill="B4EAC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IDA - International Development Association</w:t>
            </w:r>
          </w:p>
        </w:tc>
        <w:tc>
          <w:tcPr>
            <w:tcBorders>
              <w:bottom w:val="none" w:sz="0" w:space="0" w:color="000000"/>
              <w:top w:val="none" w:sz="0" w:space="0" w:color="000000"/>
              <w:left w:val="none" w:sz="0" w:space="0" w:color="000000"/>
              <w:right w:val="none" w:sz="0" w:space="0" w:color="000000"/>
            </w:tcBorders>
            <w:shd w:val="clear" w:color="auto" w:fill="B4EAC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1000</w:t>
            </w:r>
          </w:p>
        </w:tc>
      </w:tr>
      <w:tr>
        <w:trPr>
          <w:trHeight w:val="360" w:hRule="exact"/>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Norges Røde Kors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535</w:t>
            </w:r>
          </w:p>
        </w:tc>
      </w:tr>
      <w:tr>
        <w:trPr>
          <w:trHeight w:val="360" w:hRule="exact"/>
        </w:trPr>
        body 5
        <w:tc>
          <w:tcPr>
            <w:tcBorders>
              <w:bottom w:val="none" w:sz="0" w:space="0" w:color="000000"/>
              <w:top w:val="none" w:sz="0" w:space="0" w:color="000000"/>
              <w:left w:val="none" w:sz="0" w:space="0" w:color="000000"/>
              <w:right w:val="none" w:sz="0" w:space="0" w:color="000000"/>
            </w:tcBorders>
            <w:shd w:val="clear" w:color="auto" w:fill="B4EAC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WFP - World Food Programme</w:t>
            </w:r>
          </w:p>
        </w:tc>
        <w:tc>
          <w:tcPr>
            <w:tcBorders>
              <w:bottom w:val="none" w:sz="0" w:space="0" w:color="000000"/>
              <w:top w:val="none" w:sz="0" w:space="0" w:color="000000"/>
              <w:left w:val="none" w:sz="0" w:space="0" w:color="000000"/>
              <w:right w:val="none" w:sz="0" w:space="0" w:color="000000"/>
            </w:tcBorders>
            <w:shd w:val="clear" w:color="auto" w:fill="B4EAC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290</w:t>
            </w:r>
          </w:p>
        </w:tc>
      </w:tr>
      <w:tr>
        <w:trPr>
          <w:trHeight w:val="360" w:hRule="exact"/>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MIGA - Multilateral Investment Guarantee Agency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240</w:t>
            </w:r>
          </w:p>
        </w:tc>
      </w:tr>
      <w:tr>
        <w:trPr>
          <w:trHeight w:val="360" w:hRule="exact"/>
        </w:trPr>
        body 7
        <w:tc>
          <w:tcPr>
            <w:tcBorders>
              <w:bottom w:val="none" w:sz="0" w:space="0" w:color="000000"/>
              <w:top w:val="none" w:sz="0" w:space="0" w:color="000000"/>
              <w:left w:val="none" w:sz="0" w:space="0" w:color="000000"/>
              <w:right w:val="none" w:sz="0" w:space="0" w:color="000000"/>
            </w:tcBorders>
            <w:shd w:val="clear" w:color="auto" w:fill="B4EAC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Flyktninghjelpen</w:t>
            </w:r>
          </w:p>
        </w:tc>
        <w:tc>
          <w:tcPr>
            <w:tcBorders>
              <w:bottom w:val="none" w:sz="0" w:space="0" w:color="000000"/>
              <w:top w:val="none" w:sz="0" w:space="0" w:color="000000"/>
              <w:left w:val="none" w:sz="0" w:space="0" w:color="000000"/>
              <w:right w:val="none" w:sz="0" w:space="0" w:color="000000"/>
            </w:tcBorders>
            <w:shd w:val="clear" w:color="auto" w:fill="B4EAC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215</w:t>
            </w:r>
          </w:p>
        </w:tc>
      </w:tr>
      <w:tr>
        <w:trPr>
          <w:trHeight w:val="360" w:hRule="exact"/>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UNOCHA - UN Office of Co-ordination of Humanitarian Affairs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210</w:t>
            </w:r>
          </w:p>
        </w:tc>
      </w:tr>
      <w:tr>
        <w:trPr>
          <w:trHeight w:val="360" w:hRule="exact"/>
        </w:trPr>
        body 9
        <w:tc>
          <w:tcPr>
            <w:tcBorders>
              <w:bottom w:val="none" w:sz="0" w:space="0" w:color="000000"/>
              <w:top w:val="none" w:sz="0" w:space="0" w:color="000000"/>
              <w:left w:val="none" w:sz="0" w:space="0" w:color="000000"/>
              <w:right w:val="none" w:sz="0" w:space="0" w:color="000000"/>
            </w:tcBorders>
            <w:shd w:val="clear" w:color="auto" w:fill="B4EAC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UNHCR - UN Office of the UN High Commissioner for Refugees</w:t>
            </w:r>
          </w:p>
        </w:tc>
        <w:tc>
          <w:tcPr>
            <w:tcBorders>
              <w:bottom w:val="none" w:sz="0" w:space="0" w:color="000000"/>
              <w:top w:val="none" w:sz="0" w:space="0" w:color="000000"/>
              <w:left w:val="none" w:sz="0" w:space="0" w:color="000000"/>
              <w:right w:val="none" w:sz="0" w:space="0" w:color="000000"/>
            </w:tcBorders>
            <w:shd w:val="clear" w:color="auto" w:fill="B4EAC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197</w:t>
            </w:r>
          </w:p>
        </w:tc>
      </w:tr>
      <w:tr>
        <w:trPr>
          <w:trHeight w:val="360" w:hRule="exact"/>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UNICEF - United Nations Children's Fund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162</w:t>
            </w:r>
          </w:p>
        </w:tc>
      </w:tr>
      <w:tr>
        <w:trPr>
          <w:trHeight w:val="360" w:hRule="exact"/>
        </w:trPr>
        body11
        <w:tc>
          <w:tcPr>
            <w:tcBorders>
              <w:bottom w:val="single" w:sz="8" w:space="0" w:color="000000"/>
              <w:top w:val="none" w:sz="0" w:space="0" w:color="000000"/>
              <w:left w:val="none" w:sz="0" w:space="0" w:color="000000"/>
              <w:right w:val="none" w:sz="0" w:space="0" w:color="000000"/>
            </w:tcBorders>
            <w:shd w:val="clear" w:color="auto" w:fill="B4EAC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Andre partnere</w:t>
            </w:r>
          </w:p>
        </w:tc>
        <w:tc>
          <w:tcPr>
            <w:tcBorders>
              <w:bottom w:val="single" w:sz="8" w:space="0" w:color="000000"/>
              <w:top w:val="none" w:sz="0" w:space="0" w:color="000000"/>
              <w:left w:val="none" w:sz="0" w:space="0" w:color="000000"/>
              <w:right w:val="none" w:sz="0" w:space="0" w:color="000000"/>
            </w:tcBorders>
            <w:shd w:val="clear" w:color="auto" w:fill="B4EAC9"/>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1372</w:t>
            </w:r>
          </w:p>
        </w:tc>
      </w:tr>
      <w:tr>
        <w:trPr>
          <w:trHeight w:val="360" w:hRule="exact"/>
        </w:trPr>
        body12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Total</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7946</w:t>
            </w:r>
          </w:p>
        </w:tc>
      </w:tr>
    </w:tbl>
    <w:bookmarkEnd w:id="33"/>
    <w:bookmarkStart w:id="38" w:name="Xa79f8e920691dac569d2cb3d08dd64429fad008"/>
    <w:p>
      <w:pPr>
        <w:pStyle w:val="Heading2"/>
      </w:pPr>
      <w:r>
        <w:rPr>
          <w:rStyle w:val="SectionNumber"/>
        </w:rPr>
        <w:t xml:space="preserve">2.2</w:t>
      </w:r>
      <w:r>
        <w:tab/>
      </w:r>
      <w:r>
        <w:t xml:space="preserve">Beregnet norsk multilateral kjernestøtte til Ukraina</w:t>
      </w:r>
    </w:p>
    <w:p>
      <w:pPr>
        <w:pStyle w:val="FirstParagraph"/>
      </w:pPr>
      <w:r>
        <w:t xml:space="preserve">OECDs beregninger tilsier at Ukraina mottok 46 millioner kroner av Norges kjernestøtte til multilaterale organisasjoner i 2023</w:t>
      </w:r>
      <w:r>
        <w:rPr>
          <w:rStyle w:val="FootnoteReference"/>
        </w:rPr>
        <w:footnoteReference w:id="34"/>
      </w:r>
      <w:r>
        <w:t xml:space="preserve">.</w:t>
      </w:r>
      <w:r>
        <w:t xml:space="preserve"> </w:t>
      </w:r>
    </w:p>
    <w:p>
      <w:pPr>
        <w:pStyle w:val="BodyText"/>
      </w:pPr>
      <w:r>
        <w:t xml:space="preserve">Tabellen under viser organisasjonsfordelingen av beregnet norsk multilateral kjernestøtte til Ukraina i 2023</w:t>
      </w:r>
      <w:r>
        <w:rPr>
          <w:rStyle w:val="FootnoteReference"/>
        </w:rPr>
        <w:footnoteReference w:id="35"/>
      </w:r>
      <w:r>
        <w:t xml:space="preserve">.</w:t>
      </w:r>
    </w:p>
    <w:p>
      <w:pPr>
        <w:pStyle w:val="BodyText"/>
      </w:pPr>
      <w:r>
        <w:t xml:space="preserve">De tre største partnerne for den beregnede multilaterale kjernestøtten til Ukraina i 2023 var IBRD - International Bank for Reconstruction and Development (24 mill), GFATM - Global Fund to Fight AIDS, Tuberculosis and Malaria (8 mill) og WFP - World Food Programme (4 mill).</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start"/>
        <w:tblLook w:firstRow="1" w:lastRow="0" w:firstColumn="0" w:lastColumn="0" w:noHBand="0" w:noVBand="1"/>
      </w:tblPr>
      <w:tblGrid>
        <w:gridCol w:w="6393"/>
        <w:gridCol w:w="1134"/>
      </w:tblGrid>
      <w:tr>
        <w:trPr>
          <w:trHeight w:val="360" w:hRule="exact"/>
          <w:tblHeader/>
        </w:trPr>
        header 1
        <w:tc>
          <w:tcPr>
            <w:gridSpan w:val="2"/>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tru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true"/>
                <w:u w:val="none"/>
                <w:sz w:val="22"/>
                <w:szCs w:val="22"/>
                <w:color w:val="000000"/>
              </w:rPr>
              <w:t xml:space="preserve">Avtalepartnere, beregnet multilateral kjernestøtte til Ukraina i 2023</w:t>
            </w:r>
          </w:p>
        </w:tc>
      </w:tr>
      <w:tr>
        <w:trPr>
          <w:trHeight w:val="360" w:hRule="exact"/>
          <w:tblHeader/>
        </w:trPr>
        header 2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Avtalepartner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NOK mill</w:t>
            </w:r>
          </w:p>
        </w:tc>
      </w:tr>
      <w:tr>
        <w:trPr>
          <w:trHeight w:val="360" w:hRule="exact"/>
        </w:trPr>
        body 1
        <w:tc>
          <w:tcPr>
            <w:tcBorders>
              <w:bottom w:val="none" w:sz="0" w:space="0" w:color="000000"/>
              <w:top w:val="single" w:sz="8" w:space="0" w:color="000000"/>
              <w:left w:val="none" w:sz="0" w:space="0" w:color="000000"/>
              <w:right w:val="none" w:sz="0" w:space="0" w:color="000000"/>
            </w:tcBorders>
            <w:shd w:val="clear" w:color="auto" w:fill="FFA27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IBRD - International Bank for Reconstruction and Development</w:t>
            </w:r>
          </w:p>
        </w:tc>
        <w:tc>
          <w:tcPr>
            <w:tcBorders>
              <w:bottom w:val="none" w:sz="0" w:space="0" w:color="000000"/>
              <w:top w:val="single" w:sz="8" w:space="0" w:color="000000"/>
              <w:left w:val="none" w:sz="0" w:space="0" w:color="000000"/>
              <w:right w:val="none" w:sz="0" w:space="0" w:color="000000"/>
            </w:tcBorders>
            <w:shd w:val="clear" w:color="auto" w:fill="FFA274"/>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24</w:t>
            </w:r>
          </w:p>
        </w:tc>
      </w:tr>
      <w:tr>
        <w:trPr>
          <w:trHeight w:val="360" w:hRule="exact"/>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GFATM - Global Fund to Fight AIDS, Tuberculosis and Malaria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8</w:t>
            </w:r>
          </w:p>
        </w:tc>
      </w:tr>
      <w:tr>
        <w:trPr>
          <w:trHeight w:val="360" w:hRule="exact"/>
        </w:trPr>
        body 3
        <w:tc>
          <w:tcPr>
            <w:tcBorders>
              <w:bottom w:val="none" w:sz="0" w:space="0" w:color="000000"/>
              <w:top w:val="none" w:sz="0" w:space="0" w:color="000000"/>
              <w:left w:val="none" w:sz="0" w:space="0" w:color="000000"/>
              <w:right w:val="none" w:sz="0" w:space="0" w:color="000000"/>
            </w:tcBorders>
            <w:shd w:val="clear" w:color="auto" w:fill="FFA27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WFP - World Food Programme</w:t>
            </w:r>
          </w:p>
        </w:tc>
        <w:tc>
          <w:tcPr>
            <w:tcBorders>
              <w:bottom w:val="none" w:sz="0" w:space="0" w:color="000000"/>
              <w:top w:val="none" w:sz="0" w:space="0" w:color="000000"/>
              <w:left w:val="none" w:sz="0" w:space="0" w:color="000000"/>
              <w:right w:val="none" w:sz="0" w:space="0" w:color="000000"/>
            </w:tcBorders>
            <w:shd w:val="clear" w:color="auto" w:fill="FFA274"/>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4</w:t>
            </w:r>
          </w:p>
        </w:tc>
      </w:tr>
      <w:tr>
        <w:trPr>
          <w:trHeight w:val="360" w:hRule="exact"/>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UNDP - UN Development Programme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3</w:t>
            </w:r>
          </w:p>
        </w:tc>
      </w:tr>
      <w:tr>
        <w:trPr>
          <w:trHeight w:val="360" w:hRule="exact"/>
        </w:trPr>
        body 5
        <w:tc>
          <w:tcPr>
            <w:tcBorders>
              <w:bottom w:val="none" w:sz="0" w:space="0" w:color="000000"/>
              <w:top w:val="none" w:sz="0" w:space="0" w:color="000000"/>
              <w:left w:val="none" w:sz="0" w:space="0" w:color="000000"/>
              <w:right w:val="none" w:sz="0" w:space="0" w:color="000000"/>
            </w:tcBorders>
            <w:shd w:val="clear" w:color="auto" w:fill="FFA27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UNFPA - UN Population Fund</w:t>
            </w:r>
          </w:p>
        </w:tc>
        <w:tc>
          <w:tcPr>
            <w:tcBorders>
              <w:bottom w:val="none" w:sz="0" w:space="0" w:color="000000"/>
              <w:top w:val="none" w:sz="0" w:space="0" w:color="000000"/>
              <w:left w:val="none" w:sz="0" w:space="0" w:color="000000"/>
              <w:right w:val="none" w:sz="0" w:space="0" w:color="000000"/>
            </w:tcBorders>
            <w:shd w:val="clear" w:color="auto" w:fill="FFA274"/>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1,5</w:t>
            </w:r>
          </w:p>
        </w:tc>
      </w:tr>
      <w:tr>
        <w:trPr>
          <w:trHeight w:val="360" w:hRule="exact"/>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GEF - Global Environment Facility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1,4</w:t>
            </w:r>
          </w:p>
        </w:tc>
      </w:tr>
      <w:tr>
        <w:trPr>
          <w:trHeight w:val="360" w:hRule="exact"/>
        </w:trPr>
        body 7
        <w:tc>
          <w:tcPr>
            <w:tcBorders>
              <w:bottom w:val="none" w:sz="0" w:space="0" w:color="000000"/>
              <w:top w:val="none" w:sz="0" w:space="0" w:color="000000"/>
              <w:left w:val="none" w:sz="0" w:space="0" w:color="000000"/>
              <w:right w:val="none" w:sz="0" w:space="0" w:color="000000"/>
            </w:tcBorders>
            <w:shd w:val="clear" w:color="auto" w:fill="FFA27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UN Women</w:t>
            </w:r>
          </w:p>
        </w:tc>
        <w:tc>
          <w:tcPr>
            <w:tcBorders>
              <w:bottom w:val="none" w:sz="0" w:space="0" w:color="000000"/>
              <w:top w:val="none" w:sz="0" w:space="0" w:color="000000"/>
              <w:left w:val="none" w:sz="0" w:space="0" w:color="000000"/>
              <w:right w:val="none" w:sz="0" w:space="0" w:color="000000"/>
            </w:tcBorders>
            <w:shd w:val="clear" w:color="auto" w:fill="FFA274"/>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1,2</w:t>
            </w:r>
          </w:p>
        </w:tc>
      </w:tr>
      <w:tr>
        <w:trPr>
          <w:trHeight w:val="360" w:hRule="exact"/>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UNICEF - United Nations Children's Fund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0,9</w:t>
            </w:r>
          </w:p>
        </w:tc>
      </w:tr>
      <w:tr>
        <w:trPr>
          <w:trHeight w:val="360" w:hRule="exact"/>
        </w:trPr>
        body 9
        <w:tc>
          <w:tcPr>
            <w:tcBorders>
              <w:bottom w:val="none" w:sz="0" w:space="0" w:color="000000"/>
              <w:top w:val="none" w:sz="0" w:space="0" w:color="000000"/>
              <w:left w:val="none" w:sz="0" w:space="0" w:color="000000"/>
              <w:right w:val="none" w:sz="0" w:space="0" w:color="000000"/>
            </w:tcBorders>
            <w:shd w:val="clear" w:color="auto" w:fill="FFA27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IFC - International Finance Corporation</w:t>
            </w:r>
          </w:p>
        </w:tc>
        <w:tc>
          <w:tcPr>
            <w:tcBorders>
              <w:bottom w:val="none" w:sz="0" w:space="0" w:color="000000"/>
              <w:top w:val="none" w:sz="0" w:space="0" w:color="000000"/>
              <w:left w:val="none" w:sz="0" w:space="0" w:color="000000"/>
              <w:right w:val="none" w:sz="0" w:space="0" w:color="000000"/>
            </w:tcBorders>
            <w:shd w:val="clear" w:color="auto" w:fill="FFA274"/>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0,8</w:t>
            </w:r>
          </w:p>
        </w:tc>
      </w:tr>
      <w:tr>
        <w:trPr>
          <w:trHeight w:val="360" w:hRule="exact"/>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UNDCO - United Nations Development Coordination Office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0,5</w:t>
            </w:r>
          </w:p>
        </w:tc>
      </w:tr>
      <w:tr>
        <w:trPr>
          <w:trHeight w:val="360" w:hRule="exact"/>
        </w:trPr>
        body11
        <w:tc>
          <w:tcPr>
            <w:tcBorders>
              <w:bottom w:val="single" w:sz="8" w:space="0" w:color="000000"/>
              <w:top w:val="none" w:sz="0" w:space="0" w:color="000000"/>
              <w:left w:val="none" w:sz="0" w:space="0" w:color="000000"/>
              <w:right w:val="none" w:sz="0" w:space="0" w:color="000000"/>
            </w:tcBorders>
            <w:shd w:val="clear" w:color="auto" w:fill="FFA274"/>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Andre partnere</w:t>
            </w:r>
          </w:p>
        </w:tc>
        <w:tc>
          <w:tcPr>
            <w:tcBorders>
              <w:bottom w:val="single" w:sz="8" w:space="0" w:color="000000"/>
              <w:top w:val="none" w:sz="0" w:space="0" w:color="000000"/>
              <w:left w:val="none" w:sz="0" w:space="0" w:color="000000"/>
              <w:right w:val="none" w:sz="0" w:space="0" w:color="000000"/>
            </w:tcBorders>
            <w:shd w:val="clear" w:color="auto" w:fill="FFA274"/>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1,1</w:t>
            </w:r>
          </w:p>
        </w:tc>
      </w:tr>
      <w:tr>
        <w:trPr>
          <w:trHeight w:val="360" w:hRule="exact"/>
        </w:trPr>
        body12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Total</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mbria" w:hAnsi="Cambria" w:eastAsia="Cambria" w:cs="Cambri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mbria" w:hAnsi="Cambria" w:eastAsia="Cambria" w:cs="Cambria"/>
                <w:i w:val="false"/>
                <w:b w:val="false"/>
                <w:u w:val="none"/>
                <w:sz w:val="18"/>
                <w:szCs w:val="18"/>
                <w:color w:val="000000"/>
              </w:rPr>
              <w:t xml:space="preserve">46</w:t>
            </w:r>
          </w:p>
        </w:tc>
      </w:tr>
    </w:tbl>
    <w:p>
      <w:pPr>
        <w:pStyle w:val="BodyText"/>
      </w:pPr>
      <w:r>
        <w:t xml:space="preserve"> </w:t>
      </w:r>
      <w:r>
        <w:t xml:space="preserve"> </w:t>
      </w:r>
    </w:p>
    <w:p>
      <w:pPr>
        <w:pStyle w:val="BodyText"/>
      </w:pPr>
      <w:r>
        <w:t xml:space="preserve">Landflaket ble lastet ned den 28. 03. 2025 fra</w:t>
      </w:r>
      <w:r>
        <w:t xml:space="preserve"> </w:t>
      </w:r>
      <w:hyperlink r:id="rId36">
        <w:r>
          <w:rPr>
            <w:rStyle w:val="Hyperlink"/>
          </w:rPr>
          <w:t xml:space="preserve">Landflakportalen</w:t>
        </w:r>
      </w:hyperlink>
      <w:r>
        <w:t xml:space="preserve">, produsert av Norads</w:t>
      </w:r>
      <w:r>
        <w:t xml:space="preserve"> </w:t>
      </w:r>
      <w:hyperlink r:id="rId37">
        <w:r>
          <w:rPr>
            <w:rStyle w:val="Hyperlink"/>
          </w:rPr>
          <w:t xml:space="preserve">Seksjon for Statistikk og analyse</w:t>
        </w:r>
      </w:hyperlink>
      <w:r>
        <w:t xml:space="preserve">.</w:t>
      </w:r>
    </w:p>
    <w:bookmarkEnd w:id="38"/>
    <w:bookmarkEnd w:id="39"/>
    <w:sectPr w:rsidR="009F22E5" w:rsidSect="000477F1">
      <w:footerReference r:id="rId10" w:type="default"/>
      <w:headerReference r:id="rId9" w:type="first"/>
      <w:pgSz w:h="15840" w:w="12240"/>
      <w:pgMar w:bottom="720" w:footer="346" w:gutter="0" w:header="1296" w:left="1080" w:right="1080" w:top="1440"/>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5D51E" w14:textId="77777777" w:rsidR="00E2127F" w:rsidRPr="00E2127F" w:rsidRDefault="00000000" w:rsidP="00E2127F">
    <w:pPr>
      <w:pStyle w:val="Footer"/>
    </w:pPr>
    <w:r w:rsidRPr="00E2127F">
      <w:fldChar w:fldCharType="begin"/>
    </w:r>
    <w:r w:rsidRPr="00E2127F">
      <w:instrText xml:space="preserve"> PAGE   \* MERGEFORMAT </w:instrText>
    </w:r>
    <w:r w:rsidRPr="00E2127F">
      <w:fldChar w:fldCharType="separate"/>
    </w:r>
    <w:r w:rsidRPr="00E2127F">
      <w:t>2</w:t>
    </w:r>
    <w:r w:rsidRPr="00E2127F">
      <w:fldChar w:fldCharType="end"/>
    </w:r>
  </w:p>
  <w:p w14:paraId="398DC1C1" w14:textId="77777777" w:rsidR="00E2127F" w:rsidRDefault="00000000" w:rsidP="00E2127F">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4">
    <w:p>
      <w:pPr>
        <w:pStyle w:val="FootnoteText"/>
      </w:pPr>
      <w:r>
        <w:rPr>
          <w:rStyle w:val="FootnoteReference"/>
        </w:rPr>
        <w:footnoteRef/>
      </w:r>
      <w:r>
        <w:t xml:space="preserve"> </w:t>
      </w:r>
      <w:hyperlink r:id="rId25">
        <w:r>
          <w:rPr>
            <w:rStyle w:val="Hyperlink"/>
          </w:rPr>
          <w:t xml:space="preserve">Landsiden til Ukraina</w:t>
        </w:r>
      </w:hyperlink>
      <w:r>
        <w:t xml:space="preserve"> </w:t>
      </w:r>
      <w:r>
        <w:t xml:space="preserve">i portalen bistandsresultater.no gir detaljert oversikt over øremerket bistand til landet.</w:t>
      </w:r>
    </w:p>
  </w:footnote>
  <w:footnote w:id="26">
    <w:p>
      <w:pPr>
        <w:pStyle w:val="FootnoteText"/>
      </w:pPr>
      <w:r>
        <w:rPr>
          <w:rStyle w:val="FootnoteReference"/>
        </w:rPr>
        <w:footnoteRef/>
      </w:r>
      <w:r>
        <w:t xml:space="preserve"> </w:t>
      </w:r>
      <w:r>
        <w:t xml:space="preserve">Beregnet norsk multilateral kjernestøtte til Ukraina er beregnet av OECDs utviklingsdirektorat (DCD), og er basert på de multilaterale organisasjonenes forbruk av kjernestøtte på mottakerland. Bistand til landet gjennom regionale og globale programmer og fond utover multilateral kjernestøtte er ikke inkludert i landflaket.</w:t>
      </w:r>
    </w:p>
  </w:footnote>
  <w:footnote w:id="34">
    <w:p>
      <w:pPr>
        <w:pStyle w:val="FootnoteText"/>
      </w:pPr>
      <w:r>
        <w:rPr>
          <w:rStyle w:val="FootnoteReference"/>
        </w:rPr>
        <w:footnoteRef/>
      </w:r>
      <w:r>
        <w:t xml:space="preserve"> </w:t>
      </w:r>
      <w:r>
        <w:t xml:space="preserve">På grunn av avrundinger i OECDs beregninger kan det være noe avvik mellom totalbeløpet på multilateral kjernestøtte til landet i 2023 i denne tabellen og på forsiden.</w:t>
      </w:r>
    </w:p>
  </w:footnote>
  <w:footnote w:id="35">
    <w:p>
      <w:pPr>
        <w:pStyle w:val="FootnoteText"/>
      </w:pPr>
      <w:r>
        <w:rPr>
          <w:rStyle w:val="FootnoteReference"/>
        </w:rPr>
        <w:footnoteRef/>
      </w:r>
      <w:r>
        <w:t xml:space="preserve"> </w:t>
      </w:r>
      <w:r>
        <w:t xml:space="preserve">OECDs landfordelte beregninger omfatter kjernestøtte til de største, men ikke alle multilaterale organisasjoner. Om lag 90 prosent av multilateral kjernestøtte fra DAC-land inngår i OECDs landfordelte beregninger. Tabellen gir dermed ikke en fullstendig oversikt over beregnet kjernestøtte til mottakerlandet for alle multilaterale organisasjoner Norge støtter.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D2D93" w14:textId="77777777" w:rsidR="005E6E05" w:rsidRDefault="00000000">
    <w:pPr>
      <w:pStyle w:val="Header"/>
    </w:pPr>
    <w:r>
      <w:rPr>
        <w:noProof/>
      </w:rPr>
      <w:drawing>
        <wp:anchor distT="0" distB="0" distL="114300" distR="114300" simplePos="0" relativeHeight="251659776" behindDoc="1" locked="0" layoutInCell="1" allowOverlap="1" wp14:anchorId="382BABF8" wp14:editId="7E71233B">
          <wp:simplePos x="0" y="0"/>
          <wp:positionH relativeFrom="page">
            <wp:posOffset>5889625</wp:posOffset>
          </wp:positionH>
          <wp:positionV relativeFrom="page">
            <wp:posOffset>440029</wp:posOffset>
          </wp:positionV>
          <wp:extent cx="1087200" cy="442800"/>
          <wp:effectExtent l="0" t="0" r="0" b="0"/>
          <wp:wrapNone/>
          <wp:docPr id="752530063" name="Graphic 75253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087200" cy="4428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5EEA9BF8"/>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5C8AC2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B6BA73DE"/>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941A1AE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426202E0"/>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CCBCE6C8"/>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0946314E"/>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33BE8B6A"/>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A002EF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6E1CA86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D114967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170CD2DE"/>
    <w:multiLevelType w:val="multilevel"/>
    <w:tmpl w:val="2DC2BDA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2C1AE401"/>
    <w:multiLevelType w:val="multilevel"/>
    <w:tmpl w:val="C67C156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108541906" w:numId="1">
    <w:abstractNumId w:val="11"/>
  </w:num>
  <w:num w16cid:durableId="178660052" w:numId="2">
    <w:abstractNumId w:val="11"/>
  </w:num>
  <w:num w16cid:durableId="736052728" w:numId="3">
    <w:abstractNumId w:val="8"/>
  </w:num>
  <w:num w16cid:durableId="7759560" w:numId="4">
    <w:abstractNumId w:val="3"/>
  </w:num>
  <w:num w16cid:durableId="1379742332" w:numId="5">
    <w:abstractNumId w:val="2"/>
  </w:num>
  <w:num w16cid:durableId="1628049544" w:numId="6">
    <w:abstractNumId w:val="1"/>
  </w:num>
  <w:num w16cid:durableId="919867254" w:numId="7">
    <w:abstractNumId w:val="0"/>
  </w:num>
  <w:num w16cid:durableId="1996566057" w:numId="8">
    <w:abstractNumId w:val="9"/>
  </w:num>
  <w:num w16cid:durableId="2100520051" w:numId="9">
    <w:abstractNumId w:val="7"/>
  </w:num>
  <w:num w16cid:durableId="445196473" w:numId="10">
    <w:abstractNumId w:val="6"/>
  </w:num>
  <w:num w16cid:durableId="1643383756" w:numId="11">
    <w:abstractNumId w:val="5"/>
  </w:num>
  <w:num w16cid:durableId="623075661" w:numId="12">
    <w:abstractNumId w:val="4"/>
  </w:num>
  <w:num w16cid:durableId="751315593" w:numId="13">
    <w:abstractNumId w:val="12"/>
  </w:num>
  <w:num w16cid:durableId="1887331598" w:numId="14">
    <w:abstractNumId w:val="12"/>
  </w:num>
  <w:num w16cid:durableId="1250507142" w:numId="15">
    <w:abstractNumId w:val="10"/>
  </w:num>
  <w:num w16cid:durableId="946305942" w:numId="16">
    <w:abstractNumId w:val="10"/>
  </w:num>
  <w:num w16cid:durableId="1045254691" w:numId="17">
    <w:abstractNumId w:val="10"/>
  </w:num>
  <w:num w16cid:durableId="2002267913" w:numId="18">
    <w:abstractNumId w:val="10"/>
  </w:num>
  <w:num w16cid:durableId="495341506" w:numId="19">
    <w:abstractNumId w:val="1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2E5"/>
    <w:rsid w:val="000477F1"/>
    <w:rsid w:val="0049432B"/>
    <w:rsid w:val="009F22E5"/>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4"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5" w:semiHidden="1" w:unhideWhenUsed="1"/>
    <w:lsdException w:name="List Bullet 2"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autoRedefine/>
    <w:uiPriority w:val="9"/>
    <w:qFormat/>
    <w:rsid w:val="000477F1"/>
    <w:pPr>
      <w:keepNext/>
      <w:keepLines/>
      <w:pBdr>
        <w:bottom w:color="23716D" w:space="1" w:sz="4" w:val="single"/>
      </w:pBdr>
      <w:spacing w:after="0" w:before="240"/>
      <w:outlineLvl w:val="0"/>
    </w:pPr>
    <w:rPr>
      <w:rFonts w:cstheme="majorBidi" w:eastAsiaTheme="majorEastAsia"/>
      <w:sz w:val="32"/>
      <w:szCs w:val="36"/>
      <w:lang w:val="nb-NO"/>
    </w:rPr>
  </w:style>
  <w:style w:styleId="Heading2" w:type="paragraph">
    <w:name w:val="heading 2"/>
    <w:basedOn w:val="Normal"/>
    <w:next w:val="BodyText"/>
    <w:autoRedefine/>
    <w:uiPriority w:val="9"/>
    <w:unhideWhenUsed/>
    <w:qFormat/>
    <w:rsid w:val="000477F1"/>
    <w:pPr>
      <w:keepNext/>
      <w:keepLines/>
      <w:spacing w:after="0" w:before="200"/>
      <w:outlineLvl w:val="1"/>
    </w:pPr>
    <w:rPr>
      <w:rFonts w:cstheme="majorBidi" w:eastAsiaTheme="majorEastAsia"/>
      <w:bCs/>
      <w:szCs w:val="32"/>
      <w:lang w:val="nb-NO"/>
    </w:rPr>
  </w:style>
  <w:style w:styleId="Heading3" w:type="paragraph">
    <w:name w:val="heading 3"/>
    <w:basedOn w:val="Normal"/>
    <w:next w:val="BodyText"/>
    <w:uiPriority w:val="9"/>
    <w:unhideWhenUsed/>
    <w:qFormat/>
    <w:rsid w:val="00081E01"/>
    <w:pPr>
      <w:keepNext/>
      <w:keepLines/>
      <w:spacing w:after="0" w:before="200"/>
      <w:outlineLvl w:val="2"/>
    </w:pPr>
    <w:rPr>
      <w:rFonts w:asciiTheme="majorHAnsi" w:cstheme="majorBidi" w:eastAsiaTheme="majorEastAsia" w:hAnsiTheme="majorHAnsi"/>
      <w:bCs/>
      <w:color w:val="23716D"/>
      <w:sz w:val="28"/>
      <w:szCs w:val="28"/>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
      <w:bCs/>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B87541"/>
    <w:pPr>
      <w:spacing w:after="180" w:before="180"/>
    </w:pPr>
    <w:rPr>
      <w:sz w:val="20"/>
      <w:szCs w:val="20"/>
      <w:lang w:val="nb-NO"/>
    </w:rPr>
  </w:style>
  <w:style w:customStyle="1" w:styleId="FirstParagraph" w:type="paragraph">
    <w:name w:val="First Paragraph"/>
    <w:basedOn w:val="BodyText"/>
    <w:next w:val="BodyText"/>
    <w:autoRedefine/>
    <w:qFormat/>
    <w:rsid w:val="00B87541"/>
  </w:style>
  <w:style w:customStyle="1" w:styleId="Compact" w:type="paragraph">
    <w:name w:val="Compact"/>
    <w:basedOn w:val="BodyText"/>
    <w:qFormat/>
    <w:pPr>
      <w:spacing w:after="36" w:before="36"/>
    </w:pPr>
  </w:style>
  <w:style w:styleId="Title" w:type="paragraph">
    <w:name w:val="Title"/>
    <w:next w:val="BodyText"/>
    <w:autoRedefine/>
    <w:qFormat/>
    <w:rsid w:val="000477F1"/>
    <w:pPr>
      <w:keepNext/>
      <w:keepLines/>
      <w:spacing w:after="240"/>
    </w:pPr>
    <w:rPr>
      <w:rFonts w:cstheme="majorBidi" w:eastAsiaTheme="majorEastAsia"/>
      <w:sz w:val="52"/>
      <w:szCs w:val="52"/>
      <w:lang w:val="nb-NO"/>
    </w:rPr>
  </w:style>
  <w:style w:styleId="Subtitle" w:type="paragraph">
    <w:name w:val="Subtitle"/>
    <w:basedOn w:val="Title"/>
    <w:next w:val="BodyText"/>
    <w:qFormat/>
    <w:pPr>
      <w:spacing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rPr>
  </w:style>
  <w:style w:styleId="FootnoteText" w:type="paragraph">
    <w:name w:val="footnote text"/>
    <w:basedOn w:val="Normal"/>
    <w:autoRedefine/>
    <w:uiPriority w:val="9"/>
    <w:unhideWhenUsed/>
    <w:qFormat/>
    <w:rsid w:val="00780756"/>
    <w:pPr>
      <w:spacing w:after="120"/>
    </w:pPr>
    <w:rPr>
      <w:sz w:val="16"/>
    </w:rPr>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line="259" w:lineRule="auto"/>
      <w:outlineLvl w:val="9"/>
    </w:pPr>
    <w:rPr>
      <w:b/>
      <w:bCs/>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B87541"/>
    <w:rPr>
      <w:sz w:val="20"/>
      <w:szCs w:val="20"/>
      <w:lang w:val="nb-NO"/>
    </w:rPr>
  </w:style>
  <w:style w:styleId="Header" w:type="paragraph">
    <w:name w:val="header"/>
    <w:basedOn w:val="Normal"/>
    <w:link w:val="HeaderChar"/>
    <w:unhideWhenUsed/>
    <w:rsid w:val="00AA18BE"/>
    <w:pPr>
      <w:tabs>
        <w:tab w:pos="4536" w:val="center"/>
        <w:tab w:pos="9072" w:val="right"/>
      </w:tabs>
      <w:spacing w:after="0"/>
    </w:pPr>
  </w:style>
  <w:style w:customStyle="1" w:styleId="HeaderChar" w:type="character">
    <w:name w:val="Header Char"/>
    <w:basedOn w:val="DefaultParagraphFont"/>
    <w:link w:val="Header"/>
    <w:rsid w:val="00AA18BE"/>
  </w:style>
  <w:style w:styleId="Footer" w:type="paragraph">
    <w:name w:val="footer"/>
    <w:basedOn w:val="Normal"/>
    <w:link w:val="FooterChar"/>
    <w:uiPriority w:val="99"/>
    <w:unhideWhenUsed/>
    <w:rsid w:val="00E2127F"/>
    <w:pPr>
      <w:tabs>
        <w:tab w:pos="4536" w:val="center"/>
        <w:tab w:pos="9072" w:val="right"/>
      </w:tabs>
      <w:spacing w:after="0"/>
      <w:jc w:val="center"/>
    </w:pPr>
    <w:rPr>
      <w:caps/>
    </w:rPr>
  </w:style>
  <w:style w:customStyle="1" w:styleId="FooterChar" w:type="character">
    <w:name w:val="Footer Char"/>
    <w:basedOn w:val="DefaultParagraphFont"/>
    <w:link w:val="Footer"/>
    <w:uiPriority w:val="99"/>
    <w:rsid w:val="00E2127F"/>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0" Target="media/rId30.png" /><Relationship Type="http://schemas.openxmlformats.org/officeDocument/2006/relationships/image" Id="rId20" Target="media/rId20.png" /><Relationship Type="http://schemas.openxmlformats.org/officeDocument/2006/relationships/image" Id="rId27" Target="media/rId27.png" /><Relationship Type="http://schemas.openxmlformats.org/officeDocument/2006/relationships/hyperlink" Id="rId36" Target="https://noradstats.shinyapps.io/landflak/" TargetMode="External" /><Relationship Type="http://schemas.openxmlformats.org/officeDocument/2006/relationships/hyperlink" Id="rId25" Target="https://resultater.norad.no/bistands-tall/geografi/europa/ukraina" TargetMode="External" /><Relationship Type="http://schemas.openxmlformats.org/officeDocument/2006/relationships/hyperlink" Id="rId37" Target="mailto:norad-statistikk.og.analyse@norad.no" TargetMode="External" /></Relationships>
</file>

<file path=word/_rels/footnotes.xml.rels><?xml version="1.0" encoding="UTF-8"?><Relationships xmlns="http://schemas.openxmlformats.org/package/2006/relationships"><Relationship Type="http://schemas.openxmlformats.org/officeDocument/2006/relationships/hyperlink" Id="rId36" Target="https://noradstats.shinyapps.io/landflak/" TargetMode="External" /><Relationship Type="http://schemas.openxmlformats.org/officeDocument/2006/relationships/hyperlink" Id="rId25" Target="https://resultater.norad.no/bistands-tall/geografi/europa/ukraina" TargetMode="External" /><Relationship Type="http://schemas.openxmlformats.org/officeDocument/2006/relationships/hyperlink" Id="rId37" Target="mailto:norad-statistikk.og.analyse@norad.no"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440</Words>
  <Characters>2512</Characters>
  <Application>Microsoft Office Word</Application>
  <DocSecurity>0</DocSecurity>
  <Lines>20</Lines>
  <Paragraphs>5</Paragraphs>
  <ScaleCrop>false</ScaleCrop>
  <HeadingPairs>
    <vt:vector size="2" baseType="variant">
      <vt:variant>
        <vt:lpstr>Tittel</vt:lpstr>
      </vt:variant>
      <vt:variant>
        <vt:i4>1</vt:i4>
      </vt:variant>
    </vt:vector>
  </HeadingPairs>
  <TitlesOfParts>
    <vt:vector size="1" baseType="lpstr">
      <vt:lpstr>Bistand til Uganda</vt:lpstr>
    </vt:vector>
  </TitlesOfParts>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Bistand til Ukraina</dc:title>
  <dc:creator/>
  <cp:keywords/>
  <dcterms:created xsi:type="dcterms:W3CDTF">2025-03-28T19:58:26Z</dcterms:created>
  <dcterms:modified xsi:type="dcterms:W3CDTF">2025-03-28T19:58:26Z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