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86F1" w14:textId="6422BBCF" w:rsidR="002207BF" w:rsidRPr="00463058" w:rsidRDefault="00594C11" w:rsidP="00521B78">
      <w:pPr>
        <w:pStyle w:val="Title"/>
        <w:rPr>
          <w:sz w:val="28"/>
          <w:szCs w:val="28"/>
        </w:rPr>
      </w:pPr>
      <w:r>
        <w:rPr>
          <w:sz w:val="28"/>
          <w:szCs w:val="28"/>
        </w:rPr>
        <w:t>Mask or not Mask</w:t>
      </w:r>
      <w:r w:rsidR="00BE1D86" w:rsidRPr="00463058">
        <w:rPr>
          <w:sz w:val="28"/>
          <w:szCs w:val="28"/>
        </w:rPr>
        <w:t>?</w:t>
      </w:r>
    </w:p>
    <w:p w14:paraId="2116CCCA" w14:textId="54807362" w:rsidR="000B1C15" w:rsidRDefault="000B1C15" w:rsidP="000B1C15">
      <w:pPr>
        <w:pStyle w:val="Heading1"/>
      </w:pPr>
      <w:bookmarkStart w:id="0" w:name="_Toc90165223"/>
      <w:r>
        <w:t>ABSTRACT</w:t>
      </w:r>
      <w:bookmarkEnd w:id="0"/>
    </w:p>
    <w:p w14:paraId="5ED75B9A" w14:textId="54BE4F52" w:rsidR="002B3B9E" w:rsidRDefault="002B3B9E" w:rsidP="002B3B9E">
      <w:r>
        <w:t xml:space="preserve">As vaccines become available, states started to roll back COVID restrictions including mask mandates. </w:t>
      </w:r>
      <w:r w:rsidR="00DA53C4">
        <w:t xml:space="preserve">Around September, </w:t>
      </w:r>
      <w:r w:rsidR="008A3186">
        <w:t xml:space="preserve">more and more schools decided to go back to in-person or at least hybrid instruction. The reopen of campus is a major source of mobility change during this period, which coupled with virus variation, questions the validation of </w:t>
      </w:r>
      <w:r w:rsidR="007846BB">
        <w:t xml:space="preserve">a loose public policy on masking. This study aims to evaluate the effectiveness of public mask mandate policy. A causal inference framework, together with three different approaches including outcome regression, propensity score weighting and doubly robust estimate is applied to estimate the average causal effect of </w:t>
      </w:r>
      <w:r w:rsidR="00673759">
        <w:t>having</w:t>
      </w:r>
      <w:r w:rsidR="007846BB">
        <w:t xml:space="preserve"> a mask mandate </w:t>
      </w:r>
      <w:r w:rsidR="00673759">
        <w:t xml:space="preserve">implemented </w:t>
      </w:r>
      <w:r w:rsidR="007846BB">
        <w:t xml:space="preserve">at least for the non-vaccinated </w:t>
      </w:r>
      <w:r w:rsidR="00673759">
        <w:t xml:space="preserve">by September 1, 2021, </w:t>
      </w:r>
      <w:r w:rsidR="007846BB">
        <w:t xml:space="preserve">on </w:t>
      </w:r>
      <w:r w:rsidR="00673759">
        <w:t xml:space="preserve">COVID confirmed case growth rate. The result shows mask mandate implementation will lead to a 0.537% reduction in </w:t>
      </w:r>
      <w:r w:rsidR="00E56246">
        <w:t xml:space="preserve">growth rate 14 days after the target date. Moreover, the mask mandate will have long-term benefit in health outcomes that the difference in </w:t>
      </w:r>
      <w:r w:rsidR="00581559">
        <w:t xml:space="preserve">expected </w:t>
      </w:r>
      <w:r w:rsidR="00E56246">
        <w:t>growth rate between treatment and control group increases as time goes by.</w:t>
      </w:r>
    </w:p>
    <w:p w14:paraId="23F5EBD6" w14:textId="3E6D8753" w:rsidR="007B6393" w:rsidRPr="00802220" w:rsidRDefault="007B6393" w:rsidP="002B3B9E">
      <w:pPr>
        <w:rPr>
          <w:b/>
          <w:bCs/>
        </w:rPr>
      </w:pPr>
      <w:r w:rsidRPr="00802220">
        <w:rPr>
          <w:b/>
          <w:bCs/>
        </w:rPr>
        <w:t>Key</w:t>
      </w:r>
      <w:r w:rsidR="006D5123">
        <w:rPr>
          <w:b/>
          <w:bCs/>
        </w:rPr>
        <w:t>w</w:t>
      </w:r>
      <w:r w:rsidRPr="00802220">
        <w:rPr>
          <w:b/>
          <w:bCs/>
        </w:rPr>
        <w:t xml:space="preserve">ords: </w:t>
      </w:r>
      <w:r w:rsidR="006D5123" w:rsidRPr="006D5123">
        <w:t>M</w:t>
      </w:r>
      <w:r w:rsidRPr="006D5123">
        <w:t xml:space="preserve">ask </w:t>
      </w:r>
      <w:r w:rsidR="006D5123" w:rsidRPr="006D5123">
        <w:t>M</w:t>
      </w:r>
      <w:r w:rsidRPr="006D5123">
        <w:t xml:space="preserve">andate, </w:t>
      </w:r>
      <w:r w:rsidR="006D5123" w:rsidRPr="006D5123">
        <w:t>Confirmed Case G</w:t>
      </w:r>
      <w:r w:rsidRPr="006D5123">
        <w:t xml:space="preserve">rowth </w:t>
      </w:r>
      <w:r w:rsidR="006D5123" w:rsidRPr="006D5123">
        <w:t>R</w:t>
      </w:r>
      <w:r w:rsidRPr="006D5123">
        <w:t xml:space="preserve">ate, </w:t>
      </w:r>
      <w:r w:rsidR="006D5123" w:rsidRPr="006D5123">
        <w:t>C</w:t>
      </w:r>
      <w:r w:rsidRPr="006D5123">
        <w:t xml:space="preserve">ausal </w:t>
      </w:r>
      <w:r w:rsidR="006D5123" w:rsidRPr="006D5123">
        <w:t>I</w:t>
      </w:r>
      <w:r w:rsidRPr="006D5123">
        <w:t>nference</w:t>
      </w:r>
    </w:p>
    <w:p w14:paraId="435E9066" w14:textId="39204DEB" w:rsidR="000B1C15" w:rsidRDefault="000B1C15" w:rsidP="000B1C15">
      <w:pPr>
        <w:pStyle w:val="Heading1"/>
      </w:pPr>
      <w:r>
        <w:br w:type="page"/>
      </w:r>
    </w:p>
    <w:sdt>
      <w:sdtPr>
        <w:rPr>
          <w:rFonts w:ascii="Times New Roman" w:eastAsiaTheme="minorEastAsia" w:hAnsi="Times New Roman" w:cstheme="minorBidi"/>
          <w:color w:val="auto"/>
          <w:sz w:val="24"/>
          <w:szCs w:val="22"/>
          <w:lang w:eastAsia="zh-CN"/>
        </w:rPr>
        <w:id w:val="-823591150"/>
        <w:docPartObj>
          <w:docPartGallery w:val="Table of Contents"/>
          <w:docPartUnique/>
        </w:docPartObj>
      </w:sdtPr>
      <w:sdtEndPr>
        <w:rPr>
          <w:b/>
          <w:bCs/>
          <w:noProof/>
        </w:rPr>
      </w:sdtEndPr>
      <w:sdtContent>
        <w:p w14:paraId="2C15FCDB" w14:textId="57154E95" w:rsidR="006B0186" w:rsidRPr="00E2662D" w:rsidRDefault="006B0186">
          <w:pPr>
            <w:pStyle w:val="TOCHeading"/>
            <w:rPr>
              <w:rFonts w:ascii="Times New Roman" w:hAnsi="Times New Roman" w:cs="Times New Roman"/>
              <w:b/>
              <w:bCs/>
            </w:rPr>
          </w:pPr>
          <w:r w:rsidRPr="00E2662D">
            <w:rPr>
              <w:rFonts w:ascii="Times New Roman" w:hAnsi="Times New Roman" w:cs="Times New Roman"/>
              <w:b/>
              <w:bCs/>
            </w:rPr>
            <w:t>Contents</w:t>
          </w:r>
        </w:p>
        <w:p w14:paraId="2D521E94" w14:textId="0E2C9BF2" w:rsidR="006B0186" w:rsidRDefault="006B0186">
          <w:pPr>
            <w:pStyle w:val="TOC1"/>
            <w:tabs>
              <w:tab w:val="right" w:leader="dot" w:pos="9350"/>
            </w:tabs>
            <w:rPr>
              <w:noProof/>
            </w:rPr>
          </w:pPr>
          <w:r>
            <w:fldChar w:fldCharType="begin"/>
          </w:r>
          <w:r>
            <w:instrText xml:space="preserve"> TOC \o "1-3" \h \z \u </w:instrText>
          </w:r>
          <w:r>
            <w:fldChar w:fldCharType="separate"/>
          </w:r>
          <w:hyperlink w:anchor="_Toc90165223" w:history="1">
            <w:r w:rsidRPr="00EA0F29">
              <w:rPr>
                <w:rStyle w:val="Hyperlink"/>
                <w:noProof/>
              </w:rPr>
              <w:t>ABSTRACT</w:t>
            </w:r>
            <w:r>
              <w:rPr>
                <w:noProof/>
                <w:webHidden/>
              </w:rPr>
              <w:tab/>
            </w:r>
            <w:r>
              <w:rPr>
                <w:noProof/>
                <w:webHidden/>
              </w:rPr>
              <w:fldChar w:fldCharType="begin"/>
            </w:r>
            <w:r>
              <w:rPr>
                <w:noProof/>
                <w:webHidden/>
              </w:rPr>
              <w:instrText xml:space="preserve"> PAGEREF _Toc90165223 \h </w:instrText>
            </w:r>
            <w:r>
              <w:rPr>
                <w:noProof/>
                <w:webHidden/>
              </w:rPr>
            </w:r>
            <w:r>
              <w:rPr>
                <w:noProof/>
                <w:webHidden/>
              </w:rPr>
              <w:fldChar w:fldCharType="separate"/>
            </w:r>
            <w:r w:rsidR="009E02A0">
              <w:rPr>
                <w:noProof/>
                <w:webHidden/>
              </w:rPr>
              <w:t>1</w:t>
            </w:r>
            <w:r>
              <w:rPr>
                <w:noProof/>
                <w:webHidden/>
              </w:rPr>
              <w:fldChar w:fldCharType="end"/>
            </w:r>
          </w:hyperlink>
        </w:p>
        <w:p w14:paraId="426BCF55" w14:textId="2F0F3151" w:rsidR="006B0186" w:rsidRDefault="00426C97">
          <w:pPr>
            <w:pStyle w:val="TOC1"/>
            <w:tabs>
              <w:tab w:val="right" w:leader="dot" w:pos="9350"/>
            </w:tabs>
            <w:rPr>
              <w:noProof/>
            </w:rPr>
          </w:pPr>
          <w:hyperlink w:anchor="_Toc90165224" w:history="1">
            <w:r w:rsidR="006B0186" w:rsidRPr="00EA0F29">
              <w:rPr>
                <w:rStyle w:val="Hyperlink"/>
                <w:noProof/>
              </w:rPr>
              <w:t>INRODUCTION</w:t>
            </w:r>
            <w:r w:rsidR="006B0186">
              <w:rPr>
                <w:noProof/>
                <w:webHidden/>
              </w:rPr>
              <w:tab/>
            </w:r>
            <w:r w:rsidR="006B0186">
              <w:rPr>
                <w:noProof/>
                <w:webHidden/>
              </w:rPr>
              <w:fldChar w:fldCharType="begin"/>
            </w:r>
            <w:r w:rsidR="006B0186">
              <w:rPr>
                <w:noProof/>
                <w:webHidden/>
              </w:rPr>
              <w:instrText xml:space="preserve"> PAGEREF _Toc90165224 \h </w:instrText>
            </w:r>
            <w:r w:rsidR="006B0186">
              <w:rPr>
                <w:noProof/>
                <w:webHidden/>
              </w:rPr>
            </w:r>
            <w:r w:rsidR="006B0186">
              <w:rPr>
                <w:noProof/>
                <w:webHidden/>
              </w:rPr>
              <w:fldChar w:fldCharType="separate"/>
            </w:r>
            <w:r w:rsidR="009E02A0">
              <w:rPr>
                <w:noProof/>
                <w:webHidden/>
              </w:rPr>
              <w:t>3</w:t>
            </w:r>
            <w:r w:rsidR="006B0186">
              <w:rPr>
                <w:noProof/>
                <w:webHidden/>
              </w:rPr>
              <w:fldChar w:fldCharType="end"/>
            </w:r>
          </w:hyperlink>
        </w:p>
        <w:p w14:paraId="3CFDD93B" w14:textId="609CF257" w:rsidR="006B0186" w:rsidRDefault="00426C97">
          <w:pPr>
            <w:pStyle w:val="TOC1"/>
            <w:tabs>
              <w:tab w:val="right" w:leader="dot" w:pos="9350"/>
            </w:tabs>
            <w:rPr>
              <w:noProof/>
            </w:rPr>
          </w:pPr>
          <w:hyperlink w:anchor="_Toc90165225" w:history="1">
            <w:r w:rsidR="006B0186" w:rsidRPr="00EA0F29">
              <w:rPr>
                <w:rStyle w:val="Hyperlink"/>
                <w:noProof/>
              </w:rPr>
              <w:t>LITERATRUE REVIEW</w:t>
            </w:r>
            <w:r w:rsidR="006B0186">
              <w:rPr>
                <w:noProof/>
                <w:webHidden/>
              </w:rPr>
              <w:tab/>
            </w:r>
            <w:r w:rsidR="006B0186">
              <w:rPr>
                <w:noProof/>
                <w:webHidden/>
              </w:rPr>
              <w:fldChar w:fldCharType="begin"/>
            </w:r>
            <w:r w:rsidR="006B0186">
              <w:rPr>
                <w:noProof/>
                <w:webHidden/>
              </w:rPr>
              <w:instrText xml:space="preserve"> PAGEREF _Toc90165225 \h </w:instrText>
            </w:r>
            <w:r w:rsidR="006B0186">
              <w:rPr>
                <w:noProof/>
                <w:webHidden/>
              </w:rPr>
            </w:r>
            <w:r w:rsidR="006B0186">
              <w:rPr>
                <w:noProof/>
                <w:webHidden/>
              </w:rPr>
              <w:fldChar w:fldCharType="separate"/>
            </w:r>
            <w:r w:rsidR="009E02A0">
              <w:rPr>
                <w:noProof/>
                <w:webHidden/>
              </w:rPr>
              <w:t>3</w:t>
            </w:r>
            <w:r w:rsidR="006B0186">
              <w:rPr>
                <w:noProof/>
                <w:webHidden/>
              </w:rPr>
              <w:fldChar w:fldCharType="end"/>
            </w:r>
          </w:hyperlink>
        </w:p>
        <w:p w14:paraId="71836EBE" w14:textId="168538C6" w:rsidR="006B0186" w:rsidRDefault="00426C97">
          <w:pPr>
            <w:pStyle w:val="TOC1"/>
            <w:tabs>
              <w:tab w:val="right" w:leader="dot" w:pos="9350"/>
            </w:tabs>
            <w:rPr>
              <w:noProof/>
            </w:rPr>
          </w:pPr>
          <w:hyperlink w:anchor="_Toc90165226" w:history="1">
            <w:r w:rsidR="006B0186" w:rsidRPr="00EA0F29">
              <w:rPr>
                <w:rStyle w:val="Hyperlink"/>
                <w:noProof/>
              </w:rPr>
              <w:t>METHODOLOGY</w:t>
            </w:r>
            <w:r w:rsidR="006B0186">
              <w:rPr>
                <w:noProof/>
                <w:webHidden/>
              </w:rPr>
              <w:tab/>
            </w:r>
            <w:r w:rsidR="006B0186">
              <w:rPr>
                <w:noProof/>
                <w:webHidden/>
              </w:rPr>
              <w:fldChar w:fldCharType="begin"/>
            </w:r>
            <w:r w:rsidR="006B0186">
              <w:rPr>
                <w:noProof/>
                <w:webHidden/>
              </w:rPr>
              <w:instrText xml:space="preserve"> PAGEREF _Toc90165226 \h </w:instrText>
            </w:r>
            <w:r w:rsidR="006B0186">
              <w:rPr>
                <w:noProof/>
                <w:webHidden/>
              </w:rPr>
            </w:r>
            <w:r w:rsidR="006B0186">
              <w:rPr>
                <w:noProof/>
                <w:webHidden/>
              </w:rPr>
              <w:fldChar w:fldCharType="separate"/>
            </w:r>
            <w:r w:rsidR="009E02A0">
              <w:rPr>
                <w:noProof/>
                <w:webHidden/>
              </w:rPr>
              <w:t>4</w:t>
            </w:r>
            <w:r w:rsidR="006B0186">
              <w:rPr>
                <w:noProof/>
                <w:webHidden/>
              </w:rPr>
              <w:fldChar w:fldCharType="end"/>
            </w:r>
          </w:hyperlink>
        </w:p>
        <w:p w14:paraId="5A3C65B5" w14:textId="16749A20" w:rsidR="006B0186" w:rsidRDefault="00426C97">
          <w:pPr>
            <w:pStyle w:val="TOC1"/>
            <w:tabs>
              <w:tab w:val="right" w:leader="dot" w:pos="9350"/>
            </w:tabs>
            <w:rPr>
              <w:noProof/>
            </w:rPr>
          </w:pPr>
          <w:hyperlink w:anchor="_Toc90165227" w:history="1">
            <w:r w:rsidR="006B0186" w:rsidRPr="00EA0F29">
              <w:rPr>
                <w:rStyle w:val="Hyperlink"/>
                <w:noProof/>
              </w:rPr>
              <w:t>DATA</w:t>
            </w:r>
            <w:r w:rsidR="006B0186">
              <w:rPr>
                <w:noProof/>
                <w:webHidden/>
              </w:rPr>
              <w:tab/>
            </w:r>
            <w:r w:rsidR="006B0186">
              <w:rPr>
                <w:noProof/>
                <w:webHidden/>
              </w:rPr>
              <w:fldChar w:fldCharType="begin"/>
            </w:r>
            <w:r w:rsidR="006B0186">
              <w:rPr>
                <w:noProof/>
                <w:webHidden/>
              </w:rPr>
              <w:instrText xml:space="preserve"> PAGEREF _Toc90165227 \h </w:instrText>
            </w:r>
            <w:r w:rsidR="006B0186">
              <w:rPr>
                <w:noProof/>
                <w:webHidden/>
              </w:rPr>
            </w:r>
            <w:r w:rsidR="006B0186">
              <w:rPr>
                <w:noProof/>
                <w:webHidden/>
              </w:rPr>
              <w:fldChar w:fldCharType="separate"/>
            </w:r>
            <w:r w:rsidR="009E02A0">
              <w:rPr>
                <w:noProof/>
                <w:webHidden/>
              </w:rPr>
              <w:t>5</w:t>
            </w:r>
            <w:r w:rsidR="006B0186">
              <w:rPr>
                <w:noProof/>
                <w:webHidden/>
              </w:rPr>
              <w:fldChar w:fldCharType="end"/>
            </w:r>
          </w:hyperlink>
        </w:p>
        <w:p w14:paraId="5A16C62A" w14:textId="29DB35AD" w:rsidR="006B0186" w:rsidRDefault="00426C97">
          <w:pPr>
            <w:pStyle w:val="TOC1"/>
            <w:tabs>
              <w:tab w:val="right" w:leader="dot" w:pos="9350"/>
            </w:tabs>
            <w:rPr>
              <w:noProof/>
            </w:rPr>
          </w:pPr>
          <w:hyperlink w:anchor="_Toc90165228" w:history="1">
            <w:r w:rsidR="006B0186" w:rsidRPr="00EA0F29">
              <w:rPr>
                <w:rStyle w:val="Hyperlink"/>
                <w:noProof/>
              </w:rPr>
              <w:t>RESULT</w:t>
            </w:r>
            <w:r w:rsidR="006B0186">
              <w:rPr>
                <w:noProof/>
                <w:webHidden/>
              </w:rPr>
              <w:tab/>
            </w:r>
            <w:r w:rsidR="006B0186">
              <w:rPr>
                <w:noProof/>
                <w:webHidden/>
              </w:rPr>
              <w:fldChar w:fldCharType="begin"/>
            </w:r>
            <w:r w:rsidR="006B0186">
              <w:rPr>
                <w:noProof/>
                <w:webHidden/>
              </w:rPr>
              <w:instrText xml:space="preserve"> PAGEREF _Toc90165228 \h </w:instrText>
            </w:r>
            <w:r w:rsidR="006B0186">
              <w:rPr>
                <w:noProof/>
                <w:webHidden/>
              </w:rPr>
            </w:r>
            <w:r w:rsidR="006B0186">
              <w:rPr>
                <w:noProof/>
                <w:webHidden/>
              </w:rPr>
              <w:fldChar w:fldCharType="separate"/>
            </w:r>
            <w:r w:rsidR="009E02A0">
              <w:rPr>
                <w:noProof/>
                <w:webHidden/>
              </w:rPr>
              <w:t>7</w:t>
            </w:r>
            <w:r w:rsidR="006B0186">
              <w:rPr>
                <w:noProof/>
                <w:webHidden/>
              </w:rPr>
              <w:fldChar w:fldCharType="end"/>
            </w:r>
          </w:hyperlink>
        </w:p>
        <w:p w14:paraId="36BD2B4D" w14:textId="76C2E15C" w:rsidR="006B0186" w:rsidRDefault="00426C97">
          <w:pPr>
            <w:pStyle w:val="TOC2"/>
            <w:tabs>
              <w:tab w:val="right" w:leader="dot" w:pos="9350"/>
            </w:tabs>
            <w:rPr>
              <w:noProof/>
            </w:rPr>
          </w:pPr>
          <w:hyperlink w:anchor="_Toc90165229" w:history="1">
            <w:r w:rsidR="006B0186" w:rsidRPr="00EA0F29">
              <w:rPr>
                <w:rStyle w:val="Hyperlink"/>
                <w:noProof/>
              </w:rPr>
              <w:t>Outcome Model</w:t>
            </w:r>
            <w:r w:rsidR="006B0186">
              <w:rPr>
                <w:noProof/>
                <w:webHidden/>
              </w:rPr>
              <w:tab/>
            </w:r>
            <w:r w:rsidR="006B0186">
              <w:rPr>
                <w:noProof/>
                <w:webHidden/>
              </w:rPr>
              <w:fldChar w:fldCharType="begin"/>
            </w:r>
            <w:r w:rsidR="006B0186">
              <w:rPr>
                <w:noProof/>
                <w:webHidden/>
              </w:rPr>
              <w:instrText xml:space="preserve"> PAGEREF _Toc90165229 \h </w:instrText>
            </w:r>
            <w:r w:rsidR="006B0186">
              <w:rPr>
                <w:noProof/>
                <w:webHidden/>
              </w:rPr>
            </w:r>
            <w:r w:rsidR="006B0186">
              <w:rPr>
                <w:noProof/>
                <w:webHidden/>
              </w:rPr>
              <w:fldChar w:fldCharType="separate"/>
            </w:r>
            <w:r w:rsidR="009E02A0">
              <w:rPr>
                <w:noProof/>
                <w:webHidden/>
              </w:rPr>
              <w:t>7</w:t>
            </w:r>
            <w:r w:rsidR="006B0186">
              <w:rPr>
                <w:noProof/>
                <w:webHidden/>
              </w:rPr>
              <w:fldChar w:fldCharType="end"/>
            </w:r>
          </w:hyperlink>
        </w:p>
        <w:p w14:paraId="1232EDFC" w14:textId="6940579D" w:rsidR="006B0186" w:rsidRDefault="00426C97">
          <w:pPr>
            <w:pStyle w:val="TOC2"/>
            <w:tabs>
              <w:tab w:val="right" w:leader="dot" w:pos="9350"/>
            </w:tabs>
            <w:rPr>
              <w:noProof/>
            </w:rPr>
          </w:pPr>
          <w:hyperlink w:anchor="_Toc90165230" w:history="1">
            <w:r w:rsidR="006B0186" w:rsidRPr="00EA0F29">
              <w:rPr>
                <w:rStyle w:val="Hyperlink"/>
                <w:noProof/>
              </w:rPr>
              <w:t>Propensity Score Weighting</w:t>
            </w:r>
            <w:r w:rsidR="006B0186">
              <w:rPr>
                <w:noProof/>
                <w:webHidden/>
              </w:rPr>
              <w:tab/>
            </w:r>
            <w:r w:rsidR="006B0186">
              <w:rPr>
                <w:noProof/>
                <w:webHidden/>
              </w:rPr>
              <w:fldChar w:fldCharType="begin"/>
            </w:r>
            <w:r w:rsidR="006B0186">
              <w:rPr>
                <w:noProof/>
                <w:webHidden/>
              </w:rPr>
              <w:instrText xml:space="preserve"> PAGEREF _Toc90165230 \h </w:instrText>
            </w:r>
            <w:r w:rsidR="006B0186">
              <w:rPr>
                <w:noProof/>
                <w:webHidden/>
              </w:rPr>
            </w:r>
            <w:r w:rsidR="006B0186">
              <w:rPr>
                <w:noProof/>
                <w:webHidden/>
              </w:rPr>
              <w:fldChar w:fldCharType="separate"/>
            </w:r>
            <w:r w:rsidR="009E02A0">
              <w:rPr>
                <w:noProof/>
                <w:webHidden/>
              </w:rPr>
              <w:t>8</w:t>
            </w:r>
            <w:r w:rsidR="006B0186">
              <w:rPr>
                <w:noProof/>
                <w:webHidden/>
              </w:rPr>
              <w:fldChar w:fldCharType="end"/>
            </w:r>
          </w:hyperlink>
        </w:p>
        <w:p w14:paraId="46E09B30" w14:textId="6F6F37FA" w:rsidR="006B0186" w:rsidRDefault="00426C97">
          <w:pPr>
            <w:pStyle w:val="TOC2"/>
            <w:tabs>
              <w:tab w:val="right" w:leader="dot" w:pos="9350"/>
            </w:tabs>
            <w:rPr>
              <w:noProof/>
            </w:rPr>
          </w:pPr>
          <w:hyperlink w:anchor="_Toc90165231" w:history="1">
            <w:r w:rsidR="006B0186" w:rsidRPr="00EA0F29">
              <w:rPr>
                <w:rStyle w:val="Hyperlink"/>
                <w:noProof/>
              </w:rPr>
              <w:t>Doubly Robust Estimator</w:t>
            </w:r>
            <w:r w:rsidR="006B0186">
              <w:rPr>
                <w:noProof/>
                <w:webHidden/>
              </w:rPr>
              <w:tab/>
            </w:r>
            <w:r w:rsidR="006B0186">
              <w:rPr>
                <w:noProof/>
                <w:webHidden/>
              </w:rPr>
              <w:fldChar w:fldCharType="begin"/>
            </w:r>
            <w:r w:rsidR="006B0186">
              <w:rPr>
                <w:noProof/>
                <w:webHidden/>
              </w:rPr>
              <w:instrText xml:space="preserve"> PAGEREF _Toc90165231 \h </w:instrText>
            </w:r>
            <w:r w:rsidR="006B0186">
              <w:rPr>
                <w:noProof/>
                <w:webHidden/>
              </w:rPr>
            </w:r>
            <w:r w:rsidR="006B0186">
              <w:rPr>
                <w:noProof/>
                <w:webHidden/>
              </w:rPr>
              <w:fldChar w:fldCharType="separate"/>
            </w:r>
            <w:r w:rsidR="009E02A0">
              <w:rPr>
                <w:noProof/>
                <w:webHidden/>
              </w:rPr>
              <w:t>12</w:t>
            </w:r>
            <w:r w:rsidR="006B0186">
              <w:rPr>
                <w:noProof/>
                <w:webHidden/>
              </w:rPr>
              <w:fldChar w:fldCharType="end"/>
            </w:r>
          </w:hyperlink>
        </w:p>
        <w:p w14:paraId="31AE5495" w14:textId="1B92D22B" w:rsidR="006B0186" w:rsidRDefault="00426C97">
          <w:pPr>
            <w:pStyle w:val="TOC2"/>
            <w:tabs>
              <w:tab w:val="right" w:leader="dot" w:pos="9350"/>
            </w:tabs>
            <w:rPr>
              <w:noProof/>
            </w:rPr>
          </w:pPr>
          <w:hyperlink w:anchor="_Toc90165232" w:history="1">
            <w:r w:rsidR="006B0186" w:rsidRPr="00EA0F29">
              <w:rPr>
                <w:rStyle w:val="Hyperlink"/>
                <w:noProof/>
              </w:rPr>
              <w:t>Comparison of Results</w:t>
            </w:r>
            <w:r w:rsidR="006B0186">
              <w:rPr>
                <w:noProof/>
                <w:webHidden/>
              </w:rPr>
              <w:tab/>
            </w:r>
            <w:r w:rsidR="006B0186">
              <w:rPr>
                <w:noProof/>
                <w:webHidden/>
              </w:rPr>
              <w:fldChar w:fldCharType="begin"/>
            </w:r>
            <w:r w:rsidR="006B0186">
              <w:rPr>
                <w:noProof/>
                <w:webHidden/>
              </w:rPr>
              <w:instrText xml:space="preserve"> PAGEREF _Toc90165232 \h </w:instrText>
            </w:r>
            <w:r w:rsidR="006B0186">
              <w:rPr>
                <w:noProof/>
                <w:webHidden/>
              </w:rPr>
            </w:r>
            <w:r w:rsidR="006B0186">
              <w:rPr>
                <w:noProof/>
                <w:webHidden/>
              </w:rPr>
              <w:fldChar w:fldCharType="separate"/>
            </w:r>
            <w:r w:rsidR="009E02A0">
              <w:rPr>
                <w:noProof/>
                <w:webHidden/>
              </w:rPr>
              <w:t>13</w:t>
            </w:r>
            <w:r w:rsidR="006B0186">
              <w:rPr>
                <w:noProof/>
                <w:webHidden/>
              </w:rPr>
              <w:fldChar w:fldCharType="end"/>
            </w:r>
          </w:hyperlink>
        </w:p>
        <w:p w14:paraId="07EFB14C" w14:textId="064ED028" w:rsidR="006B0186" w:rsidRDefault="00426C97">
          <w:pPr>
            <w:pStyle w:val="TOC1"/>
            <w:tabs>
              <w:tab w:val="right" w:leader="dot" w:pos="9350"/>
            </w:tabs>
            <w:rPr>
              <w:noProof/>
            </w:rPr>
          </w:pPr>
          <w:hyperlink w:anchor="_Toc90165233" w:history="1">
            <w:r w:rsidR="006B0186" w:rsidRPr="00EA0F29">
              <w:rPr>
                <w:rStyle w:val="Hyperlink"/>
                <w:noProof/>
              </w:rPr>
              <w:t>DISCUSSION</w:t>
            </w:r>
            <w:r w:rsidR="006B0186">
              <w:rPr>
                <w:noProof/>
                <w:webHidden/>
              </w:rPr>
              <w:tab/>
            </w:r>
            <w:r w:rsidR="006B0186">
              <w:rPr>
                <w:noProof/>
                <w:webHidden/>
              </w:rPr>
              <w:fldChar w:fldCharType="begin"/>
            </w:r>
            <w:r w:rsidR="006B0186">
              <w:rPr>
                <w:noProof/>
                <w:webHidden/>
              </w:rPr>
              <w:instrText xml:space="preserve"> PAGEREF _Toc90165233 \h </w:instrText>
            </w:r>
            <w:r w:rsidR="006B0186">
              <w:rPr>
                <w:noProof/>
                <w:webHidden/>
              </w:rPr>
            </w:r>
            <w:r w:rsidR="006B0186">
              <w:rPr>
                <w:noProof/>
                <w:webHidden/>
              </w:rPr>
              <w:fldChar w:fldCharType="separate"/>
            </w:r>
            <w:r w:rsidR="009E02A0">
              <w:rPr>
                <w:noProof/>
                <w:webHidden/>
              </w:rPr>
              <w:t>15</w:t>
            </w:r>
            <w:r w:rsidR="006B0186">
              <w:rPr>
                <w:noProof/>
                <w:webHidden/>
              </w:rPr>
              <w:fldChar w:fldCharType="end"/>
            </w:r>
          </w:hyperlink>
        </w:p>
        <w:p w14:paraId="117169EF" w14:textId="0B6FEFFF" w:rsidR="006B0186" w:rsidRDefault="00426C97">
          <w:pPr>
            <w:pStyle w:val="TOC1"/>
            <w:tabs>
              <w:tab w:val="right" w:leader="dot" w:pos="9350"/>
            </w:tabs>
            <w:rPr>
              <w:noProof/>
            </w:rPr>
          </w:pPr>
          <w:hyperlink w:anchor="_Toc90165234" w:history="1">
            <w:r w:rsidR="006B0186" w:rsidRPr="00EA0F29">
              <w:rPr>
                <w:rStyle w:val="Hyperlink"/>
                <w:noProof/>
              </w:rPr>
              <w:t>REFERENCE</w:t>
            </w:r>
            <w:r w:rsidR="006B0186">
              <w:rPr>
                <w:noProof/>
                <w:webHidden/>
              </w:rPr>
              <w:tab/>
            </w:r>
            <w:r w:rsidR="006B0186">
              <w:rPr>
                <w:noProof/>
                <w:webHidden/>
              </w:rPr>
              <w:fldChar w:fldCharType="begin"/>
            </w:r>
            <w:r w:rsidR="006B0186">
              <w:rPr>
                <w:noProof/>
                <w:webHidden/>
              </w:rPr>
              <w:instrText xml:space="preserve"> PAGEREF _Toc90165234 \h </w:instrText>
            </w:r>
            <w:r w:rsidR="006B0186">
              <w:rPr>
                <w:noProof/>
                <w:webHidden/>
              </w:rPr>
            </w:r>
            <w:r w:rsidR="006B0186">
              <w:rPr>
                <w:noProof/>
                <w:webHidden/>
              </w:rPr>
              <w:fldChar w:fldCharType="separate"/>
            </w:r>
            <w:r w:rsidR="009E02A0">
              <w:rPr>
                <w:noProof/>
                <w:webHidden/>
              </w:rPr>
              <w:t>16</w:t>
            </w:r>
            <w:r w:rsidR="006B0186">
              <w:rPr>
                <w:noProof/>
                <w:webHidden/>
              </w:rPr>
              <w:fldChar w:fldCharType="end"/>
            </w:r>
          </w:hyperlink>
        </w:p>
        <w:p w14:paraId="62922A35" w14:textId="79A8AD82" w:rsidR="006B0186" w:rsidRDefault="006B0186">
          <w:r>
            <w:rPr>
              <w:b/>
              <w:bCs/>
              <w:noProof/>
            </w:rPr>
            <w:fldChar w:fldCharType="end"/>
          </w:r>
        </w:p>
      </w:sdtContent>
    </w:sdt>
    <w:p w14:paraId="35522214" w14:textId="77777777" w:rsidR="006B0186" w:rsidRDefault="006B0186">
      <w:pPr>
        <w:rPr>
          <w:rFonts w:eastAsiaTheme="majorEastAsia" w:cstheme="majorBidi"/>
          <w:b/>
          <w:color w:val="2F5496" w:themeColor="accent1" w:themeShade="BF"/>
          <w:szCs w:val="32"/>
        </w:rPr>
      </w:pPr>
      <w:r>
        <w:br w:type="page"/>
      </w:r>
    </w:p>
    <w:p w14:paraId="7E476F0F" w14:textId="36BE15AB" w:rsidR="004F3BFC" w:rsidRDefault="004F3BFC" w:rsidP="00B64B71">
      <w:pPr>
        <w:pStyle w:val="Heading1"/>
      </w:pPr>
      <w:bookmarkStart w:id="1" w:name="_Toc90165224"/>
      <w:r w:rsidRPr="00B64B71">
        <w:lastRenderedPageBreak/>
        <w:t>I</w:t>
      </w:r>
      <w:r w:rsidR="00463058">
        <w:t>NRODUCTION</w:t>
      </w:r>
      <w:bookmarkEnd w:id="1"/>
    </w:p>
    <w:p w14:paraId="19015651" w14:textId="076E8EDB" w:rsidR="00AC7824" w:rsidRDefault="00242329" w:rsidP="00B038B5">
      <w:pPr>
        <w:rPr>
          <w:rFonts w:cs="Times New Roman"/>
        </w:rPr>
      </w:pPr>
      <w:r>
        <w:rPr>
          <w:rFonts w:cs="Times New Roman"/>
        </w:rPr>
        <w:t>The o</w:t>
      </w:r>
      <w:r w:rsidR="00EA70B8">
        <w:rPr>
          <w:rFonts w:cs="Times New Roman"/>
        </w:rPr>
        <w:t xml:space="preserve">nset of pandemic </w:t>
      </w:r>
      <w:r>
        <w:rPr>
          <w:rFonts w:cs="Times New Roman"/>
        </w:rPr>
        <w:t xml:space="preserve">has resulted in near 50M confirmed cases </w:t>
      </w:r>
      <w:r w:rsidR="00EA70B8">
        <w:rPr>
          <w:rFonts w:cs="Times New Roman"/>
        </w:rPr>
        <w:t xml:space="preserve">causes </w:t>
      </w:r>
      <w:r>
        <w:rPr>
          <w:rFonts w:cs="Times New Roman"/>
        </w:rPr>
        <w:t xml:space="preserve">and 800 thousand </w:t>
      </w:r>
      <w:r w:rsidR="009D555B">
        <w:rPr>
          <w:rFonts w:cs="Times New Roman"/>
        </w:rPr>
        <w:t>deaths</w:t>
      </w:r>
      <w:r>
        <w:rPr>
          <w:rFonts w:cs="Times New Roman"/>
        </w:rPr>
        <w:t xml:space="preserve"> by December 11</w:t>
      </w:r>
      <w:r w:rsidRPr="00242329">
        <w:rPr>
          <w:rFonts w:cs="Times New Roman"/>
          <w:vertAlign w:val="superscript"/>
        </w:rPr>
        <w:t>th</w:t>
      </w:r>
      <w:r>
        <w:rPr>
          <w:rFonts w:cs="Times New Roman"/>
        </w:rPr>
        <w:t xml:space="preserve">, 2021. </w:t>
      </w:r>
      <w:r w:rsidR="00AC7824">
        <w:rPr>
          <w:rFonts w:cs="Times New Roman"/>
        </w:rPr>
        <w:t>To mitigate</w:t>
      </w:r>
      <w:r>
        <w:rPr>
          <w:rFonts w:cs="Times New Roman"/>
        </w:rPr>
        <w:t xml:space="preserve"> the impact, </w:t>
      </w:r>
      <w:r w:rsidR="009D555B">
        <w:rPr>
          <w:rFonts w:cs="Times New Roman"/>
        </w:rPr>
        <w:t xml:space="preserve">orders, and </w:t>
      </w:r>
      <w:r>
        <w:rPr>
          <w:rFonts w:cs="Times New Roman"/>
        </w:rPr>
        <w:t xml:space="preserve">measures such as </w:t>
      </w:r>
      <w:r w:rsidR="009D555B">
        <w:rPr>
          <w:rFonts w:cs="Times New Roman"/>
        </w:rPr>
        <w:t xml:space="preserve">shelter-in-place restriction, </w:t>
      </w:r>
      <w:r>
        <w:rPr>
          <w:rFonts w:cs="Times New Roman"/>
        </w:rPr>
        <w:t xml:space="preserve">closure of business, </w:t>
      </w:r>
      <w:r w:rsidR="00AC7824">
        <w:rPr>
          <w:rFonts w:cs="Times New Roman"/>
        </w:rPr>
        <w:t>social distancing</w:t>
      </w:r>
      <w:r w:rsidR="009D555B">
        <w:rPr>
          <w:rFonts w:cs="Times New Roman"/>
        </w:rPr>
        <w:t xml:space="preserve"> and </w:t>
      </w:r>
      <w:r w:rsidR="00AC7824">
        <w:rPr>
          <w:rFonts w:cs="Times New Roman"/>
        </w:rPr>
        <w:t>mask mandate</w:t>
      </w:r>
      <w:r w:rsidR="009D555B">
        <w:rPr>
          <w:rFonts w:cs="Times New Roman"/>
        </w:rPr>
        <w:t xml:space="preserve"> has been implemented by the government throughout the past two years.</w:t>
      </w:r>
    </w:p>
    <w:p w14:paraId="5865DEBD" w14:textId="589CB03E" w:rsidR="00D5246A" w:rsidRDefault="002839B7" w:rsidP="00B038B5">
      <w:pPr>
        <w:rPr>
          <w:rFonts w:cs="Times New Roman"/>
        </w:rPr>
      </w:pPr>
      <w:r>
        <w:rPr>
          <w:rFonts w:cs="Times New Roman"/>
        </w:rPr>
        <w:t>As vaccine bec</w:t>
      </w:r>
      <w:r w:rsidR="00691B18">
        <w:rPr>
          <w:rFonts w:cs="Times New Roman"/>
        </w:rPr>
        <w:t>ame</w:t>
      </w:r>
      <w:r>
        <w:rPr>
          <w:rFonts w:cs="Times New Roman"/>
        </w:rPr>
        <w:t xml:space="preserve"> available</w:t>
      </w:r>
      <w:r w:rsidR="009D555B">
        <w:rPr>
          <w:rFonts w:cs="Times New Roman"/>
        </w:rPr>
        <w:t xml:space="preserve"> and a </w:t>
      </w:r>
      <w:r w:rsidR="00514186">
        <w:rPr>
          <w:rFonts w:cs="Times New Roman"/>
        </w:rPr>
        <w:t>flatten</w:t>
      </w:r>
      <w:r w:rsidR="009D555B">
        <w:rPr>
          <w:rFonts w:cs="Times New Roman"/>
        </w:rPr>
        <w:t xml:space="preserve"> trend was observed. </w:t>
      </w:r>
      <w:r w:rsidR="00691B18">
        <w:rPr>
          <w:rFonts w:cs="Times New Roman"/>
        </w:rPr>
        <w:t>By</w:t>
      </w:r>
      <w:r w:rsidR="009D555B">
        <w:rPr>
          <w:rFonts w:cs="Times New Roman"/>
        </w:rPr>
        <w:t xml:space="preserve"> Ma</w:t>
      </w:r>
      <w:r w:rsidR="00691B18">
        <w:rPr>
          <w:rFonts w:cs="Times New Roman"/>
        </w:rPr>
        <w:t>rch</w:t>
      </w:r>
      <w:r w:rsidR="009D555B">
        <w:rPr>
          <w:rFonts w:cs="Times New Roman"/>
        </w:rPr>
        <w:t xml:space="preserve"> 2021, </w:t>
      </w:r>
      <w:r w:rsidR="00691B18">
        <w:rPr>
          <w:rFonts w:cs="Times New Roman"/>
        </w:rPr>
        <w:t xml:space="preserve">the daily number of new infections had steeply declined, and April through June saw those numbers go down even further </w:t>
      </w:r>
      <w:r w:rsidR="00691B18">
        <w:rPr>
          <w:rFonts w:cs="Times New Roman"/>
        </w:rPr>
        <w:fldChar w:fldCharType="begin" w:fldLock="1"/>
      </w:r>
      <w:r w:rsidR="00EA4CFF">
        <w:rPr>
          <w:rFonts w:cs="Times New Roman"/>
        </w:rPr>
        <w:instrText>ADDIN CSL_CITATION {"citationItems":[{"id":"ITEM-1","itemData":{"id":"ITEM-1","issued":{"date-parts":[["0"]]},"title":"first-and-second-waves-of-coronavirus @ www.hopkinsmedicine.org","type":"article"},"uris":["http://www.mendeley.com/documents/?uuid=68d6a378-2caa-41cb-8428-05867973a379"]}],"mendeley":{"formattedCitation":"(1)","plainTextFormattedCitation":"(1)","previouslyFormattedCitation":"(1)"},"properties":{"noteIndex":0},"schema":"https://github.com/citation-style-language/schema/raw/master/csl-citation.json"}</w:instrText>
      </w:r>
      <w:r w:rsidR="00691B18">
        <w:rPr>
          <w:rFonts w:cs="Times New Roman"/>
        </w:rPr>
        <w:fldChar w:fldCharType="separate"/>
      </w:r>
      <w:r w:rsidR="00691B18" w:rsidRPr="00691B18">
        <w:rPr>
          <w:rFonts w:cs="Times New Roman"/>
          <w:noProof/>
        </w:rPr>
        <w:t>(1)</w:t>
      </w:r>
      <w:r w:rsidR="00691B18">
        <w:rPr>
          <w:rFonts w:cs="Times New Roman"/>
        </w:rPr>
        <w:fldChar w:fldCharType="end"/>
      </w:r>
      <w:r w:rsidR="009D555B">
        <w:rPr>
          <w:rFonts w:cs="Times New Roman"/>
        </w:rPr>
        <w:t xml:space="preserve">. </w:t>
      </w:r>
      <w:r w:rsidR="00241553">
        <w:rPr>
          <w:rFonts w:cs="Times New Roman"/>
        </w:rPr>
        <w:t>More</w:t>
      </w:r>
      <w:r>
        <w:rPr>
          <w:rFonts w:cs="Times New Roman"/>
        </w:rPr>
        <w:t xml:space="preserve"> and more states started to </w:t>
      </w:r>
      <w:r w:rsidR="00241553">
        <w:rPr>
          <w:rFonts w:cs="Times New Roman"/>
        </w:rPr>
        <w:t>loosen statewide pandemic restrictions like indoor capacity limits and mask mandates</w:t>
      </w:r>
      <w:r>
        <w:rPr>
          <w:rFonts w:cs="Times New Roman"/>
        </w:rPr>
        <w:t xml:space="preserve">. </w:t>
      </w:r>
      <w:r w:rsidR="00514186">
        <w:rPr>
          <w:rFonts w:cs="Times New Roman"/>
        </w:rPr>
        <w:t xml:space="preserve">However, </w:t>
      </w:r>
      <w:r w:rsidR="004551DF">
        <w:rPr>
          <w:rFonts w:cs="Times New Roman"/>
        </w:rPr>
        <w:t>in</w:t>
      </w:r>
      <w:r w:rsidR="00691B18">
        <w:rPr>
          <w:rFonts w:cs="Times New Roman"/>
        </w:rPr>
        <w:t xml:space="preserve"> July, </w:t>
      </w:r>
      <w:r w:rsidR="004551DF">
        <w:rPr>
          <w:rFonts w:cs="Times New Roman"/>
        </w:rPr>
        <w:t>another surge in cases of COVID-19 raised the concern for public health again</w:t>
      </w:r>
      <w:r w:rsidR="00514186">
        <w:rPr>
          <w:rFonts w:cs="Times New Roman"/>
        </w:rPr>
        <w:t xml:space="preserve">. </w:t>
      </w:r>
      <w:r w:rsidR="00C0405C">
        <w:rPr>
          <w:rFonts w:cs="Times New Roman"/>
        </w:rPr>
        <w:t>T</w:t>
      </w:r>
      <w:r w:rsidR="004551DF">
        <w:rPr>
          <w:rFonts w:cs="Times New Roman"/>
        </w:rPr>
        <w:t xml:space="preserve">he </w:t>
      </w:r>
      <w:r w:rsidR="00C0405C">
        <w:rPr>
          <w:rFonts w:cs="Times New Roman"/>
        </w:rPr>
        <w:t xml:space="preserve">arrival and spread of </w:t>
      </w:r>
      <w:r w:rsidR="004551DF">
        <w:rPr>
          <w:rFonts w:cs="Times New Roman"/>
        </w:rPr>
        <w:t xml:space="preserve">delta coronavirus variant </w:t>
      </w:r>
      <w:r w:rsidR="00C0405C">
        <w:rPr>
          <w:rFonts w:cs="Times New Roman"/>
        </w:rPr>
        <w:t>not only challenged the effectiveness of vaccine but also put</w:t>
      </w:r>
      <w:r w:rsidR="00514186">
        <w:rPr>
          <w:rFonts w:cs="Times New Roman"/>
        </w:rPr>
        <w:t xml:space="preserve"> the </w:t>
      </w:r>
      <w:r w:rsidR="00A37AAB">
        <w:rPr>
          <w:rFonts w:cs="Times New Roman"/>
        </w:rPr>
        <w:t>political correctness of lifting restrictions</w:t>
      </w:r>
      <w:r w:rsidR="00514186">
        <w:rPr>
          <w:rFonts w:cs="Times New Roman"/>
        </w:rPr>
        <w:t xml:space="preserve"> </w:t>
      </w:r>
      <w:r w:rsidR="00C0405C">
        <w:rPr>
          <w:rFonts w:cs="Times New Roman"/>
        </w:rPr>
        <w:t>into question</w:t>
      </w:r>
      <w:r w:rsidR="00514186">
        <w:rPr>
          <w:rFonts w:cs="Times New Roman"/>
        </w:rPr>
        <w:t xml:space="preserve">. </w:t>
      </w:r>
      <w:r w:rsidR="006361FD">
        <w:rPr>
          <w:rFonts w:cs="Times New Roman"/>
        </w:rPr>
        <w:t xml:space="preserve">Take mask mandate as an example. Some states </w:t>
      </w:r>
      <w:r w:rsidR="00F8794F">
        <w:rPr>
          <w:rFonts w:cs="Times New Roman"/>
        </w:rPr>
        <w:t xml:space="preserve">like Ohio </w:t>
      </w:r>
      <w:r w:rsidR="006361FD">
        <w:rPr>
          <w:rFonts w:cs="Times New Roman"/>
        </w:rPr>
        <w:t>at present have no guidance on mask mandate;</w:t>
      </w:r>
      <w:r w:rsidR="00F8794F">
        <w:rPr>
          <w:rFonts w:cs="Times New Roman"/>
        </w:rPr>
        <w:t xml:space="preserve"> some like Texas even ban mask mandate; some have statewide </w:t>
      </w:r>
      <w:r w:rsidR="006361FD">
        <w:rPr>
          <w:rFonts w:cs="Times New Roman"/>
        </w:rPr>
        <w:t>recommend</w:t>
      </w:r>
      <w:r w:rsidR="00F8794F">
        <w:rPr>
          <w:rFonts w:cs="Times New Roman"/>
        </w:rPr>
        <w:t>ation but is not enforced.</w:t>
      </w:r>
      <w:r w:rsidR="006361FD">
        <w:rPr>
          <w:rFonts w:cs="Times New Roman"/>
        </w:rPr>
        <w:t xml:space="preserve"> </w:t>
      </w:r>
      <w:r w:rsidR="00AF4BA9">
        <w:rPr>
          <w:rFonts w:cs="Times New Roman"/>
        </w:rPr>
        <w:t xml:space="preserve">The potential problem with the ease on mandate is that, first, </w:t>
      </w:r>
      <w:r w:rsidR="00773AF7">
        <w:rPr>
          <w:rFonts w:cs="Times New Roman"/>
        </w:rPr>
        <w:t xml:space="preserve">despite of the increased vaccination rate, </w:t>
      </w:r>
      <w:r w:rsidR="00AF4BA9">
        <w:rPr>
          <w:rFonts w:cs="Times New Roman"/>
        </w:rPr>
        <w:t>t</w:t>
      </w:r>
      <w:r w:rsidR="00F8794F">
        <w:rPr>
          <w:rFonts w:cs="Times New Roman"/>
        </w:rPr>
        <w:t>he v</w:t>
      </w:r>
      <w:r w:rsidR="0076252C">
        <w:rPr>
          <w:rFonts w:cs="Times New Roman"/>
        </w:rPr>
        <w:t xml:space="preserve">accine </w:t>
      </w:r>
      <w:r w:rsidR="00F8794F">
        <w:rPr>
          <w:rFonts w:cs="Times New Roman"/>
        </w:rPr>
        <w:t>is not</w:t>
      </w:r>
      <w:r w:rsidR="0076252C">
        <w:rPr>
          <w:rFonts w:cs="Times New Roman"/>
        </w:rPr>
        <w:t xml:space="preserve"> </w:t>
      </w:r>
      <w:r w:rsidR="00F8794F">
        <w:rPr>
          <w:rFonts w:cs="Times New Roman"/>
        </w:rPr>
        <w:t xml:space="preserve">as </w:t>
      </w:r>
      <w:r w:rsidR="0076252C">
        <w:rPr>
          <w:rFonts w:cs="Times New Roman"/>
        </w:rPr>
        <w:t>effective to the new variant</w:t>
      </w:r>
      <w:r w:rsidR="00F8794F">
        <w:rPr>
          <w:rFonts w:cs="Times New Roman"/>
        </w:rPr>
        <w:t xml:space="preserve"> as it was to the original virus</w:t>
      </w:r>
      <w:r w:rsidR="0076252C">
        <w:rPr>
          <w:rFonts w:cs="Times New Roman"/>
        </w:rPr>
        <w:t xml:space="preserve">; </w:t>
      </w:r>
      <w:r w:rsidR="00AF4BA9">
        <w:rPr>
          <w:rFonts w:cs="Times New Roman"/>
        </w:rPr>
        <w:t xml:space="preserve">and second, even if it </w:t>
      </w:r>
      <w:r w:rsidR="00773AF7">
        <w:rPr>
          <w:rFonts w:cs="Times New Roman"/>
        </w:rPr>
        <w:t>were</w:t>
      </w:r>
      <w:r w:rsidR="0076252C">
        <w:rPr>
          <w:rFonts w:cs="Times New Roman"/>
        </w:rPr>
        <w:t xml:space="preserve">, the non-vaccinated is </w:t>
      </w:r>
      <w:r w:rsidR="00773AF7">
        <w:rPr>
          <w:rFonts w:cs="Times New Roman"/>
        </w:rPr>
        <w:t xml:space="preserve">still </w:t>
      </w:r>
      <w:r w:rsidR="00AF4BA9">
        <w:rPr>
          <w:rFonts w:cs="Times New Roman"/>
        </w:rPr>
        <w:t xml:space="preserve">vulnerable </w:t>
      </w:r>
      <w:r w:rsidR="00773AF7">
        <w:rPr>
          <w:rFonts w:cs="Times New Roman"/>
        </w:rPr>
        <w:t xml:space="preserve">and in fact, more vulnerable </w:t>
      </w:r>
      <w:r w:rsidR="00AF4BA9">
        <w:rPr>
          <w:rFonts w:cs="Times New Roman"/>
        </w:rPr>
        <w:t>to the variant</w:t>
      </w:r>
      <w:r w:rsidR="00773AF7">
        <w:rPr>
          <w:rFonts w:cs="Times New Roman"/>
        </w:rPr>
        <w:t>. L</w:t>
      </w:r>
      <w:r w:rsidR="00AF4BA9">
        <w:rPr>
          <w:rFonts w:cs="Times New Roman"/>
        </w:rPr>
        <w:t xml:space="preserve">ifting the mask mandate </w:t>
      </w:r>
      <w:r w:rsidR="001464F7">
        <w:rPr>
          <w:rFonts w:cs="Times New Roman"/>
        </w:rPr>
        <w:t>could potentially speed up the</w:t>
      </w:r>
      <w:r w:rsidR="00AF4BA9">
        <w:rPr>
          <w:rFonts w:cs="Times New Roman"/>
        </w:rPr>
        <w:t xml:space="preserve"> virus circulation</w:t>
      </w:r>
      <w:r w:rsidR="001464F7">
        <w:rPr>
          <w:rFonts w:cs="Times New Roman"/>
        </w:rPr>
        <w:t xml:space="preserve"> among the non-vaccinated, extend to the vaccinated and thus the whole population</w:t>
      </w:r>
      <w:r w:rsidR="000C6879">
        <w:rPr>
          <w:rFonts w:cs="Times New Roman"/>
        </w:rPr>
        <w:t>.</w:t>
      </w:r>
    </w:p>
    <w:p w14:paraId="40DD5EB3" w14:textId="1A1E9108" w:rsidR="004F3BFC" w:rsidRDefault="00463058" w:rsidP="00B64B71">
      <w:pPr>
        <w:pStyle w:val="Heading1"/>
      </w:pPr>
      <w:bookmarkStart w:id="2" w:name="_Toc90165225"/>
      <w:r>
        <w:t>LITERATRUE REVIEW</w:t>
      </w:r>
      <w:bookmarkEnd w:id="2"/>
    </w:p>
    <w:p w14:paraId="0594010E" w14:textId="33C3D7A8" w:rsidR="00557BCF" w:rsidRDefault="00F16109" w:rsidP="00C63A98">
      <w:pPr>
        <w:rPr>
          <w:rFonts w:cs="Times New Roman"/>
        </w:rPr>
      </w:pPr>
      <w:r>
        <w:rPr>
          <w:rFonts w:cs="Times New Roman"/>
        </w:rPr>
        <w:t xml:space="preserve">Previous </w:t>
      </w:r>
      <w:r w:rsidR="00557BCF">
        <w:rPr>
          <w:rFonts w:cs="Times New Roman"/>
        </w:rPr>
        <w:t xml:space="preserve">studies used different approaches to analyze the effectiveness of implementing mask mandate. For example, </w:t>
      </w:r>
      <w:proofErr w:type="spellStart"/>
      <w:r w:rsidR="00614DF0">
        <w:rPr>
          <w:rFonts w:cs="Times New Roman"/>
        </w:rPr>
        <w:t>Lyu</w:t>
      </w:r>
      <w:proofErr w:type="spellEnd"/>
      <w:r w:rsidR="00614DF0">
        <w:rPr>
          <w:rFonts w:cs="Times New Roman"/>
        </w:rPr>
        <w:t xml:space="preserve"> &amp; </w:t>
      </w:r>
      <w:proofErr w:type="spellStart"/>
      <w:r w:rsidR="00614DF0">
        <w:rPr>
          <w:rFonts w:cs="Times New Roman"/>
        </w:rPr>
        <w:t>Wehby</w:t>
      </w:r>
      <w:proofErr w:type="spellEnd"/>
      <w:r w:rsidR="00614DF0">
        <w:rPr>
          <w:rFonts w:cs="Times New Roman"/>
        </w:rPr>
        <w:t xml:space="preserve"> </w:t>
      </w:r>
      <w:r w:rsidR="00EA4CFF">
        <w:rPr>
          <w:rFonts w:cs="Times New Roman"/>
        </w:rPr>
        <w:fldChar w:fldCharType="begin" w:fldLock="1"/>
      </w:r>
      <w:r w:rsidR="00EA4CFF">
        <w:rPr>
          <w:rFonts w:cs="Times New Roman"/>
        </w:rPr>
        <w:instrText>ADDIN CSL_CITATION {"citationItems":[{"id":"ITEM-1","itemData":{"DOI":"10.2807/1560-7917.ES.2020.25.49.2000725","ISSN":"15607917","PMID":"33303066","abstract":"Background: Evidence for face-mask wearing in the community to protect against respiratory disease is unclear. Aim: To assess effectiveness of wearing face masks in the community to prevent respiratory disease, and recommend improvements to this evidence base. Methods: We systematically searched Scopus, Embase and MEDLINE for studies evaluating respiratory disease incidence after face-mask wearing (or not). Narrative synthesis and random-effects metaanalysis of attack rates for primary and secondary prevention were performed, subgrouped by design, setting, face barrier type, and who wore the mask. Preferred outcome was influenza-like illness. Grading of Recommendations, Assessment, Development and Evaluations (GRADE) quality assessment was undertaken and evidence base deficits described. Results: 33 studies (12 randomised control trials (RCTs)) were included. Mask wearing reduced primary infection by 6% (odds ratio (OR): 0.94; 95% CI: 0.75-1.19 for RCTs) to 61% (OR: 0.85; 95% CI: 0.32-2.27; OR: 0.39; 95% CI: 0.18-0.84 and OR: 0.61; 95% CI: 0.45-0.85 for cohort, case-control and cross-sectional studies respectively). RCTs suggested lowest secondary attack rates when both well and ill household members wore masks (OR: 0.81; 95% CI: 0.48-1.37). While RCTs might underestimate effects due to poor compliance and controls wearing masks, observational studies likely overestimate effects, as mask wearing might be associated with other risk-averse behaviours. GRADE was low or very low quality. Conclusion: Wearing face masks may reduce primary respiratory infection risk, probably by 6-15%. It is important to balance evidence from RCTs and observational studies when their conclusions widely differ and both are at risk of significant bias. COVID-19-specific studies are required.","author":[{"dropping-particle":"","family":"Brainard","given":"Julii","non-dropping-particle":"","parse-names":false,"suffix":""},{"dropping-particle":"","family":"Jones","given":"Natalia R.","non-dropping-particle":"","parse-names":false,"suffix":""},{"dropping-particle":"","family":"Lake","given":"Iain R.","non-dropping-particle":"","parse-names":false,"suffix":""},{"dropping-particle":"","family":"Hooper","given":"Lee","non-dropping-particle":"","parse-names":false,"suffix":""},{"dropping-particle":"","family":"Hunter","given":"Paul R.","non-dropping-particle":"","parse-names":false,"suffix":""}],"container-title":"Eurosurveillance","id":"ITEM-1","issue":"49","issued":{"date-parts":[["2020"]]},"title":"Community use of face masks and similar barriers to prevent respiratory illness such as COVID-19: A rapid scoping review","type":"article-journal","volume":"25"},"uris":["http://www.mendeley.com/documents/?uuid=d06f17a0-8d9d-4d9d-b632-308a37e4b587"]}],"mendeley":{"formattedCitation":"(2)","plainTextFormattedCitation":"(2)","previouslyFormattedCitation":"(2)"},"properties":{"noteIndex":0},"schema":"https://github.com/citation-style-language/schema/raw/master/csl-citation.json"}</w:instrText>
      </w:r>
      <w:r w:rsidR="00EA4CFF">
        <w:rPr>
          <w:rFonts w:cs="Times New Roman"/>
        </w:rPr>
        <w:fldChar w:fldCharType="separate"/>
      </w:r>
      <w:r w:rsidR="00EA4CFF" w:rsidRPr="00EA4CFF">
        <w:rPr>
          <w:rFonts w:cs="Times New Roman"/>
          <w:noProof/>
        </w:rPr>
        <w:t>(2)</w:t>
      </w:r>
      <w:r w:rsidR="00EA4CFF">
        <w:rPr>
          <w:rFonts w:cs="Times New Roman"/>
        </w:rPr>
        <w:fldChar w:fldCharType="end"/>
      </w:r>
      <w:r w:rsidR="00EA4CFF">
        <w:rPr>
          <w:rFonts w:cs="Times New Roman"/>
        </w:rPr>
        <w:t xml:space="preserve"> </w:t>
      </w:r>
      <w:r w:rsidR="00614DF0">
        <w:rPr>
          <w:rFonts w:cs="Times New Roman"/>
        </w:rPr>
        <w:t>used difference-in-difference method to examine the different strictness of public masking policies on daily growth rate, which is defined as the natural log of total cases in a day minus the log of total cases in previous day</w:t>
      </w:r>
      <w:r w:rsidR="00EA4CFF">
        <w:rPr>
          <w:rFonts w:cs="Times New Roman"/>
        </w:rPr>
        <w:t xml:space="preserve">. </w:t>
      </w:r>
      <w:proofErr w:type="spellStart"/>
      <w:r w:rsidR="00EA4CFF">
        <w:rPr>
          <w:rFonts w:cs="Times New Roman"/>
        </w:rPr>
        <w:t>Chernozhukov</w:t>
      </w:r>
      <w:proofErr w:type="spellEnd"/>
      <w:r w:rsidR="00EA4CFF">
        <w:rPr>
          <w:rFonts w:cs="Times New Roman"/>
        </w:rPr>
        <w:t xml:space="preserve"> et al. </w:t>
      </w:r>
      <w:r w:rsidR="00EA4CFF">
        <w:rPr>
          <w:rFonts w:cs="Times New Roman"/>
        </w:rPr>
        <w:fldChar w:fldCharType="begin" w:fldLock="1"/>
      </w:r>
      <w:r w:rsidR="00401F29">
        <w:rPr>
          <w:rFonts w:cs="Times New Roman"/>
        </w:rPr>
        <w:instrText>ADDIN CSL_CITATION {"citationItems":[{"id":"ITEM-1","itemData":{"DOI":"10.1016/j.jeconom.2020.09.003","ISSN":"18726895","abstract":"The paper evaluates the dynamic impact of various policies adopted by US states on the growth rates of confirmed Covid-19 cases and deaths as well as social distancing behavior measured by Google Mobility Reports, where we take into consideration people's voluntarily behavioral response to new information of transmission risks in a causal structural model framework. Our analysis finds that both policies and information on transmission risks are important determinants of Covid-19 cases and deaths and shows that a change in policies explains a large fraction of observed changes in social distancing behavior. Our main counterfactual experiments suggest that nationally mandating face masks for employees early in the pandemic could have reduced the weekly growth rate of cases and deaths by more than 10 percentage points in late April and could have led to as much as 19 to 47 percent less deaths nationally by the end of May, which roughly translates into 19 to 47 thousand saved lives. We also find that, without stay-at-home orders, cases would have been larger by 6 to 63 percent and without business closures, cases would have been larger by 17 to 78 percent. We find considerable uncertainty over the effects of school closures due to lack of cross-sectional variation; we could not robustly rule out either large or small effects. Overall, substantial declines in growth rates are attributable to private behavioral response, but policies played an important role as well. We also carry out sensitivity analyses to find neighborhoods of the models under which the results hold robustly: the results on mask policies appear to be much more robust than the results on business closures and stay-at-home orders. Finally, we stress that our study is observational and therefore should be interpreted with great caution. From a completely agnostic point of view, our findings uncover predictive effects (association) of observed policies and behavioral changes on future health outcomes, controlling for informational and other confounding variables.","author":[{"dropping-particle":"","family":"Chernozhukov","given":"Victor","non-dropping-particle":"","parse-names":false,"suffix":""},{"dropping-particle":"","family":"Kasahara","given":"Hiroyuki","non-dropping-particle":"","parse-names":false,"suffix":""},{"dropping-particle":"","family":"Schrimpf","given":"Paul","non-dropping-particle":"","parse-names":false,"suffix":""}],"container-title":"Journal of Econometrics","id":"ITEM-1","issue":"1","issued":{"date-parts":[["2021"]]},"page":"23-62","publisher":"Elsevier B.V.","title":"Causal impact of masks, policies, behavior on early covid-19 pandemic in the U.S.","type":"article-journal","volume":"220"},"uris":["http://www.mendeley.com/documents/?uuid=eb889872-d8ff-4aa1-b2f5-0b06995fda58"]}],"mendeley":{"formattedCitation":"(3)","plainTextFormattedCitation":"(3)","previouslyFormattedCitation":"(3)"},"properties":{"noteIndex":0},"schema":"https://github.com/citation-style-language/schema/raw/master/csl-citation.json"}</w:instrText>
      </w:r>
      <w:r w:rsidR="00EA4CFF">
        <w:rPr>
          <w:rFonts w:cs="Times New Roman"/>
        </w:rPr>
        <w:fldChar w:fldCharType="separate"/>
      </w:r>
      <w:r w:rsidR="00EA4CFF" w:rsidRPr="00EA4CFF">
        <w:rPr>
          <w:rFonts w:cs="Times New Roman"/>
          <w:noProof/>
        </w:rPr>
        <w:t>(3)</w:t>
      </w:r>
      <w:r w:rsidR="00EA4CFF">
        <w:rPr>
          <w:rFonts w:cs="Times New Roman"/>
        </w:rPr>
        <w:fldChar w:fldCharType="end"/>
      </w:r>
      <w:r w:rsidR="00EA4CFF">
        <w:rPr>
          <w:rFonts w:cs="Times New Roman"/>
        </w:rPr>
        <w:t xml:space="preserve"> examined the implementation of employee face masking mandates using linear structural equations. </w:t>
      </w:r>
      <w:r w:rsidR="00471457">
        <w:rPr>
          <w:rFonts w:cs="Times New Roman"/>
        </w:rPr>
        <w:t xml:space="preserve">Wong </w:t>
      </w:r>
      <w:r w:rsidR="00401F29">
        <w:rPr>
          <w:rFonts w:cs="Times New Roman"/>
        </w:rPr>
        <w:fldChar w:fldCharType="begin" w:fldLock="1"/>
      </w:r>
      <w:r w:rsidR="008860AB">
        <w:rPr>
          <w:rFonts w:cs="Times New Roman"/>
        </w:rPr>
        <w:instrText>ADDIN CSL_CITATION {"citationItems":[{"id":"ITEM-1","itemData":{"author":[{"dropping-particle":"","family":"Wong","given":"Angus K","non-dropping-particle":"","parse-names":false,"suffix":""}],"id":"ITEM-1","issue":"July","issued":{"date-parts":[["2021"]]},"title":"Evaluating Public Masking Mandates on COVID-19 Growth Rates in U . S . States","type":"thesis"},"uris":["http://www.mendeley.com/documents/?uuid=80352c75-6645-44f5-ad1d-df386e6324de"]}],"mendeley":{"formattedCitation":"(4)","plainTextFormattedCitation":"(4)","previouslyFormattedCitation":"(4)"},"properties":{"noteIndex":0},"schema":"https://github.com/citation-style-language/schema/raw/master/csl-citation.json"}</w:instrText>
      </w:r>
      <w:r w:rsidR="00401F29">
        <w:rPr>
          <w:rFonts w:cs="Times New Roman"/>
        </w:rPr>
        <w:fldChar w:fldCharType="separate"/>
      </w:r>
      <w:r w:rsidR="00401F29" w:rsidRPr="00401F29">
        <w:rPr>
          <w:rFonts w:cs="Times New Roman"/>
          <w:noProof/>
        </w:rPr>
        <w:t>(4)</w:t>
      </w:r>
      <w:r w:rsidR="00401F29">
        <w:rPr>
          <w:rFonts w:cs="Times New Roman"/>
        </w:rPr>
        <w:fldChar w:fldCharType="end"/>
      </w:r>
      <w:r w:rsidR="00401F29">
        <w:rPr>
          <w:rFonts w:cs="Times New Roman"/>
        </w:rPr>
        <w:t xml:space="preserve"> used a doubly robust approach with </w:t>
      </w:r>
      <w:r w:rsidR="009F1F4A">
        <w:rPr>
          <w:rFonts w:cs="Times New Roman"/>
        </w:rPr>
        <w:t xml:space="preserve">targeted maximum likelihood estimation using Super Learner to examine the impact of early versus delayed implementation of state-level public masking orders subsequent COVID-19 growth rates. Early implementation is defined as having a state-level mandate in place before September 1, 2020, the approximate start of the school year. And the COVID-19 growth rates </w:t>
      </w:r>
      <w:r w:rsidR="00042919">
        <w:rPr>
          <w:rFonts w:cs="Times New Roman"/>
        </w:rPr>
        <w:t>are</w:t>
      </w:r>
      <w:r w:rsidR="009F1F4A">
        <w:rPr>
          <w:rFonts w:cs="Times New Roman"/>
        </w:rPr>
        <w:t xml:space="preserve"> defined as the relative increase in confirmed cases X days after September 1. </w:t>
      </w:r>
    </w:p>
    <w:p w14:paraId="6090802E" w14:textId="43DBE167" w:rsidR="00773AF7" w:rsidRDefault="00F16109" w:rsidP="00C63A98">
      <w:pPr>
        <w:rPr>
          <w:rFonts w:cs="Times New Roman"/>
        </w:rPr>
      </w:pPr>
      <w:r>
        <w:rPr>
          <w:rFonts w:cs="Times New Roman"/>
        </w:rPr>
        <w:t xml:space="preserve">Wong </w:t>
      </w:r>
      <w:r w:rsidR="002566C8">
        <w:rPr>
          <w:rFonts w:cs="Times New Roman"/>
        </w:rPr>
        <w:t xml:space="preserve">et al. </w:t>
      </w:r>
      <w:r>
        <w:rPr>
          <w:rFonts w:cs="Times New Roman"/>
        </w:rPr>
        <w:t xml:space="preserve">shows similar concerns of mask policy on covid growth rate during the school year. However, </w:t>
      </w:r>
      <w:r w:rsidR="00042919">
        <w:rPr>
          <w:rFonts w:cs="Times New Roman"/>
        </w:rPr>
        <w:t>in 2020</w:t>
      </w:r>
      <w:r>
        <w:rPr>
          <w:rFonts w:cs="Times New Roman"/>
        </w:rPr>
        <w:t xml:space="preserve">, the mobility change is not that great </w:t>
      </w:r>
      <w:r w:rsidR="00042919">
        <w:rPr>
          <w:rFonts w:cs="Times New Roman"/>
        </w:rPr>
        <w:t>because</w:t>
      </w:r>
      <w:r>
        <w:rPr>
          <w:rFonts w:cs="Times New Roman"/>
        </w:rPr>
        <w:t xml:space="preserve"> many schools </w:t>
      </w:r>
      <w:r w:rsidR="00773AF7">
        <w:rPr>
          <w:rFonts w:cs="Times New Roman"/>
        </w:rPr>
        <w:t xml:space="preserve">adopted the online format. Whereas in 2021, as the state reopen, most of the schools return to in-person instruction around September 1. Not only students but also </w:t>
      </w:r>
      <w:r w:rsidR="001464F7">
        <w:rPr>
          <w:rFonts w:cs="Times New Roman"/>
        </w:rPr>
        <w:t xml:space="preserve">their </w:t>
      </w:r>
      <w:r w:rsidR="00773AF7">
        <w:rPr>
          <w:rFonts w:cs="Times New Roman"/>
        </w:rPr>
        <w:t xml:space="preserve">parents have the tendency to increase the frequency of their daily </w:t>
      </w:r>
      <w:r w:rsidR="001464F7">
        <w:rPr>
          <w:rFonts w:cs="Times New Roman"/>
        </w:rPr>
        <w:t>outdoor activities</w:t>
      </w:r>
      <w:r w:rsidR="00773AF7">
        <w:rPr>
          <w:rFonts w:cs="Times New Roman"/>
        </w:rPr>
        <w:t xml:space="preserve"> and </w:t>
      </w:r>
      <w:r w:rsidR="001464F7">
        <w:rPr>
          <w:rFonts w:cs="Times New Roman"/>
        </w:rPr>
        <w:t>travel</w:t>
      </w:r>
      <w:r w:rsidR="00773AF7">
        <w:rPr>
          <w:rFonts w:cs="Times New Roman"/>
        </w:rPr>
        <w:t xml:space="preserve">, which </w:t>
      </w:r>
      <w:r w:rsidR="001464F7">
        <w:rPr>
          <w:rFonts w:cs="Times New Roman"/>
        </w:rPr>
        <w:t xml:space="preserve">could </w:t>
      </w:r>
      <w:r w:rsidR="00773AF7">
        <w:rPr>
          <w:rFonts w:cs="Times New Roman"/>
        </w:rPr>
        <w:t xml:space="preserve">potentially lead to a higher exposure rate and thus a higher infection risk. </w:t>
      </w:r>
      <w:proofErr w:type="gramStart"/>
      <w:r w:rsidR="00773AF7">
        <w:rPr>
          <w:rFonts w:cs="Times New Roman"/>
        </w:rPr>
        <w:t>At the moment</w:t>
      </w:r>
      <w:proofErr w:type="gramEnd"/>
      <w:r w:rsidR="00773AF7">
        <w:rPr>
          <w:rFonts w:cs="Times New Roman"/>
        </w:rPr>
        <w:t>, having a right policy implement</w:t>
      </w:r>
      <w:r w:rsidR="001464F7">
        <w:rPr>
          <w:rFonts w:cs="Times New Roman"/>
        </w:rPr>
        <w:t>ed</w:t>
      </w:r>
      <w:r w:rsidR="00773AF7">
        <w:rPr>
          <w:rFonts w:cs="Times New Roman"/>
        </w:rPr>
        <w:t xml:space="preserve"> is </w:t>
      </w:r>
      <w:r w:rsidR="001464F7">
        <w:rPr>
          <w:rFonts w:cs="Times New Roman"/>
        </w:rPr>
        <w:t xml:space="preserve">thus </w:t>
      </w:r>
      <w:r w:rsidR="00773AF7">
        <w:rPr>
          <w:rFonts w:cs="Times New Roman"/>
        </w:rPr>
        <w:t xml:space="preserve">especially critical. </w:t>
      </w:r>
      <w:r w:rsidR="004A7512">
        <w:rPr>
          <w:rFonts w:cs="Times New Roman"/>
        </w:rPr>
        <w:t>Therefore, a</w:t>
      </w:r>
      <w:r w:rsidR="001464F7">
        <w:rPr>
          <w:rFonts w:cs="Times New Roman"/>
        </w:rPr>
        <w:t xml:space="preserve">ccounting for the critical role of the non-vaccinated in </w:t>
      </w:r>
      <w:r w:rsidR="004E2661">
        <w:rPr>
          <w:rFonts w:cs="Times New Roman"/>
        </w:rPr>
        <w:t>this battle</w:t>
      </w:r>
      <w:r w:rsidR="00773AF7">
        <w:rPr>
          <w:rFonts w:cs="Times New Roman"/>
        </w:rPr>
        <w:t xml:space="preserve">, our study aims to analyze the effect of mask mandate </w:t>
      </w:r>
      <w:r w:rsidR="004E2661">
        <w:rPr>
          <w:rFonts w:cs="Times New Roman"/>
        </w:rPr>
        <w:t xml:space="preserve">implementation </w:t>
      </w:r>
      <w:r w:rsidR="00773AF7">
        <w:rPr>
          <w:rFonts w:cs="Times New Roman"/>
        </w:rPr>
        <w:t xml:space="preserve">at least for </w:t>
      </w:r>
      <w:r w:rsidR="004E2661">
        <w:rPr>
          <w:rFonts w:cs="Times New Roman"/>
        </w:rPr>
        <w:t xml:space="preserve">the </w:t>
      </w:r>
      <w:r w:rsidR="00773AF7">
        <w:rPr>
          <w:rFonts w:cs="Times New Roman"/>
        </w:rPr>
        <w:t xml:space="preserve">non-vaccinated on </w:t>
      </w:r>
      <w:r w:rsidR="004E2661">
        <w:rPr>
          <w:rFonts w:cs="Times New Roman"/>
        </w:rPr>
        <w:t>COVID</w:t>
      </w:r>
      <w:r w:rsidR="00773AF7">
        <w:rPr>
          <w:rFonts w:cs="Times New Roman"/>
        </w:rPr>
        <w:t xml:space="preserve">-19 growth rate during the </w:t>
      </w:r>
      <w:r w:rsidR="001464F7">
        <w:rPr>
          <w:rFonts w:cs="Times New Roman"/>
        </w:rPr>
        <w:t xml:space="preserve">critical </w:t>
      </w:r>
      <w:r w:rsidR="00773AF7">
        <w:rPr>
          <w:rFonts w:cs="Times New Roman"/>
        </w:rPr>
        <w:t>period when mobility increases.</w:t>
      </w:r>
      <w:r w:rsidR="001464F7">
        <w:rPr>
          <w:rFonts w:cs="Times New Roman"/>
        </w:rPr>
        <w:t xml:space="preserve"> </w:t>
      </w:r>
    </w:p>
    <w:p w14:paraId="18C16E46" w14:textId="330016FB" w:rsidR="00C63A98" w:rsidRPr="00B64B71" w:rsidRDefault="00463058" w:rsidP="00C63A98">
      <w:pPr>
        <w:pStyle w:val="Heading1"/>
        <w:rPr>
          <w:b w:val="0"/>
        </w:rPr>
      </w:pPr>
      <w:bookmarkStart w:id="3" w:name="_Toc90165226"/>
      <w:r>
        <w:lastRenderedPageBreak/>
        <w:t>METHODOLOGY</w:t>
      </w:r>
      <w:bookmarkEnd w:id="3"/>
    </w:p>
    <w:p w14:paraId="2E42DA11" w14:textId="4356B5C7" w:rsidR="001567D7" w:rsidRDefault="008860AB" w:rsidP="00BE64B2">
      <w:pPr>
        <w:rPr>
          <w:rFonts w:cs="Times New Roman"/>
        </w:rPr>
      </w:pPr>
      <w:r>
        <w:rPr>
          <w:rFonts w:cs="Times New Roman"/>
        </w:rPr>
        <w:t xml:space="preserve">The causal inference analysis framework is modified from Wong’s </w:t>
      </w:r>
      <w:r>
        <w:rPr>
          <w:rFonts w:cs="Times New Roman"/>
        </w:rPr>
        <w:fldChar w:fldCharType="begin" w:fldLock="1"/>
      </w:r>
      <w:r w:rsidR="00DE6484">
        <w:rPr>
          <w:rFonts w:cs="Times New Roman"/>
        </w:rPr>
        <w:instrText>ADDIN CSL_CITATION {"citationItems":[{"id":"ITEM-1","itemData":{"author":[{"dropping-particle":"","family":"Wong","given":"Angus K","non-dropping-particle":"","parse-names":false,"suffix":""}],"id":"ITEM-1","issue":"July","issued":{"date-parts":[["2021"]]},"title":"Evaluating Public Masking Mandates on COVID-19 Growth Rates in U . S . States","type":"thesis"},"uris":["http://www.mendeley.com/documents/?uuid=80352c75-6645-44f5-ad1d-df386e6324de"]}],"mendeley":{"formattedCitation":"(4)","plainTextFormattedCitation":"(4)","previouslyFormattedCitation":"(4)"},"properties":{"noteIndex":0},"schema":"https://github.com/citation-style-language/schema/raw/master/csl-citation.json"}</w:instrText>
      </w:r>
      <w:r>
        <w:rPr>
          <w:rFonts w:cs="Times New Roman"/>
        </w:rPr>
        <w:fldChar w:fldCharType="separate"/>
      </w:r>
      <w:r w:rsidRPr="008860AB">
        <w:rPr>
          <w:rFonts w:cs="Times New Roman"/>
          <w:noProof/>
        </w:rPr>
        <w:t>(4)</w:t>
      </w:r>
      <w:r>
        <w:rPr>
          <w:rFonts w:cs="Times New Roman"/>
        </w:rPr>
        <w:fldChar w:fldCharType="end"/>
      </w:r>
      <w:r>
        <w:rPr>
          <w:rFonts w:cs="Times New Roman"/>
        </w:rPr>
        <w:t xml:space="preserve">. </w:t>
      </w:r>
      <w:r w:rsidR="00BE64B2" w:rsidRPr="00594C11">
        <w:rPr>
          <w:rFonts w:cs="Times New Roman"/>
        </w:rPr>
        <w:t>As discussed before, there are different level of strictness in mask policy. In this study, we only distinguish between whether there’s a state-level mask mandate at least for individuals who are not fully vaccinated. The state is under treatment (Z = 1) if a mask-mandate is in place by September 1</w:t>
      </w:r>
      <w:r w:rsidR="00BE64B2" w:rsidRPr="00594C11">
        <w:rPr>
          <w:rFonts w:cs="Times New Roman"/>
          <w:vertAlign w:val="superscript"/>
        </w:rPr>
        <w:t>st</w:t>
      </w:r>
      <w:r w:rsidR="00BE64B2" w:rsidRPr="00594C11">
        <w:rPr>
          <w:rFonts w:cs="Times New Roman"/>
        </w:rPr>
        <w:t>, 2021, at least for the non-vaccinated</w:t>
      </w:r>
      <w:r w:rsidR="00BE64B2">
        <w:rPr>
          <w:rFonts w:cs="Times New Roman"/>
        </w:rPr>
        <w:t>, and under control otherwise</w:t>
      </w:r>
      <w:r w:rsidR="00BE64B2" w:rsidRPr="00594C11">
        <w:rPr>
          <w:rFonts w:cs="Times New Roman"/>
        </w:rPr>
        <w:t xml:space="preserve">. </w:t>
      </w:r>
      <w:r w:rsidR="001567D7">
        <w:rPr>
          <w:rFonts w:cs="Times New Roman"/>
        </w:rPr>
        <w:t>A</w:t>
      </w:r>
      <w:r>
        <w:rPr>
          <w:rFonts w:cs="Times New Roman"/>
        </w:rPr>
        <w:t xml:space="preserve"> </w:t>
      </w:r>
      <w:r w:rsidR="00EA70B8" w:rsidRPr="00862201">
        <w:rPr>
          <w:rFonts w:cs="Times New Roman"/>
        </w:rPr>
        <w:t xml:space="preserve">States can either lift or impose a mask mandate by the target date </w:t>
      </w:r>
      <w:r w:rsidR="001567D7">
        <w:rPr>
          <w:rFonts w:cs="Times New Roman"/>
        </w:rPr>
        <w:t xml:space="preserve">considering the start of school year and </w:t>
      </w:r>
      <w:r w:rsidR="00EA70B8" w:rsidRPr="00862201">
        <w:rPr>
          <w:rFonts w:cs="Times New Roman"/>
        </w:rPr>
        <w:t>depending on the COVID-19 status</w:t>
      </w:r>
      <w:r w:rsidR="001567D7">
        <w:rPr>
          <w:rFonts w:cs="Times New Roman"/>
        </w:rPr>
        <w:t xml:space="preserve">. </w:t>
      </w:r>
    </w:p>
    <w:p w14:paraId="68E067BF" w14:textId="541E9515" w:rsidR="00282C37" w:rsidRDefault="001567D7" w:rsidP="004F3BFC">
      <w:pPr>
        <w:rPr>
          <w:rFonts w:cs="Times New Roman"/>
        </w:rPr>
      </w:pPr>
      <w:r>
        <w:rPr>
          <w:rFonts w:cs="Times New Roman"/>
        </w:rPr>
        <w:t xml:space="preserve">The outcome Y is </w:t>
      </w:r>
      <w:r w:rsidR="00BE64B2">
        <w:rPr>
          <w:rFonts w:cs="Times New Roman"/>
        </w:rPr>
        <w:t xml:space="preserve">defined as </w:t>
      </w:r>
      <w:r>
        <w:rPr>
          <w:rFonts w:cs="Times New Roman"/>
        </w:rPr>
        <w:t>the COVID-19 confirmed case growth rate</w:t>
      </w:r>
      <w:r w:rsidR="00BE64B2">
        <w:rPr>
          <w:rFonts w:cs="Times New Roman"/>
        </w:rPr>
        <w:t xml:space="preserve"> </w:t>
      </w:r>
      <w:r w:rsidR="00D43AF8">
        <w:rPr>
          <w:rFonts w:cs="Times New Roman"/>
        </w:rPr>
        <w:t>N</w:t>
      </w:r>
      <w:r w:rsidR="00BE64B2">
        <w:rPr>
          <w:rFonts w:cs="Times New Roman"/>
        </w:rPr>
        <w:t xml:space="preserve"> days after the target date (</w:t>
      </w:r>
      <w:proofErr w:type="gramStart"/>
      <w:r w:rsidR="00BE64B2">
        <w:rPr>
          <w:rFonts w:cs="Times New Roman"/>
        </w:rPr>
        <w:t>September,</w:t>
      </w:r>
      <w:proofErr w:type="gramEnd"/>
      <w:r w:rsidR="00BE64B2">
        <w:rPr>
          <w:rFonts w:cs="Times New Roman"/>
        </w:rPr>
        <w:t xml:space="preserve"> 1, 2021):</w:t>
      </w:r>
      <w:r w:rsidR="00282C37" w:rsidRPr="00862201">
        <w:rPr>
          <w:rFonts w:cs="Times New Roman"/>
        </w:rPr>
        <w:t xml:space="preserve"> </w:t>
      </w:r>
    </w:p>
    <w:p w14:paraId="344A2603" w14:textId="77777777" w:rsidR="00570148" w:rsidRPr="00862201" w:rsidRDefault="00570148" w:rsidP="004F3BFC">
      <w:pPr>
        <w:rPr>
          <w:rFonts w:cs="Times New Roman"/>
        </w:rPr>
      </w:pPr>
    </w:p>
    <w:p w14:paraId="64EB8727" w14:textId="49FE47D1" w:rsidR="00B64B71" w:rsidRPr="00570148" w:rsidRDefault="00B64B71" w:rsidP="004F3BFC">
      <w:pPr>
        <w:rPr>
          <w:rFonts w:cs="Times New Roman"/>
        </w:rPr>
      </w:pPr>
      <m:oMathPara>
        <m:oMath>
          <m:r>
            <w:rPr>
              <w:rFonts w:ascii="Cambria Math" w:hAnsi="Cambria Math" w:cs="Times New Roman"/>
            </w:rPr>
            <m:t xml:space="preserve">Growth rate= </m:t>
          </m:r>
          <m:f>
            <m:fPr>
              <m:ctrlPr>
                <w:rPr>
                  <w:rFonts w:ascii="Cambria Math" w:hAnsi="Cambria Math" w:cs="Times New Roman"/>
                  <w:i/>
                </w:rPr>
              </m:ctrlPr>
            </m:fPr>
            <m:num>
              <m:r>
                <w:rPr>
                  <w:rFonts w:ascii="Cambria Math" w:hAnsi="Cambria Math" w:cs="Times New Roman"/>
                </w:rPr>
                <m:t># cumulative confirmed cases by N days after target date</m:t>
              </m:r>
            </m:num>
            <m:den>
              <m:r>
                <w:rPr>
                  <w:rFonts w:ascii="Cambria Math" w:hAnsi="Cambria Math" w:cs="Times New Roman"/>
                </w:rPr>
                <m:t># cumulative confirmed cases by target date</m:t>
              </m:r>
            </m:den>
          </m:f>
        </m:oMath>
      </m:oMathPara>
    </w:p>
    <w:p w14:paraId="3B15F32B" w14:textId="77777777" w:rsidR="00570148" w:rsidRPr="00BE64B2" w:rsidRDefault="00570148" w:rsidP="004F3BFC">
      <w:pPr>
        <w:rPr>
          <w:rFonts w:cs="Times New Roman"/>
        </w:rPr>
      </w:pPr>
    </w:p>
    <w:p w14:paraId="537D79D8" w14:textId="70B77B33" w:rsidR="002F51EC" w:rsidRDefault="00570148" w:rsidP="004F3BFC">
      <w:pPr>
        <w:rPr>
          <w:rFonts w:cs="Times New Roman"/>
        </w:rPr>
      </w:pPr>
      <w:r>
        <w:rPr>
          <w:rFonts w:cs="Times New Roman"/>
        </w:rPr>
        <w:t xml:space="preserve">The confounders X we have considered includes population demographics, population density, political leading, COVID-19 </w:t>
      </w:r>
      <w:proofErr w:type="gramStart"/>
      <w:r>
        <w:rPr>
          <w:rFonts w:cs="Times New Roman"/>
        </w:rPr>
        <w:t>status</w:t>
      </w:r>
      <w:proofErr w:type="gramEnd"/>
      <w:r>
        <w:rPr>
          <w:rFonts w:cs="Times New Roman"/>
        </w:rPr>
        <w:t xml:space="preserve"> and mobility change.</w:t>
      </w:r>
    </w:p>
    <w:p w14:paraId="2BC2726D" w14:textId="240F7CE5" w:rsidR="002F51EC" w:rsidRDefault="00BE64B2" w:rsidP="004F3BFC">
      <w:pPr>
        <w:rPr>
          <w:rFonts w:cs="Times New Roman"/>
        </w:rPr>
      </w:pPr>
      <w:r w:rsidRPr="00594C11">
        <w:rPr>
          <w:rFonts w:cs="Times New Roman"/>
        </w:rPr>
        <w:t xml:space="preserve">1) </w:t>
      </w:r>
      <w:r w:rsidRPr="00594C11">
        <w:rPr>
          <w:rFonts w:cs="Times New Roman"/>
          <w:b/>
          <w:bCs/>
        </w:rPr>
        <w:t>population demographics</w:t>
      </w:r>
      <w:r w:rsidRPr="00594C11">
        <w:rPr>
          <w:rFonts w:cs="Times New Roman"/>
        </w:rPr>
        <w:t xml:space="preserve"> including percentage of people older than 65 years old, number of people in poverty, racial and ethnic composition. According to CDC, Older adults are more likely to be hospitalized or die from COVID-19 </w:t>
      </w:r>
      <w:r w:rsidRPr="00594C11">
        <w:rPr>
          <w:rFonts w:cs="Times New Roman"/>
        </w:rPr>
        <w:fldChar w:fldCharType="begin" w:fldLock="1"/>
      </w:r>
      <w:r>
        <w:rPr>
          <w:rFonts w:cs="Times New Roman"/>
        </w:rPr>
        <w:instrText>ADDIN CSL_CITATION {"citationItems":[{"id":"ITEM-1","itemData":{"URL":"https://www.cdc.gov/aging/covid19/covid19-older-adults.html","id":"ITEM-1","issued":{"date-parts":[["0"]]},"title":"COVID-19 Recommendations for Older Adults","type":"webpage"},"uris":["http://www.mendeley.com/documents/?uuid=982be258-9b84-4531-bfb8-bc8b62bb3842"]}],"mendeley":{"formattedCitation":"(5)","plainTextFormattedCitation":"(5)","previouslyFormattedCitation":"(5)"},"properties":{"noteIndex":0},"schema":"https://github.com/citation-style-language/schema/raw/master/csl-citation.json"}</w:instrText>
      </w:r>
      <w:r w:rsidRPr="00594C11">
        <w:rPr>
          <w:rFonts w:cs="Times New Roman"/>
        </w:rPr>
        <w:fldChar w:fldCharType="separate"/>
      </w:r>
      <w:r w:rsidRPr="00401F29">
        <w:rPr>
          <w:rFonts w:cs="Times New Roman"/>
          <w:noProof/>
        </w:rPr>
        <w:t>(5)</w:t>
      </w:r>
      <w:r w:rsidRPr="00594C11">
        <w:rPr>
          <w:rFonts w:cs="Times New Roman"/>
        </w:rPr>
        <w:fldChar w:fldCharType="end"/>
      </w:r>
      <w:r w:rsidRPr="00594C11">
        <w:rPr>
          <w:rFonts w:cs="Times New Roman"/>
        </w:rPr>
        <w:t xml:space="preserve"> and Hispanic people represent a larger share of cases relative to their share of the total population </w:t>
      </w:r>
      <w:r w:rsidRPr="00594C11">
        <w:rPr>
          <w:rFonts w:cs="Times New Roman"/>
        </w:rPr>
        <w:fldChar w:fldCharType="begin" w:fldLock="1"/>
      </w:r>
      <w:r>
        <w:rPr>
          <w:rFonts w:cs="Times New Roman"/>
        </w:rPr>
        <w:instrText>ADDIN CSL_CITATION {"citationItems":[{"id":"ITEM-1","itemData":{"URL":"https://www.kff.org/racial-equity-and-health-policy/issue-brief/covid-19-cases-and-deaths-by-race-ethnicity-current-data-and-changes-over-time/","id":"ITEM-1","issued":{"date-parts":[["0"]]},"title":"COVID-19 Cases and Deaths by Race/Ethnicity: Current Data and Changes Over Time","type":"webpage"},"uris":["http://www.mendeley.com/documents/?uuid=d3e25925-dd2b-4cb2-8b67-e7cadb6c8a25"]}],"mendeley":{"formattedCitation":"(6)","plainTextFormattedCitation":"(6)","previouslyFormattedCitation":"(6)"},"properties":{"noteIndex":0},"schema":"https://github.com/citation-style-language/schema/raw/master/csl-citation.json"}</w:instrText>
      </w:r>
      <w:r w:rsidRPr="00594C11">
        <w:rPr>
          <w:rFonts w:cs="Times New Roman"/>
        </w:rPr>
        <w:fldChar w:fldCharType="separate"/>
      </w:r>
      <w:r w:rsidRPr="00401F29">
        <w:rPr>
          <w:rFonts w:cs="Times New Roman"/>
          <w:noProof/>
        </w:rPr>
        <w:t>(6)</w:t>
      </w:r>
      <w:r w:rsidRPr="00594C11">
        <w:rPr>
          <w:rFonts w:cs="Times New Roman"/>
        </w:rPr>
        <w:fldChar w:fldCharType="end"/>
      </w:r>
      <w:r w:rsidR="002F51EC">
        <w:rPr>
          <w:rFonts w:cs="Times New Roman"/>
        </w:rPr>
        <w:t>.</w:t>
      </w:r>
    </w:p>
    <w:p w14:paraId="417E8FBF" w14:textId="5B2737CD" w:rsidR="002F51EC" w:rsidRDefault="00BE64B2" w:rsidP="004F3BFC">
      <w:pPr>
        <w:rPr>
          <w:rFonts w:cs="Times New Roman"/>
        </w:rPr>
      </w:pPr>
      <w:r w:rsidRPr="00594C11">
        <w:rPr>
          <w:rFonts w:cs="Times New Roman"/>
        </w:rPr>
        <w:t xml:space="preserve">2) </w:t>
      </w:r>
      <w:r w:rsidRPr="00594C11">
        <w:rPr>
          <w:rFonts w:cs="Times New Roman"/>
          <w:b/>
          <w:bCs/>
        </w:rPr>
        <w:t>Population density</w:t>
      </w:r>
      <w:r w:rsidR="002F51EC">
        <w:rPr>
          <w:rFonts w:cs="Times New Roman"/>
        </w:rPr>
        <w:t xml:space="preserve"> could potentially impact virus circulation, and thus influence both policy decision making and health outcomes.</w:t>
      </w:r>
    </w:p>
    <w:p w14:paraId="2FD6CA2E" w14:textId="44C70D3A" w:rsidR="002F51EC" w:rsidRDefault="00BE64B2" w:rsidP="004F3BFC">
      <w:pPr>
        <w:rPr>
          <w:rFonts w:cs="Times New Roman"/>
        </w:rPr>
      </w:pPr>
      <w:r>
        <w:rPr>
          <w:rFonts w:cs="Times New Roman"/>
        </w:rPr>
        <w:t xml:space="preserve">3) </w:t>
      </w:r>
      <w:r w:rsidRPr="002F51EC">
        <w:rPr>
          <w:rFonts w:cs="Times New Roman"/>
          <w:b/>
          <w:bCs/>
        </w:rPr>
        <w:t>Political leading</w:t>
      </w:r>
      <w:r w:rsidR="0052078D">
        <w:rPr>
          <w:rFonts w:cs="Times New Roman"/>
          <w:b/>
          <w:bCs/>
        </w:rPr>
        <w:t xml:space="preserve"> </w:t>
      </w:r>
      <w:r w:rsidR="0052078D" w:rsidRPr="0052078D">
        <w:rPr>
          <w:rFonts w:cs="Times New Roman"/>
        </w:rPr>
        <w:t>will</w:t>
      </w:r>
      <w:r w:rsidR="0052078D">
        <w:rPr>
          <w:rFonts w:cs="Times New Roman"/>
          <w:b/>
          <w:bCs/>
        </w:rPr>
        <w:t xml:space="preserve"> </w:t>
      </w:r>
      <w:r w:rsidR="0052078D" w:rsidRPr="0052078D">
        <w:rPr>
          <w:rFonts w:cs="Times New Roman"/>
        </w:rPr>
        <w:t>lead</w:t>
      </w:r>
      <w:r w:rsidR="0052078D">
        <w:rPr>
          <w:rFonts w:cs="Times New Roman"/>
          <w:b/>
          <w:bCs/>
        </w:rPr>
        <w:t xml:space="preserve"> to </w:t>
      </w:r>
      <w:r w:rsidR="00F53272">
        <w:rPr>
          <w:rFonts w:cs="Times New Roman"/>
        </w:rPr>
        <w:t xml:space="preserve">different belief and thus </w:t>
      </w:r>
      <w:r w:rsidR="0052078D">
        <w:rPr>
          <w:rFonts w:cs="Times New Roman"/>
        </w:rPr>
        <w:t xml:space="preserve">different </w:t>
      </w:r>
      <w:r w:rsidR="00F53272">
        <w:rPr>
          <w:rFonts w:cs="Times New Roman"/>
        </w:rPr>
        <w:t>likelihood to implement a mask mandate. Moreover, political belief</w:t>
      </w:r>
      <w:r w:rsidR="002F51EC">
        <w:rPr>
          <w:rFonts w:cs="Times New Roman"/>
        </w:rPr>
        <w:t xml:space="preserve"> </w:t>
      </w:r>
      <w:r w:rsidR="0052078D">
        <w:rPr>
          <w:rFonts w:cs="Times New Roman"/>
        </w:rPr>
        <w:t>can also lead to different population</w:t>
      </w:r>
      <w:r w:rsidR="00F53272">
        <w:rPr>
          <w:rFonts w:cs="Times New Roman"/>
        </w:rPr>
        <w:t xml:space="preserve"> compliance towards </w:t>
      </w:r>
      <w:r w:rsidR="0052078D">
        <w:rPr>
          <w:rFonts w:cs="Times New Roman"/>
        </w:rPr>
        <w:t xml:space="preserve">public </w:t>
      </w:r>
      <w:r w:rsidR="00F53272">
        <w:rPr>
          <w:rFonts w:cs="Times New Roman"/>
        </w:rPr>
        <w:t xml:space="preserve">health guidance like social distancing. And their behaviors will </w:t>
      </w:r>
      <w:r w:rsidR="00BE3E2F">
        <w:rPr>
          <w:rFonts w:cs="Times New Roman"/>
        </w:rPr>
        <w:t xml:space="preserve">further </w:t>
      </w:r>
      <w:r w:rsidR="0052078D">
        <w:rPr>
          <w:rFonts w:cs="Times New Roman"/>
        </w:rPr>
        <w:t xml:space="preserve">influence </w:t>
      </w:r>
      <w:r w:rsidR="00BE3E2F">
        <w:rPr>
          <w:rFonts w:cs="Times New Roman"/>
        </w:rPr>
        <w:t>the virus transmission and thus the health outcome.</w:t>
      </w:r>
      <w:r w:rsidR="00123137">
        <w:rPr>
          <w:rFonts w:cs="Times New Roman"/>
        </w:rPr>
        <w:t xml:space="preserve"> </w:t>
      </w:r>
    </w:p>
    <w:p w14:paraId="37C178F9" w14:textId="2F7E9F24" w:rsidR="002F51EC" w:rsidRDefault="00BE64B2" w:rsidP="004F3BFC">
      <w:pPr>
        <w:rPr>
          <w:rFonts w:cs="Times New Roman"/>
        </w:rPr>
      </w:pPr>
      <w:r>
        <w:rPr>
          <w:rFonts w:cs="Times New Roman"/>
        </w:rPr>
        <w:t xml:space="preserve">4) </w:t>
      </w:r>
      <w:r w:rsidRPr="00594C11">
        <w:rPr>
          <w:rFonts w:cs="Times New Roman"/>
          <w:b/>
          <w:bCs/>
        </w:rPr>
        <w:t>COVID-19 status</w:t>
      </w:r>
      <w:r>
        <w:rPr>
          <w:rFonts w:cs="Times New Roman"/>
        </w:rPr>
        <w:t xml:space="preserve"> like total confirmed cases, death, fully vaccination rate prior to the targeted day</w:t>
      </w:r>
      <w:r w:rsidR="00BE3E2F">
        <w:rPr>
          <w:rFonts w:cs="Times New Roman"/>
        </w:rPr>
        <w:t xml:space="preserve"> can affect the government’s decision of whether to maintain the mandate throughout the targeted date if they have already implemented one, or whether to impose a mandate around the targeted date if they originally have a looser public policy. </w:t>
      </w:r>
      <w:r w:rsidR="0052078D">
        <w:rPr>
          <w:rFonts w:cs="Times New Roman"/>
        </w:rPr>
        <w:t>And the previous COVID-19 status before the target date can affect the status after.</w:t>
      </w:r>
    </w:p>
    <w:p w14:paraId="45C7DADE" w14:textId="63559A2F" w:rsidR="00BE64B2" w:rsidRDefault="00BE64B2" w:rsidP="004F3BFC">
      <w:pPr>
        <w:rPr>
          <w:rFonts w:cs="Times New Roman"/>
        </w:rPr>
      </w:pPr>
      <w:r>
        <w:rPr>
          <w:rFonts w:cs="Times New Roman"/>
        </w:rPr>
        <w:t xml:space="preserve"> 5) </w:t>
      </w:r>
      <w:r w:rsidRPr="00F523BC">
        <w:rPr>
          <w:rFonts w:cs="Times New Roman"/>
          <w:b/>
          <w:bCs/>
        </w:rPr>
        <w:t xml:space="preserve">Mobility </w:t>
      </w:r>
      <w:r>
        <w:rPr>
          <w:rFonts w:cs="Times New Roman"/>
          <w:b/>
          <w:bCs/>
        </w:rPr>
        <w:t>change</w:t>
      </w:r>
      <w:r>
        <w:rPr>
          <w:rFonts w:cs="Times New Roman"/>
        </w:rPr>
        <w:t xml:space="preserve"> in different points of interest prior to the target day</w:t>
      </w:r>
      <w:r w:rsidR="0052078D">
        <w:rPr>
          <w:rFonts w:cs="Times New Roman"/>
        </w:rPr>
        <w:t xml:space="preserve"> can be a reference for government’s response towards the pandemic</w:t>
      </w:r>
      <w:r w:rsidR="00836483">
        <w:rPr>
          <w:rFonts w:cs="Times New Roman"/>
        </w:rPr>
        <w:t xml:space="preserve">; the transmission of virus and thus the confirmed case growth rate will also be influenced by the mobility status. </w:t>
      </w:r>
    </w:p>
    <w:p w14:paraId="6608E214" w14:textId="6CFE86B3" w:rsidR="00570148" w:rsidRPr="00862201" w:rsidRDefault="00570148" w:rsidP="004F3BFC">
      <w:pPr>
        <w:rPr>
          <w:rFonts w:cs="Times New Roman"/>
        </w:rPr>
      </w:pPr>
      <w:r>
        <w:rPr>
          <w:rFonts w:cs="Times New Roman"/>
        </w:rPr>
        <w:t xml:space="preserve">In this study, we estimated the average treatment effect (ACE) </w:t>
      </w:r>
      <w:r w:rsidR="008660C2">
        <w:rPr>
          <w:rFonts w:cs="Times New Roman"/>
        </w:rPr>
        <w:t xml:space="preserve">with three approaches: outcome regression, propensity score weighting and doubly robust. We report and compare the results including point estimate of ACE and standard error across these three methods. </w:t>
      </w:r>
    </w:p>
    <w:p w14:paraId="74416B90" w14:textId="6F504DB9" w:rsidR="00C63A98" w:rsidRPr="00B64B71" w:rsidRDefault="00C63A98" w:rsidP="00C63A98">
      <w:pPr>
        <w:pStyle w:val="Heading1"/>
        <w:rPr>
          <w:b w:val="0"/>
        </w:rPr>
      </w:pPr>
      <w:bookmarkStart w:id="4" w:name="_Toc90165227"/>
      <w:r w:rsidRPr="00B64B71">
        <w:lastRenderedPageBreak/>
        <w:t>D</w:t>
      </w:r>
      <w:r w:rsidR="00463058">
        <w:t>ATA</w:t>
      </w:r>
      <w:bookmarkEnd w:id="4"/>
      <w:r w:rsidRPr="00B64B71">
        <w:t xml:space="preserve"> </w:t>
      </w:r>
    </w:p>
    <w:p w14:paraId="35C8163F" w14:textId="1CD15AD1" w:rsidR="00BE64B2" w:rsidRDefault="002A6A5E" w:rsidP="00BE64B2">
      <w:pPr>
        <w:rPr>
          <w:rFonts w:cs="Times New Roman"/>
        </w:rPr>
      </w:pPr>
      <w:r w:rsidRPr="00594C11">
        <w:rPr>
          <w:rFonts w:cs="Times New Roman"/>
        </w:rPr>
        <w:t xml:space="preserve">For this study, the state-level covariates are obtained from the </w:t>
      </w:r>
      <w:r w:rsidR="00A95793" w:rsidRPr="00594C11">
        <w:rPr>
          <w:rFonts w:cs="Times New Roman"/>
        </w:rPr>
        <w:t>most recent available American Community Survey 5-Year Data (2019)</w:t>
      </w:r>
      <w:r w:rsidRPr="00594C11">
        <w:rPr>
          <w:rFonts w:cs="Times New Roman"/>
        </w:rPr>
        <w:t>, John Hopkins Coronavirus Resource Center, COVID-19 US State Policy Database (CUSP), New York Times, and Google COVID-19 Community Mobility Reports</w:t>
      </w:r>
      <w:r w:rsidR="00A95793" w:rsidRPr="00594C11">
        <w:rPr>
          <w:rFonts w:cs="Times New Roman"/>
        </w:rPr>
        <w:t>.</w:t>
      </w:r>
      <w:r w:rsidR="00463058" w:rsidRPr="00594C11">
        <w:rPr>
          <w:rFonts w:cs="Times New Roman"/>
        </w:rPr>
        <w:t xml:space="preserve"> </w:t>
      </w:r>
    </w:p>
    <w:p w14:paraId="6B2EB952" w14:textId="59725861" w:rsidR="007C0A6D" w:rsidRDefault="007C0A6D" w:rsidP="007C0A6D">
      <w:pPr>
        <w:pStyle w:val="Caption"/>
        <w:keepNext/>
      </w:pPr>
      <w:r>
        <w:t xml:space="preserve">Table </w:t>
      </w:r>
      <w:r w:rsidR="00426C97">
        <w:fldChar w:fldCharType="begin"/>
      </w:r>
      <w:r w:rsidR="00426C97">
        <w:instrText xml:space="preserve"> SEQ Table \*</w:instrText>
      </w:r>
      <w:r w:rsidR="00426C97">
        <w:instrText xml:space="preserve"> ARABIC </w:instrText>
      </w:r>
      <w:r w:rsidR="00426C97">
        <w:fldChar w:fldCharType="separate"/>
      </w:r>
      <w:r w:rsidR="009E02A0">
        <w:rPr>
          <w:noProof/>
        </w:rPr>
        <w:t>1</w:t>
      </w:r>
      <w:r w:rsidR="00426C97">
        <w:rPr>
          <w:noProof/>
        </w:rPr>
        <w:fldChar w:fldCharType="end"/>
      </w:r>
      <w:r>
        <w:t xml:space="preserve"> Data source</w:t>
      </w:r>
    </w:p>
    <w:tbl>
      <w:tblPr>
        <w:tblW w:w="10890" w:type="dxa"/>
        <w:tblInd w:w="-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1178"/>
        <w:gridCol w:w="3911"/>
        <w:gridCol w:w="4418"/>
      </w:tblGrid>
      <w:tr w:rsidR="007C0A6D" w:rsidRPr="007C0A6D" w14:paraId="642DF3E9" w14:textId="77777777" w:rsidTr="007C0A6D">
        <w:trPr>
          <w:trHeight w:val="298"/>
        </w:trPr>
        <w:tc>
          <w:tcPr>
            <w:tcW w:w="1383" w:type="dxa"/>
            <w:shd w:val="clear" w:color="auto" w:fill="auto"/>
            <w:noWrap/>
            <w:vAlign w:val="bottom"/>
            <w:hideMark/>
          </w:tcPr>
          <w:p w14:paraId="2F8DCF01" w14:textId="77777777" w:rsidR="007C0A6D" w:rsidRPr="007C0A6D" w:rsidRDefault="007C0A6D" w:rsidP="007C0A6D">
            <w:pPr>
              <w:spacing w:after="0" w:line="240" w:lineRule="auto"/>
              <w:rPr>
                <w:rFonts w:eastAsia="Times New Roman" w:cs="Times New Roman"/>
                <w:sz w:val="20"/>
                <w:szCs w:val="20"/>
              </w:rPr>
            </w:pPr>
          </w:p>
        </w:tc>
        <w:tc>
          <w:tcPr>
            <w:tcW w:w="1178" w:type="dxa"/>
            <w:shd w:val="clear" w:color="auto" w:fill="auto"/>
            <w:noWrap/>
            <w:vAlign w:val="bottom"/>
            <w:hideMark/>
          </w:tcPr>
          <w:p w14:paraId="6E4B305A" w14:textId="77777777" w:rsidR="007C0A6D" w:rsidRPr="007C0A6D" w:rsidRDefault="007C0A6D" w:rsidP="007C0A6D">
            <w:pPr>
              <w:spacing w:after="0" w:line="240" w:lineRule="auto"/>
              <w:rPr>
                <w:rFonts w:eastAsia="Times New Roman" w:cs="Times New Roman"/>
                <w:b/>
                <w:bCs/>
                <w:color w:val="000000"/>
                <w:sz w:val="20"/>
                <w:szCs w:val="20"/>
              </w:rPr>
            </w:pPr>
            <w:r w:rsidRPr="007C0A6D">
              <w:rPr>
                <w:rFonts w:eastAsia="Times New Roman" w:cs="Times New Roman"/>
                <w:b/>
                <w:bCs/>
                <w:color w:val="000000"/>
                <w:sz w:val="20"/>
                <w:szCs w:val="20"/>
              </w:rPr>
              <w:t>Category</w:t>
            </w:r>
          </w:p>
        </w:tc>
        <w:tc>
          <w:tcPr>
            <w:tcW w:w="3911" w:type="dxa"/>
            <w:shd w:val="clear" w:color="auto" w:fill="auto"/>
            <w:noWrap/>
            <w:vAlign w:val="center"/>
            <w:hideMark/>
          </w:tcPr>
          <w:p w14:paraId="558AE87A" w14:textId="77777777" w:rsidR="007C0A6D" w:rsidRPr="007C0A6D" w:rsidRDefault="007C0A6D" w:rsidP="007C0A6D">
            <w:pPr>
              <w:spacing w:after="0" w:line="240" w:lineRule="auto"/>
              <w:rPr>
                <w:rFonts w:eastAsia="Times New Roman" w:cs="Times New Roman"/>
                <w:b/>
                <w:bCs/>
                <w:color w:val="000000"/>
                <w:sz w:val="20"/>
                <w:szCs w:val="20"/>
              </w:rPr>
            </w:pPr>
            <w:r w:rsidRPr="007C0A6D">
              <w:rPr>
                <w:rFonts w:eastAsia="Times New Roman" w:cs="Times New Roman"/>
                <w:b/>
                <w:bCs/>
                <w:color w:val="000000"/>
                <w:sz w:val="20"/>
                <w:szCs w:val="20"/>
              </w:rPr>
              <w:t>Description</w:t>
            </w:r>
          </w:p>
        </w:tc>
        <w:tc>
          <w:tcPr>
            <w:tcW w:w="4418" w:type="dxa"/>
            <w:shd w:val="clear" w:color="auto" w:fill="auto"/>
            <w:noWrap/>
            <w:vAlign w:val="center"/>
            <w:hideMark/>
          </w:tcPr>
          <w:p w14:paraId="4D056CDB" w14:textId="77777777" w:rsidR="007C0A6D" w:rsidRPr="007C0A6D" w:rsidRDefault="007C0A6D" w:rsidP="007C0A6D">
            <w:pPr>
              <w:spacing w:after="0" w:line="240" w:lineRule="auto"/>
              <w:rPr>
                <w:rFonts w:eastAsia="Times New Roman" w:cs="Times New Roman"/>
                <w:b/>
                <w:bCs/>
                <w:color w:val="000000"/>
                <w:sz w:val="20"/>
                <w:szCs w:val="20"/>
              </w:rPr>
            </w:pPr>
            <w:r w:rsidRPr="007C0A6D">
              <w:rPr>
                <w:rFonts w:eastAsia="Times New Roman" w:cs="Times New Roman"/>
                <w:b/>
                <w:bCs/>
                <w:color w:val="000000"/>
                <w:sz w:val="20"/>
                <w:szCs w:val="20"/>
              </w:rPr>
              <w:t>Data Source</w:t>
            </w:r>
          </w:p>
        </w:tc>
      </w:tr>
      <w:tr w:rsidR="007C0A6D" w:rsidRPr="007C0A6D" w14:paraId="39D69BAE" w14:textId="77777777" w:rsidTr="007C0A6D">
        <w:trPr>
          <w:trHeight w:val="298"/>
        </w:trPr>
        <w:tc>
          <w:tcPr>
            <w:tcW w:w="1383" w:type="dxa"/>
            <w:vMerge w:val="restart"/>
            <w:shd w:val="clear" w:color="auto" w:fill="auto"/>
            <w:vAlign w:val="center"/>
            <w:hideMark/>
          </w:tcPr>
          <w:p w14:paraId="51F31021" w14:textId="77777777" w:rsidR="007C0A6D" w:rsidRPr="007C0A6D" w:rsidRDefault="007C0A6D" w:rsidP="007C0A6D">
            <w:pPr>
              <w:spacing w:after="0" w:line="240" w:lineRule="auto"/>
              <w:jc w:val="center"/>
              <w:rPr>
                <w:rFonts w:eastAsia="Times New Roman" w:cs="Times New Roman"/>
                <w:color w:val="000000"/>
                <w:sz w:val="20"/>
                <w:szCs w:val="20"/>
              </w:rPr>
            </w:pPr>
            <w:r w:rsidRPr="007C0A6D">
              <w:rPr>
                <w:rFonts w:eastAsia="Times New Roman" w:cs="Times New Roman"/>
                <w:color w:val="000000"/>
                <w:sz w:val="20"/>
                <w:szCs w:val="20"/>
              </w:rPr>
              <w:t>Population Demographics</w:t>
            </w:r>
          </w:p>
        </w:tc>
        <w:tc>
          <w:tcPr>
            <w:tcW w:w="1178" w:type="dxa"/>
            <w:vMerge w:val="restart"/>
            <w:shd w:val="clear" w:color="auto" w:fill="auto"/>
            <w:vAlign w:val="bottom"/>
            <w:hideMark/>
          </w:tcPr>
          <w:p w14:paraId="74BE9DB3" w14:textId="77777777" w:rsidR="007C0A6D" w:rsidRPr="007C0A6D" w:rsidRDefault="007C0A6D" w:rsidP="007C0A6D">
            <w:pPr>
              <w:spacing w:after="0" w:line="240" w:lineRule="auto"/>
              <w:jc w:val="center"/>
              <w:rPr>
                <w:rFonts w:eastAsia="Times New Roman" w:cs="Times New Roman"/>
                <w:color w:val="000000"/>
                <w:sz w:val="20"/>
                <w:szCs w:val="20"/>
              </w:rPr>
            </w:pPr>
            <w:r w:rsidRPr="007C0A6D">
              <w:rPr>
                <w:rFonts w:eastAsia="Times New Roman" w:cs="Times New Roman"/>
                <w:color w:val="000000"/>
                <w:sz w:val="20"/>
                <w:szCs w:val="20"/>
              </w:rPr>
              <w:t>Age distribution</w:t>
            </w:r>
          </w:p>
        </w:tc>
        <w:tc>
          <w:tcPr>
            <w:tcW w:w="3911" w:type="dxa"/>
            <w:shd w:val="clear" w:color="auto" w:fill="auto"/>
            <w:noWrap/>
            <w:vAlign w:val="center"/>
            <w:hideMark/>
          </w:tcPr>
          <w:p w14:paraId="4FB4C274"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Percentage of people over 65 years old</w:t>
            </w:r>
          </w:p>
        </w:tc>
        <w:tc>
          <w:tcPr>
            <w:tcW w:w="4418" w:type="dxa"/>
            <w:shd w:val="clear" w:color="auto" w:fill="auto"/>
            <w:noWrap/>
            <w:vAlign w:val="center"/>
            <w:hideMark/>
          </w:tcPr>
          <w:p w14:paraId="6494C1AB"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U.S. Census 2015-2019 ACS</w:t>
            </w:r>
          </w:p>
        </w:tc>
      </w:tr>
      <w:tr w:rsidR="007C0A6D" w:rsidRPr="007C0A6D" w14:paraId="6240D5DA" w14:textId="77777777" w:rsidTr="007C0A6D">
        <w:trPr>
          <w:trHeight w:val="298"/>
        </w:trPr>
        <w:tc>
          <w:tcPr>
            <w:tcW w:w="1383" w:type="dxa"/>
            <w:vMerge/>
            <w:vAlign w:val="center"/>
            <w:hideMark/>
          </w:tcPr>
          <w:p w14:paraId="791F44E3" w14:textId="77777777" w:rsidR="007C0A6D" w:rsidRPr="007C0A6D" w:rsidRDefault="007C0A6D" w:rsidP="007C0A6D">
            <w:pPr>
              <w:spacing w:after="0" w:line="240" w:lineRule="auto"/>
              <w:rPr>
                <w:rFonts w:eastAsia="Times New Roman" w:cs="Times New Roman"/>
                <w:color w:val="000000"/>
                <w:sz w:val="20"/>
                <w:szCs w:val="20"/>
              </w:rPr>
            </w:pPr>
          </w:p>
        </w:tc>
        <w:tc>
          <w:tcPr>
            <w:tcW w:w="1178" w:type="dxa"/>
            <w:vMerge/>
            <w:vAlign w:val="center"/>
            <w:hideMark/>
          </w:tcPr>
          <w:p w14:paraId="3FA2C122" w14:textId="77777777" w:rsidR="007C0A6D" w:rsidRPr="007C0A6D" w:rsidRDefault="007C0A6D" w:rsidP="007C0A6D">
            <w:pPr>
              <w:spacing w:after="0" w:line="240" w:lineRule="auto"/>
              <w:rPr>
                <w:rFonts w:eastAsia="Times New Roman" w:cs="Times New Roman"/>
                <w:color w:val="000000"/>
                <w:sz w:val="20"/>
                <w:szCs w:val="20"/>
              </w:rPr>
            </w:pPr>
          </w:p>
        </w:tc>
        <w:tc>
          <w:tcPr>
            <w:tcW w:w="3911" w:type="dxa"/>
            <w:shd w:val="clear" w:color="auto" w:fill="auto"/>
            <w:noWrap/>
            <w:vAlign w:val="center"/>
            <w:hideMark/>
          </w:tcPr>
          <w:p w14:paraId="61D81B2D"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Median Age</w:t>
            </w:r>
          </w:p>
        </w:tc>
        <w:tc>
          <w:tcPr>
            <w:tcW w:w="4418" w:type="dxa"/>
            <w:shd w:val="clear" w:color="auto" w:fill="auto"/>
            <w:noWrap/>
            <w:vAlign w:val="center"/>
            <w:hideMark/>
          </w:tcPr>
          <w:p w14:paraId="3A9787C8"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U.S. Census 2015-2019 ACS</w:t>
            </w:r>
          </w:p>
        </w:tc>
      </w:tr>
      <w:tr w:rsidR="007C0A6D" w:rsidRPr="007C0A6D" w14:paraId="56EC0903" w14:textId="77777777" w:rsidTr="007C0A6D">
        <w:trPr>
          <w:trHeight w:val="298"/>
        </w:trPr>
        <w:tc>
          <w:tcPr>
            <w:tcW w:w="1383" w:type="dxa"/>
            <w:vMerge/>
            <w:vAlign w:val="center"/>
            <w:hideMark/>
          </w:tcPr>
          <w:p w14:paraId="6C58EFFF" w14:textId="77777777" w:rsidR="007C0A6D" w:rsidRPr="007C0A6D" w:rsidRDefault="007C0A6D" w:rsidP="007C0A6D">
            <w:pPr>
              <w:spacing w:after="0" w:line="240" w:lineRule="auto"/>
              <w:rPr>
                <w:rFonts w:eastAsia="Times New Roman" w:cs="Times New Roman"/>
                <w:color w:val="000000"/>
                <w:sz w:val="20"/>
                <w:szCs w:val="20"/>
              </w:rPr>
            </w:pPr>
          </w:p>
        </w:tc>
        <w:tc>
          <w:tcPr>
            <w:tcW w:w="1178" w:type="dxa"/>
            <w:vMerge w:val="restart"/>
            <w:shd w:val="clear" w:color="auto" w:fill="auto"/>
            <w:noWrap/>
            <w:vAlign w:val="center"/>
            <w:hideMark/>
          </w:tcPr>
          <w:p w14:paraId="2AFC07BE" w14:textId="77777777" w:rsidR="007C0A6D" w:rsidRPr="007C0A6D" w:rsidRDefault="007C0A6D" w:rsidP="007C0A6D">
            <w:pPr>
              <w:spacing w:after="0" w:line="240" w:lineRule="auto"/>
              <w:jc w:val="center"/>
              <w:rPr>
                <w:rFonts w:eastAsia="Times New Roman" w:cs="Times New Roman"/>
                <w:color w:val="000000"/>
                <w:sz w:val="20"/>
                <w:szCs w:val="20"/>
              </w:rPr>
            </w:pPr>
            <w:r w:rsidRPr="007C0A6D">
              <w:rPr>
                <w:rFonts w:eastAsia="Times New Roman" w:cs="Times New Roman"/>
                <w:color w:val="000000"/>
                <w:sz w:val="20"/>
                <w:szCs w:val="20"/>
              </w:rPr>
              <w:t>Economics</w:t>
            </w:r>
          </w:p>
        </w:tc>
        <w:tc>
          <w:tcPr>
            <w:tcW w:w="3911" w:type="dxa"/>
            <w:shd w:val="clear" w:color="auto" w:fill="auto"/>
            <w:noWrap/>
            <w:vAlign w:val="center"/>
            <w:hideMark/>
          </w:tcPr>
          <w:p w14:paraId="21C1D27A"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Percentage of people in poverty</w:t>
            </w:r>
          </w:p>
        </w:tc>
        <w:tc>
          <w:tcPr>
            <w:tcW w:w="4418" w:type="dxa"/>
            <w:shd w:val="clear" w:color="auto" w:fill="auto"/>
            <w:noWrap/>
            <w:vAlign w:val="center"/>
            <w:hideMark/>
          </w:tcPr>
          <w:p w14:paraId="23B44C9E"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U.S. Census 2015-2019 ACS</w:t>
            </w:r>
          </w:p>
        </w:tc>
      </w:tr>
      <w:tr w:rsidR="007C0A6D" w:rsidRPr="007C0A6D" w14:paraId="347FE739" w14:textId="77777777" w:rsidTr="007C0A6D">
        <w:trPr>
          <w:trHeight w:val="298"/>
        </w:trPr>
        <w:tc>
          <w:tcPr>
            <w:tcW w:w="1383" w:type="dxa"/>
            <w:vMerge/>
            <w:vAlign w:val="center"/>
            <w:hideMark/>
          </w:tcPr>
          <w:p w14:paraId="38229A19" w14:textId="77777777" w:rsidR="007C0A6D" w:rsidRPr="007C0A6D" w:rsidRDefault="007C0A6D" w:rsidP="007C0A6D">
            <w:pPr>
              <w:spacing w:after="0" w:line="240" w:lineRule="auto"/>
              <w:rPr>
                <w:rFonts w:eastAsia="Times New Roman" w:cs="Times New Roman"/>
                <w:color w:val="000000"/>
                <w:sz w:val="20"/>
                <w:szCs w:val="20"/>
              </w:rPr>
            </w:pPr>
          </w:p>
        </w:tc>
        <w:tc>
          <w:tcPr>
            <w:tcW w:w="1178" w:type="dxa"/>
            <w:vMerge/>
            <w:vAlign w:val="center"/>
            <w:hideMark/>
          </w:tcPr>
          <w:p w14:paraId="227E7B0A" w14:textId="77777777" w:rsidR="007C0A6D" w:rsidRPr="007C0A6D" w:rsidRDefault="007C0A6D" w:rsidP="007C0A6D">
            <w:pPr>
              <w:spacing w:after="0" w:line="240" w:lineRule="auto"/>
              <w:rPr>
                <w:rFonts w:eastAsia="Times New Roman" w:cs="Times New Roman"/>
                <w:color w:val="000000"/>
                <w:sz w:val="20"/>
                <w:szCs w:val="20"/>
              </w:rPr>
            </w:pPr>
          </w:p>
        </w:tc>
        <w:tc>
          <w:tcPr>
            <w:tcW w:w="3911" w:type="dxa"/>
            <w:shd w:val="clear" w:color="auto" w:fill="auto"/>
            <w:noWrap/>
            <w:vAlign w:val="center"/>
            <w:hideMark/>
          </w:tcPr>
          <w:p w14:paraId="6942ECD2"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Percentage of household in poverty</w:t>
            </w:r>
          </w:p>
        </w:tc>
        <w:tc>
          <w:tcPr>
            <w:tcW w:w="4418" w:type="dxa"/>
            <w:shd w:val="clear" w:color="auto" w:fill="auto"/>
            <w:noWrap/>
            <w:vAlign w:val="center"/>
            <w:hideMark/>
          </w:tcPr>
          <w:p w14:paraId="47842B5A"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U.S. Census 2015-2019 ACS</w:t>
            </w:r>
          </w:p>
        </w:tc>
      </w:tr>
      <w:tr w:rsidR="007C0A6D" w:rsidRPr="007C0A6D" w14:paraId="17F4F5B6" w14:textId="77777777" w:rsidTr="007C0A6D">
        <w:trPr>
          <w:trHeight w:val="298"/>
        </w:trPr>
        <w:tc>
          <w:tcPr>
            <w:tcW w:w="1383" w:type="dxa"/>
            <w:vMerge/>
            <w:vAlign w:val="center"/>
            <w:hideMark/>
          </w:tcPr>
          <w:p w14:paraId="29D65325" w14:textId="77777777" w:rsidR="007C0A6D" w:rsidRPr="007C0A6D" w:rsidRDefault="007C0A6D" w:rsidP="007C0A6D">
            <w:pPr>
              <w:spacing w:after="0" w:line="240" w:lineRule="auto"/>
              <w:rPr>
                <w:rFonts w:eastAsia="Times New Roman" w:cs="Times New Roman"/>
                <w:color w:val="000000"/>
                <w:sz w:val="20"/>
                <w:szCs w:val="20"/>
              </w:rPr>
            </w:pPr>
          </w:p>
        </w:tc>
        <w:tc>
          <w:tcPr>
            <w:tcW w:w="1178" w:type="dxa"/>
            <w:vMerge/>
            <w:vAlign w:val="center"/>
            <w:hideMark/>
          </w:tcPr>
          <w:p w14:paraId="1E407953" w14:textId="77777777" w:rsidR="007C0A6D" w:rsidRPr="007C0A6D" w:rsidRDefault="007C0A6D" w:rsidP="007C0A6D">
            <w:pPr>
              <w:spacing w:after="0" w:line="240" w:lineRule="auto"/>
              <w:rPr>
                <w:rFonts w:eastAsia="Times New Roman" w:cs="Times New Roman"/>
                <w:color w:val="000000"/>
                <w:sz w:val="20"/>
                <w:szCs w:val="20"/>
              </w:rPr>
            </w:pPr>
          </w:p>
        </w:tc>
        <w:tc>
          <w:tcPr>
            <w:tcW w:w="3911" w:type="dxa"/>
            <w:shd w:val="clear" w:color="auto" w:fill="auto"/>
            <w:noWrap/>
            <w:vAlign w:val="center"/>
            <w:hideMark/>
          </w:tcPr>
          <w:p w14:paraId="2A7B388D"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Median Income</w:t>
            </w:r>
          </w:p>
        </w:tc>
        <w:tc>
          <w:tcPr>
            <w:tcW w:w="4418" w:type="dxa"/>
            <w:shd w:val="clear" w:color="auto" w:fill="auto"/>
            <w:noWrap/>
            <w:vAlign w:val="center"/>
            <w:hideMark/>
          </w:tcPr>
          <w:p w14:paraId="54353311"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U.S. Census 2015-2019 ACS</w:t>
            </w:r>
          </w:p>
        </w:tc>
      </w:tr>
      <w:tr w:rsidR="007C0A6D" w:rsidRPr="007C0A6D" w14:paraId="5438A2DB" w14:textId="77777777" w:rsidTr="007C0A6D">
        <w:trPr>
          <w:trHeight w:val="298"/>
        </w:trPr>
        <w:tc>
          <w:tcPr>
            <w:tcW w:w="1383" w:type="dxa"/>
            <w:vMerge/>
            <w:vAlign w:val="center"/>
            <w:hideMark/>
          </w:tcPr>
          <w:p w14:paraId="2B82F520" w14:textId="77777777" w:rsidR="007C0A6D" w:rsidRPr="007C0A6D" w:rsidRDefault="007C0A6D" w:rsidP="007C0A6D">
            <w:pPr>
              <w:spacing w:after="0" w:line="240" w:lineRule="auto"/>
              <w:rPr>
                <w:rFonts w:eastAsia="Times New Roman" w:cs="Times New Roman"/>
                <w:color w:val="000000"/>
                <w:sz w:val="20"/>
                <w:szCs w:val="20"/>
              </w:rPr>
            </w:pPr>
          </w:p>
        </w:tc>
        <w:tc>
          <w:tcPr>
            <w:tcW w:w="1178" w:type="dxa"/>
            <w:vMerge w:val="restart"/>
            <w:shd w:val="clear" w:color="auto" w:fill="auto"/>
            <w:vAlign w:val="center"/>
            <w:hideMark/>
          </w:tcPr>
          <w:p w14:paraId="5A029455" w14:textId="77777777" w:rsidR="007C0A6D" w:rsidRPr="007C0A6D" w:rsidRDefault="007C0A6D" w:rsidP="007C0A6D">
            <w:pPr>
              <w:spacing w:after="0" w:line="240" w:lineRule="auto"/>
              <w:jc w:val="center"/>
              <w:rPr>
                <w:rFonts w:eastAsia="Times New Roman" w:cs="Times New Roman"/>
                <w:color w:val="000000"/>
                <w:sz w:val="20"/>
                <w:szCs w:val="20"/>
              </w:rPr>
            </w:pPr>
            <w:r w:rsidRPr="007C0A6D">
              <w:rPr>
                <w:rFonts w:eastAsia="Times New Roman" w:cs="Times New Roman"/>
                <w:color w:val="000000"/>
                <w:sz w:val="20"/>
                <w:szCs w:val="20"/>
              </w:rPr>
              <w:t>Race/</w:t>
            </w:r>
            <w:r w:rsidRPr="007C0A6D">
              <w:rPr>
                <w:rFonts w:eastAsia="Times New Roman" w:cs="Times New Roman"/>
                <w:color w:val="000000"/>
                <w:sz w:val="20"/>
                <w:szCs w:val="20"/>
              </w:rPr>
              <w:br/>
              <w:t>Ethnicity</w:t>
            </w:r>
          </w:p>
        </w:tc>
        <w:tc>
          <w:tcPr>
            <w:tcW w:w="3911" w:type="dxa"/>
            <w:shd w:val="clear" w:color="auto" w:fill="auto"/>
            <w:noWrap/>
            <w:vAlign w:val="center"/>
            <w:hideMark/>
          </w:tcPr>
          <w:p w14:paraId="30015433"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Percentage of White</w:t>
            </w:r>
          </w:p>
        </w:tc>
        <w:tc>
          <w:tcPr>
            <w:tcW w:w="4418" w:type="dxa"/>
            <w:shd w:val="clear" w:color="auto" w:fill="auto"/>
            <w:noWrap/>
            <w:vAlign w:val="center"/>
            <w:hideMark/>
          </w:tcPr>
          <w:p w14:paraId="3E0801C4"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U.S. Census 2015-2019 ACS</w:t>
            </w:r>
          </w:p>
        </w:tc>
      </w:tr>
      <w:tr w:rsidR="007C0A6D" w:rsidRPr="007C0A6D" w14:paraId="06B7A232" w14:textId="77777777" w:rsidTr="007C0A6D">
        <w:trPr>
          <w:trHeight w:val="298"/>
        </w:trPr>
        <w:tc>
          <w:tcPr>
            <w:tcW w:w="1383" w:type="dxa"/>
            <w:vMerge/>
            <w:vAlign w:val="center"/>
            <w:hideMark/>
          </w:tcPr>
          <w:p w14:paraId="1BCC7F8E" w14:textId="77777777" w:rsidR="007C0A6D" w:rsidRPr="007C0A6D" w:rsidRDefault="007C0A6D" w:rsidP="007C0A6D">
            <w:pPr>
              <w:spacing w:after="0" w:line="240" w:lineRule="auto"/>
              <w:rPr>
                <w:rFonts w:eastAsia="Times New Roman" w:cs="Times New Roman"/>
                <w:color w:val="000000"/>
                <w:sz w:val="20"/>
                <w:szCs w:val="20"/>
              </w:rPr>
            </w:pPr>
          </w:p>
        </w:tc>
        <w:tc>
          <w:tcPr>
            <w:tcW w:w="1178" w:type="dxa"/>
            <w:vMerge/>
            <w:vAlign w:val="center"/>
            <w:hideMark/>
          </w:tcPr>
          <w:p w14:paraId="0F4635D1" w14:textId="77777777" w:rsidR="007C0A6D" w:rsidRPr="007C0A6D" w:rsidRDefault="007C0A6D" w:rsidP="007C0A6D">
            <w:pPr>
              <w:spacing w:after="0" w:line="240" w:lineRule="auto"/>
              <w:rPr>
                <w:rFonts w:eastAsia="Times New Roman" w:cs="Times New Roman"/>
                <w:color w:val="000000"/>
                <w:sz w:val="20"/>
                <w:szCs w:val="20"/>
              </w:rPr>
            </w:pPr>
          </w:p>
        </w:tc>
        <w:tc>
          <w:tcPr>
            <w:tcW w:w="3911" w:type="dxa"/>
            <w:shd w:val="clear" w:color="auto" w:fill="auto"/>
            <w:noWrap/>
            <w:vAlign w:val="center"/>
            <w:hideMark/>
          </w:tcPr>
          <w:p w14:paraId="138B547E"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Percentage of Black or African American</w:t>
            </w:r>
          </w:p>
        </w:tc>
        <w:tc>
          <w:tcPr>
            <w:tcW w:w="4418" w:type="dxa"/>
            <w:shd w:val="clear" w:color="auto" w:fill="auto"/>
            <w:noWrap/>
            <w:vAlign w:val="center"/>
            <w:hideMark/>
          </w:tcPr>
          <w:p w14:paraId="633516C6"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U.S. Census 2015-2019 ACS</w:t>
            </w:r>
          </w:p>
        </w:tc>
      </w:tr>
      <w:tr w:rsidR="007C0A6D" w:rsidRPr="007C0A6D" w14:paraId="4119BA66" w14:textId="77777777" w:rsidTr="007C0A6D">
        <w:trPr>
          <w:trHeight w:val="298"/>
        </w:trPr>
        <w:tc>
          <w:tcPr>
            <w:tcW w:w="1383" w:type="dxa"/>
            <w:vMerge/>
            <w:vAlign w:val="center"/>
            <w:hideMark/>
          </w:tcPr>
          <w:p w14:paraId="4DD5F9BB" w14:textId="77777777" w:rsidR="007C0A6D" w:rsidRPr="007C0A6D" w:rsidRDefault="007C0A6D" w:rsidP="007C0A6D">
            <w:pPr>
              <w:spacing w:after="0" w:line="240" w:lineRule="auto"/>
              <w:rPr>
                <w:rFonts w:eastAsia="Times New Roman" w:cs="Times New Roman"/>
                <w:color w:val="000000"/>
                <w:sz w:val="20"/>
                <w:szCs w:val="20"/>
              </w:rPr>
            </w:pPr>
          </w:p>
        </w:tc>
        <w:tc>
          <w:tcPr>
            <w:tcW w:w="1178" w:type="dxa"/>
            <w:vMerge/>
            <w:vAlign w:val="center"/>
            <w:hideMark/>
          </w:tcPr>
          <w:p w14:paraId="24DA6329" w14:textId="77777777" w:rsidR="007C0A6D" w:rsidRPr="007C0A6D" w:rsidRDefault="007C0A6D" w:rsidP="007C0A6D">
            <w:pPr>
              <w:spacing w:after="0" w:line="240" w:lineRule="auto"/>
              <w:rPr>
                <w:rFonts w:eastAsia="Times New Roman" w:cs="Times New Roman"/>
                <w:color w:val="000000"/>
                <w:sz w:val="20"/>
                <w:szCs w:val="20"/>
              </w:rPr>
            </w:pPr>
          </w:p>
        </w:tc>
        <w:tc>
          <w:tcPr>
            <w:tcW w:w="3911" w:type="dxa"/>
            <w:shd w:val="clear" w:color="auto" w:fill="auto"/>
            <w:noWrap/>
            <w:vAlign w:val="center"/>
            <w:hideMark/>
          </w:tcPr>
          <w:p w14:paraId="691AE8C5"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Percentage of Asian</w:t>
            </w:r>
          </w:p>
        </w:tc>
        <w:tc>
          <w:tcPr>
            <w:tcW w:w="4418" w:type="dxa"/>
            <w:shd w:val="clear" w:color="auto" w:fill="auto"/>
            <w:noWrap/>
            <w:vAlign w:val="center"/>
            <w:hideMark/>
          </w:tcPr>
          <w:p w14:paraId="4860B558"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U.S. Census 2015-2019 ACS</w:t>
            </w:r>
          </w:p>
        </w:tc>
      </w:tr>
      <w:tr w:rsidR="007C0A6D" w:rsidRPr="007C0A6D" w14:paraId="0B639523" w14:textId="77777777" w:rsidTr="007C0A6D">
        <w:trPr>
          <w:trHeight w:val="298"/>
        </w:trPr>
        <w:tc>
          <w:tcPr>
            <w:tcW w:w="1383" w:type="dxa"/>
            <w:vMerge/>
            <w:vAlign w:val="center"/>
            <w:hideMark/>
          </w:tcPr>
          <w:p w14:paraId="1310B532" w14:textId="77777777" w:rsidR="007C0A6D" w:rsidRPr="007C0A6D" w:rsidRDefault="007C0A6D" w:rsidP="007C0A6D">
            <w:pPr>
              <w:spacing w:after="0" w:line="240" w:lineRule="auto"/>
              <w:rPr>
                <w:rFonts w:eastAsia="Times New Roman" w:cs="Times New Roman"/>
                <w:color w:val="000000"/>
                <w:sz w:val="20"/>
                <w:szCs w:val="20"/>
              </w:rPr>
            </w:pPr>
          </w:p>
        </w:tc>
        <w:tc>
          <w:tcPr>
            <w:tcW w:w="1178" w:type="dxa"/>
            <w:vMerge/>
            <w:vAlign w:val="center"/>
            <w:hideMark/>
          </w:tcPr>
          <w:p w14:paraId="0304065A" w14:textId="77777777" w:rsidR="007C0A6D" w:rsidRPr="007C0A6D" w:rsidRDefault="007C0A6D" w:rsidP="007C0A6D">
            <w:pPr>
              <w:spacing w:after="0" w:line="240" w:lineRule="auto"/>
              <w:rPr>
                <w:rFonts w:eastAsia="Times New Roman" w:cs="Times New Roman"/>
                <w:color w:val="000000"/>
                <w:sz w:val="20"/>
                <w:szCs w:val="20"/>
              </w:rPr>
            </w:pPr>
          </w:p>
        </w:tc>
        <w:tc>
          <w:tcPr>
            <w:tcW w:w="3911" w:type="dxa"/>
            <w:shd w:val="clear" w:color="auto" w:fill="auto"/>
            <w:noWrap/>
            <w:vAlign w:val="center"/>
            <w:hideMark/>
          </w:tcPr>
          <w:p w14:paraId="4C744D3D"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Percentage of Hispanic or Latino</w:t>
            </w:r>
          </w:p>
        </w:tc>
        <w:tc>
          <w:tcPr>
            <w:tcW w:w="4418" w:type="dxa"/>
            <w:shd w:val="clear" w:color="auto" w:fill="auto"/>
            <w:noWrap/>
            <w:vAlign w:val="center"/>
            <w:hideMark/>
          </w:tcPr>
          <w:p w14:paraId="24C3ECE3"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U.S. Census 2015-2019 ACS</w:t>
            </w:r>
          </w:p>
        </w:tc>
      </w:tr>
      <w:tr w:rsidR="007C0A6D" w:rsidRPr="007C0A6D" w14:paraId="39570EAC" w14:textId="77777777" w:rsidTr="007C0A6D">
        <w:trPr>
          <w:trHeight w:val="857"/>
        </w:trPr>
        <w:tc>
          <w:tcPr>
            <w:tcW w:w="1383" w:type="dxa"/>
            <w:shd w:val="clear" w:color="auto" w:fill="auto"/>
            <w:vAlign w:val="center"/>
            <w:hideMark/>
          </w:tcPr>
          <w:p w14:paraId="065D1CEF" w14:textId="77777777" w:rsidR="007C0A6D" w:rsidRPr="007C0A6D" w:rsidRDefault="007C0A6D" w:rsidP="007C0A6D">
            <w:pPr>
              <w:spacing w:after="0" w:line="240" w:lineRule="auto"/>
              <w:jc w:val="center"/>
              <w:rPr>
                <w:rFonts w:eastAsia="Times New Roman" w:cs="Times New Roman"/>
                <w:color w:val="000000"/>
                <w:sz w:val="20"/>
                <w:szCs w:val="20"/>
              </w:rPr>
            </w:pPr>
            <w:r w:rsidRPr="007C0A6D">
              <w:rPr>
                <w:rFonts w:eastAsia="Times New Roman" w:cs="Times New Roman"/>
                <w:color w:val="000000"/>
                <w:sz w:val="20"/>
                <w:szCs w:val="20"/>
              </w:rPr>
              <w:t>Population Density</w:t>
            </w:r>
          </w:p>
        </w:tc>
        <w:tc>
          <w:tcPr>
            <w:tcW w:w="1178" w:type="dxa"/>
            <w:shd w:val="clear" w:color="auto" w:fill="auto"/>
            <w:noWrap/>
            <w:vAlign w:val="bottom"/>
            <w:hideMark/>
          </w:tcPr>
          <w:p w14:paraId="3D2BBFA9" w14:textId="77777777" w:rsidR="007C0A6D" w:rsidRPr="007C0A6D" w:rsidRDefault="007C0A6D" w:rsidP="007C0A6D">
            <w:pPr>
              <w:spacing w:after="0" w:line="240" w:lineRule="auto"/>
              <w:jc w:val="center"/>
              <w:rPr>
                <w:rFonts w:eastAsia="Times New Roman" w:cs="Times New Roman"/>
                <w:color w:val="000000"/>
                <w:sz w:val="20"/>
                <w:szCs w:val="20"/>
              </w:rPr>
            </w:pPr>
          </w:p>
        </w:tc>
        <w:tc>
          <w:tcPr>
            <w:tcW w:w="3911" w:type="dxa"/>
            <w:shd w:val="clear" w:color="auto" w:fill="auto"/>
            <w:noWrap/>
            <w:vAlign w:val="center"/>
            <w:hideMark/>
          </w:tcPr>
          <w:p w14:paraId="52649122"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Population Density (per square miles)</w:t>
            </w:r>
          </w:p>
        </w:tc>
        <w:tc>
          <w:tcPr>
            <w:tcW w:w="4418" w:type="dxa"/>
            <w:shd w:val="clear" w:color="auto" w:fill="auto"/>
            <w:vAlign w:val="center"/>
            <w:hideMark/>
          </w:tcPr>
          <w:p w14:paraId="77209DEA" w14:textId="5C3570EB" w:rsidR="007C0A6D" w:rsidRPr="007C0A6D" w:rsidRDefault="00426C97" w:rsidP="007C0A6D">
            <w:pPr>
              <w:spacing w:after="0" w:line="240" w:lineRule="auto"/>
              <w:rPr>
                <w:rFonts w:eastAsia="Times New Roman" w:cs="Times New Roman"/>
                <w:color w:val="0563C1"/>
                <w:sz w:val="20"/>
                <w:szCs w:val="20"/>
                <w:u w:val="single"/>
              </w:rPr>
            </w:pPr>
            <w:hyperlink r:id="rId8" w:anchor="gid=1489353670" w:history="1">
              <w:r w:rsidR="007C0A6D" w:rsidRPr="007C0A6D">
                <w:rPr>
                  <w:rFonts w:eastAsia="Times New Roman" w:cs="Times New Roman"/>
                  <w:color w:val="0563C1"/>
                  <w:sz w:val="20"/>
                  <w:szCs w:val="20"/>
                  <w:u w:val="single"/>
                </w:rPr>
                <w:t>Population: John Hopkins Coronavirus Resource Center</w:t>
              </w:r>
              <w:r w:rsidR="00DE6484">
                <w:rPr>
                  <w:rFonts w:eastAsia="Times New Roman" w:cs="Times New Roman"/>
                  <w:color w:val="0563C1"/>
                  <w:sz w:val="20"/>
                  <w:szCs w:val="20"/>
                  <w:u w:val="single"/>
                </w:rPr>
                <w:t xml:space="preserve"> </w:t>
              </w:r>
              <w:r w:rsidR="00DE6484">
                <w:rPr>
                  <w:rFonts w:eastAsia="Times New Roman" w:cs="Times New Roman"/>
                  <w:color w:val="0563C1"/>
                  <w:sz w:val="20"/>
                  <w:szCs w:val="20"/>
                  <w:u w:val="single"/>
                </w:rPr>
                <w:fldChar w:fldCharType="begin" w:fldLock="1"/>
              </w:r>
              <w:r w:rsidR="0023379D">
                <w:rPr>
                  <w:rFonts w:eastAsia="Times New Roman" w:cs="Times New Roman"/>
                  <w:color w:val="0563C1"/>
                  <w:sz w:val="20"/>
                  <w:szCs w:val="20"/>
                  <w:u w:val="single"/>
                </w:rPr>
                <w:instrText>ADDIN CSL_CITATION {"citationItems":[{"id":"ITEM-1","itemData":{"author":[{"dropping-particle":"","family":"Hopkins","given":"Johns","non-dropping-particle":"","parse-names":false,"suffix":""}],"id":"ITEM-1","issued":{"date-parts":[["0"]]},"title":"coronavirus resource center","type":"article"},"uris":["http://www.mendeley.com/documents/?uuid=b8637e23-7d58-4cc3-a79c-09a29a75d87f"]}],"mendeley":{"formattedCitation":"(7)","plainTextFormattedCitation":"(7)","previouslyFormattedCitation":"(7)"},"properties":{"noteIndex":0},"schema":"https://github.com/citation-style-language/schema/raw/master/csl-citation.json"}</w:instrText>
              </w:r>
              <w:r w:rsidR="00DE6484">
                <w:rPr>
                  <w:rFonts w:eastAsia="Times New Roman" w:cs="Times New Roman"/>
                  <w:color w:val="0563C1"/>
                  <w:sz w:val="20"/>
                  <w:szCs w:val="20"/>
                  <w:u w:val="single"/>
                </w:rPr>
                <w:fldChar w:fldCharType="separate"/>
              </w:r>
              <w:r w:rsidR="00DE6484" w:rsidRPr="00DE6484">
                <w:rPr>
                  <w:rFonts w:eastAsia="Times New Roman" w:cs="Times New Roman"/>
                  <w:noProof/>
                  <w:color w:val="0563C1"/>
                  <w:sz w:val="20"/>
                  <w:szCs w:val="20"/>
                </w:rPr>
                <w:t>(7)</w:t>
              </w:r>
              <w:r w:rsidR="00DE6484">
                <w:rPr>
                  <w:rFonts w:eastAsia="Times New Roman" w:cs="Times New Roman"/>
                  <w:color w:val="0563C1"/>
                  <w:sz w:val="20"/>
                  <w:szCs w:val="20"/>
                  <w:u w:val="single"/>
                </w:rPr>
                <w:fldChar w:fldCharType="end"/>
              </w:r>
              <w:r w:rsidR="007C0A6D" w:rsidRPr="007C0A6D">
                <w:rPr>
                  <w:rFonts w:eastAsia="Times New Roman" w:cs="Times New Roman"/>
                  <w:color w:val="0563C1"/>
                  <w:sz w:val="20"/>
                  <w:szCs w:val="20"/>
                  <w:u w:val="single"/>
                </w:rPr>
                <w:br/>
                <w:t>Area of State: COVID-19 US state policy database (CUSP)</w:t>
              </w:r>
            </w:hyperlink>
            <w:r w:rsidR="0023379D">
              <w:rPr>
                <w:rFonts w:eastAsia="Times New Roman" w:cs="Times New Roman"/>
                <w:color w:val="0563C1"/>
                <w:sz w:val="20"/>
                <w:szCs w:val="20"/>
                <w:u w:val="single"/>
              </w:rPr>
              <w:t xml:space="preserve"> </w:t>
            </w:r>
            <w:r w:rsidR="0023379D">
              <w:rPr>
                <w:rFonts w:eastAsia="Times New Roman" w:cs="Times New Roman"/>
                <w:color w:val="0563C1"/>
                <w:sz w:val="20"/>
                <w:szCs w:val="20"/>
                <w:u w:val="single"/>
              </w:rPr>
              <w:fldChar w:fldCharType="begin" w:fldLock="1"/>
            </w:r>
            <w:r w:rsidR="0023379D">
              <w:rPr>
                <w:rFonts w:eastAsia="Times New Roman" w:cs="Times New Roman"/>
                <w:color w:val="0563C1"/>
                <w:sz w:val="20"/>
                <w:szCs w:val="20"/>
                <w:u w:val="single"/>
              </w:rPr>
              <w:instrText>ADDIN CSL_CITATION {"citationItems":[{"id":"ITEM-1","itemData":{"abstract":"I can add my own data jhasd jasdjasbd hello","author":[{"dropping-particle":"","family":"Raifman J, Nocka K, Jones D, Bor J, Lipson S, Jay J","given":"and Chan P.","non-dropping-particle":"","parse-names":false,"suffix":""}],"id":"ITEM-1","issued":{"date-parts":[["2020"]]},"title":"COVID-19 US state policy database (CUSP)","type":"article"},"uris":["http://www.mendeley.com/documents/?uuid=49b2a37a-9ffd-44d6-8646-2b90deef9f78"]}],"mendeley":{"formattedCitation":"(8)","plainTextFormattedCitation":"(8)","previouslyFormattedCitation":"(8)"},"properties":{"noteIndex":0},"schema":"https://github.com/citation-style-language/schema/raw/master/csl-citation.json"}</w:instrText>
            </w:r>
            <w:r w:rsidR="0023379D">
              <w:rPr>
                <w:rFonts w:eastAsia="Times New Roman" w:cs="Times New Roman"/>
                <w:color w:val="0563C1"/>
                <w:sz w:val="20"/>
                <w:szCs w:val="20"/>
                <w:u w:val="single"/>
              </w:rPr>
              <w:fldChar w:fldCharType="separate"/>
            </w:r>
            <w:r w:rsidR="0023379D" w:rsidRPr="0023379D">
              <w:rPr>
                <w:rFonts w:eastAsia="Times New Roman" w:cs="Times New Roman"/>
                <w:noProof/>
                <w:color w:val="0563C1"/>
                <w:sz w:val="20"/>
                <w:szCs w:val="20"/>
              </w:rPr>
              <w:t>(8)</w:t>
            </w:r>
            <w:r w:rsidR="0023379D">
              <w:rPr>
                <w:rFonts w:eastAsia="Times New Roman" w:cs="Times New Roman"/>
                <w:color w:val="0563C1"/>
                <w:sz w:val="20"/>
                <w:szCs w:val="20"/>
                <w:u w:val="single"/>
              </w:rPr>
              <w:fldChar w:fldCharType="end"/>
            </w:r>
          </w:p>
        </w:tc>
      </w:tr>
      <w:tr w:rsidR="007C0A6D" w:rsidRPr="007C0A6D" w14:paraId="6A1258A4" w14:textId="77777777" w:rsidTr="007C0A6D">
        <w:trPr>
          <w:trHeight w:val="571"/>
        </w:trPr>
        <w:tc>
          <w:tcPr>
            <w:tcW w:w="1383" w:type="dxa"/>
            <w:shd w:val="clear" w:color="auto" w:fill="auto"/>
            <w:vAlign w:val="center"/>
            <w:hideMark/>
          </w:tcPr>
          <w:p w14:paraId="5BDAAF47" w14:textId="77777777" w:rsidR="007C0A6D" w:rsidRPr="007C0A6D" w:rsidRDefault="007C0A6D" w:rsidP="007C0A6D">
            <w:pPr>
              <w:spacing w:after="0" w:line="240" w:lineRule="auto"/>
              <w:jc w:val="center"/>
              <w:rPr>
                <w:rFonts w:eastAsia="Times New Roman" w:cs="Times New Roman"/>
                <w:color w:val="000000"/>
                <w:sz w:val="20"/>
                <w:szCs w:val="20"/>
              </w:rPr>
            </w:pPr>
            <w:r w:rsidRPr="007C0A6D">
              <w:rPr>
                <w:rFonts w:eastAsia="Times New Roman" w:cs="Times New Roman"/>
                <w:color w:val="000000"/>
                <w:sz w:val="20"/>
                <w:szCs w:val="20"/>
              </w:rPr>
              <w:t xml:space="preserve">Political </w:t>
            </w:r>
            <w:r w:rsidRPr="007C0A6D">
              <w:rPr>
                <w:rFonts w:eastAsia="Times New Roman" w:cs="Times New Roman"/>
                <w:color w:val="000000"/>
                <w:sz w:val="20"/>
                <w:szCs w:val="20"/>
              </w:rPr>
              <w:br/>
              <w:t>leading</w:t>
            </w:r>
          </w:p>
        </w:tc>
        <w:tc>
          <w:tcPr>
            <w:tcW w:w="1178" w:type="dxa"/>
            <w:shd w:val="clear" w:color="auto" w:fill="auto"/>
            <w:noWrap/>
            <w:vAlign w:val="bottom"/>
            <w:hideMark/>
          </w:tcPr>
          <w:p w14:paraId="6F832BFA" w14:textId="77777777" w:rsidR="007C0A6D" w:rsidRPr="007C0A6D" w:rsidRDefault="007C0A6D" w:rsidP="007C0A6D">
            <w:pPr>
              <w:spacing w:after="0" w:line="240" w:lineRule="auto"/>
              <w:jc w:val="center"/>
              <w:rPr>
                <w:rFonts w:eastAsia="Times New Roman" w:cs="Times New Roman"/>
                <w:color w:val="000000"/>
                <w:sz w:val="20"/>
                <w:szCs w:val="20"/>
              </w:rPr>
            </w:pPr>
          </w:p>
        </w:tc>
        <w:tc>
          <w:tcPr>
            <w:tcW w:w="3911" w:type="dxa"/>
            <w:shd w:val="clear" w:color="auto" w:fill="auto"/>
            <w:vAlign w:val="center"/>
            <w:hideMark/>
          </w:tcPr>
          <w:p w14:paraId="163B1953"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 xml:space="preserve">Whether the Republican party won </w:t>
            </w:r>
            <w:proofErr w:type="gramStart"/>
            <w:r w:rsidRPr="007C0A6D">
              <w:rPr>
                <w:rFonts w:eastAsia="Times New Roman" w:cs="Times New Roman"/>
                <w:color w:val="000000"/>
                <w:sz w:val="20"/>
                <w:szCs w:val="20"/>
              </w:rPr>
              <w:t>the majority of</w:t>
            </w:r>
            <w:proofErr w:type="gramEnd"/>
            <w:r w:rsidRPr="007C0A6D">
              <w:rPr>
                <w:rFonts w:eastAsia="Times New Roman" w:cs="Times New Roman"/>
                <w:color w:val="000000"/>
                <w:sz w:val="20"/>
                <w:szCs w:val="20"/>
              </w:rPr>
              <w:t xml:space="preserve"> the presidential vote in a state in 2020</w:t>
            </w:r>
          </w:p>
        </w:tc>
        <w:tc>
          <w:tcPr>
            <w:tcW w:w="4418" w:type="dxa"/>
            <w:shd w:val="clear" w:color="auto" w:fill="auto"/>
            <w:noWrap/>
            <w:vAlign w:val="center"/>
            <w:hideMark/>
          </w:tcPr>
          <w:p w14:paraId="7447303C" w14:textId="48B11571"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New York Times</w:t>
            </w:r>
            <w:r w:rsidR="0023379D">
              <w:rPr>
                <w:rFonts w:eastAsia="Times New Roman" w:cs="Times New Roman"/>
                <w:color w:val="000000"/>
                <w:sz w:val="20"/>
                <w:szCs w:val="20"/>
              </w:rPr>
              <w:t xml:space="preserve"> </w:t>
            </w:r>
            <w:r w:rsidR="0023379D">
              <w:rPr>
                <w:rFonts w:eastAsia="Times New Roman" w:cs="Times New Roman"/>
                <w:color w:val="000000"/>
                <w:sz w:val="20"/>
                <w:szCs w:val="20"/>
              </w:rPr>
              <w:fldChar w:fldCharType="begin" w:fldLock="1"/>
            </w:r>
            <w:r w:rsidR="003F6FA6">
              <w:rPr>
                <w:rFonts w:eastAsia="Times New Roman" w:cs="Times New Roman"/>
                <w:color w:val="000000"/>
                <w:sz w:val="20"/>
                <w:szCs w:val="20"/>
              </w:rPr>
              <w:instrText>ADDIN CSL_CITATION {"citationItems":[{"id":"ITEM-1","itemData":{"URL":"https://www.nytimes.com/interactive/2020/11/03/us/elections/results-president.html","author":[{"dropping-particle":"","family":"New York Times","given":"","non-dropping-particle":"","parse-names":false,"suffix":""}],"id":"ITEM-1","issued":{"date-parts":[["0"]]},"title":"Presidential Election Results","type":"webpage"},"uris":["http://www.mendeley.com/documents/?uuid=16d733ae-0720-4781-9bc8-ce63cf7f9c85"]}],"mendeley":{"formattedCitation":"(9)","plainTextFormattedCitation":"(9)","previouslyFormattedCitation":"(9)"},"properties":{"noteIndex":0},"schema":"https://github.com/citation-style-language/schema/raw/master/csl-citation.json"}</w:instrText>
            </w:r>
            <w:r w:rsidR="0023379D">
              <w:rPr>
                <w:rFonts w:eastAsia="Times New Roman" w:cs="Times New Roman"/>
                <w:color w:val="000000"/>
                <w:sz w:val="20"/>
                <w:szCs w:val="20"/>
              </w:rPr>
              <w:fldChar w:fldCharType="separate"/>
            </w:r>
            <w:r w:rsidR="0023379D" w:rsidRPr="0023379D">
              <w:rPr>
                <w:rFonts w:eastAsia="Times New Roman" w:cs="Times New Roman"/>
                <w:noProof/>
                <w:color w:val="000000"/>
                <w:sz w:val="20"/>
                <w:szCs w:val="20"/>
              </w:rPr>
              <w:t>(9)</w:t>
            </w:r>
            <w:r w:rsidR="0023379D">
              <w:rPr>
                <w:rFonts w:eastAsia="Times New Roman" w:cs="Times New Roman"/>
                <w:color w:val="000000"/>
                <w:sz w:val="20"/>
                <w:szCs w:val="20"/>
              </w:rPr>
              <w:fldChar w:fldCharType="end"/>
            </w:r>
          </w:p>
        </w:tc>
      </w:tr>
      <w:tr w:rsidR="007C0A6D" w:rsidRPr="007C0A6D" w14:paraId="509CFD68" w14:textId="77777777" w:rsidTr="007C0A6D">
        <w:trPr>
          <w:trHeight w:val="298"/>
        </w:trPr>
        <w:tc>
          <w:tcPr>
            <w:tcW w:w="1383" w:type="dxa"/>
            <w:vMerge w:val="restart"/>
            <w:shd w:val="clear" w:color="auto" w:fill="auto"/>
            <w:vAlign w:val="center"/>
            <w:hideMark/>
          </w:tcPr>
          <w:p w14:paraId="5CDF8CAE" w14:textId="77777777" w:rsidR="007C0A6D" w:rsidRPr="007C0A6D" w:rsidRDefault="007C0A6D" w:rsidP="007C0A6D">
            <w:pPr>
              <w:spacing w:after="0" w:line="240" w:lineRule="auto"/>
              <w:jc w:val="center"/>
              <w:rPr>
                <w:rFonts w:eastAsia="Times New Roman" w:cs="Times New Roman"/>
                <w:color w:val="000000"/>
                <w:sz w:val="20"/>
                <w:szCs w:val="20"/>
              </w:rPr>
            </w:pPr>
            <w:r w:rsidRPr="007C0A6D">
              <w:rPr>
                <w:rFonts w:eastAsia="Times New Roman" w:cs="Times New Roman"/>
                <w:color w:val="000000"/>
                <w:sz w:val="20"/>
                <w:szCs w:val="20"/>
              </w:rPr>
              <w:t>COVID Status before 9/1/21</w:t>
            </w:r>
          </w:p>
        </w:tc>
        <w:tc>
          <w:tcPr>
            <w:tcW w:w="1178" w:type="dxa"/>
            <w:shd w:val="clear" w:color="auto" w:fill="auto"/>
            <w:noWrap/>
            <w:vAlign w:val="bottom"/>
            <w:hideMark/>
          </w:tcPr>
          <w:p w14:paraId="0724C7C8" w14:textId="77777777" w:rsidR="007C0A6D" w:rsidRPr="007C0A6D" w:rsidRDefault="007C0A6D" w:rsidP="007C0A6D">
            <w:pPr>
              <w:spacing w:after="0" w:line="240" w:lineRule="auto"/>
              <w:jc w:val="center"/>
              <w:rPr>
                <w:rFonts w:eastAsia="Times New Roman" w:cs="Times New Roman"/>
                <w:color w:val="000000"/>
                <w:sz w:val="20"/>
                <w:szCs w:val="20"/>
              </w:rPr>
            </w:pPr>
          </w:p>
        </w:tc>
        <w:tc>
          <w:tcPr>
            <w:tcW w:w="3911" w:type="dxa"/>
            <w:shd w:val="clear" w:color="auto" w:fill="auto"/>
            <w:noWrap/>
            <w:vAlign w:val="center"/>
            <w:hideMark/>
          </w:tcPr>
          <w:p w14:paraId="2910EB98"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Confirmed cases {7, 14, 30} days earlier</w:t>
            </w:r>
          </w:p>
        </w:tc>
        <w:tc>
          <w:tcPr>
            <w:tcW w:w="4418" w:type="dxa"/>
            <w:shd w:val="clear" w:color="auto" w:fill="auto"/>
            <w:noWrap/>
            <w:vAlign w:val="center"/>
            <w:hideMark/>
          </w:tcPr>
          <w:p w14:paraId="092AF8F1" w14:textId="77777777" w:rsidR="007C0A6D" w:rsidRPr="007C0A6D" w:rsidRDefault="00426C97" w:rsidP="007C0A6D">
            <w:pPr>
              <w:spacing w:after="0" w:line="240" w:lineRule="auto"/>
              <w:rPr>
                <w:rFonts w:eastAsia="Times New Roman" w:cs="Times New Roman"/>
                <w:color w:val="0563C1"/>
                <w:sz w:val="20"/>
                <w:szCs w:val="20"/>
                <w:u w:val="single"/>
              </w:rPr>
            </w:pPr>
            <w:hyperlink r:id="rId9" w:history="1">
              <w:r w:rsidR="007C0A6D" w:rsidRPr="007C0A6D">
                <w:rPr>
                  <w:rFonts w:eastAsia="Times New Roman" w:cs="Times New Roman"/>
                  <w:color w:val="0563C1"/>
                  <w:sz w:val="20"/>
                  <w:szCs w:val="20"/>
                  <w:u w:val="single"/>
                </w:rPr>
                <w:t>John Hopkins Coronavirus Resource Center</w:t>
              </w:r>
            </w:hyperlink>
          </w:p>
        </w:tc>
      </w:tr>
      <w:tr w:rsidR="007C0A6D" w:rsidRPr="007C0A6D" w14:paraId="5029EB09" w14:textId="77777777" w:rsidTr="007C0A6D">
        <w:trPr>
          <w:trHeight w:val="298"/>
        </w:trPr>
        <w:tc>
          <w:tcPr>
            <w:tcW w:w="1383" w:type="dxa"/>
            <w:vMerge/>
            <w:vAlign w:val="center"/>
            <w:hideMark/>
          </w:tcPr>
          <w:p w14:paraId="31B2600A" w14:textId="77777777" w:rsidR="007C0A6D" w:rsidRPr="007C0A6D" w:rsidRDefault="007C0A6D" w:rsidP="007C0A6D">
            <w:pPr>
              <w:spacing w:after="0" w:line="240" w:lineRule="auto"/>
              <w:rPr>
                <w:rFonts w:eastAsia="Times New Roman" w:cs="Times New Roman"/>
                <w:color w:val="000000"/>
                <w:sz w:val="20"/>
                <w:szCs w:val="20"/>
              </w:rPr>
            </w:pPr>
          </w:p>
        </w:tc>
        <w:tc>
          <w:tcPr>
            <w:tcW w:w="1178" w:type="dxa"/>
            <w:shd w:val="clear" w:color="auto" w:fill="auto"/>
            <w:noWrap/>
            <w:vAlign w:val="bottom"/>
            <w:hideMark/>
          </w:tcPr>
          <w:p w14:paraId="231B30A2" w14:textId="77777777" w:rsidR="007C0A6D" w:rsidRPr="007C0A6D" w:rsidRDefault="007C0A6D" w:rsidP="007C0A6D">
            <w:pPr>
              <w:spacing w:after="0" w:line="240" w:lineRule="auto"/>
              <w:rPr>
                <w:rFonts w:eastAsia="Times New Roman" w:cs="Times New Roman"/>
                <w:color w:val="0563C1"/>
                <w:sz w:val="20"/>
                <w:szCs w:val="20"/>
                <w:u w:val="single"/>
              </w:rPr>
            </w:pPr>
          </w:p>
        </w:tc>
        <w:tc>
          <w:tcPr>
            <w:tcW w:w="3911" w:type="dxa"/>
            <w:shd w:val="clear" w:color="auto" w:fill="auto"/>
            <w:noWrap/>
            <w:vAlign w:val="center"/>
            <w:hideMark/>
          </w:tcPr>
          <w:p w14:paraId="652577E3"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Death {7, 14} days earlier</w:t>
            </w:r>
          </w:p>
        </w:tc>
        <w:tc>
          <w:tcPr>
            <w:tcW w:w="4418" w:type="dxa"/>
            <w:shd w:val="clear" w:color="auto" w:fill="auto"/>
            <w:noWrap/>
            <w:vAlign w:val="center"/>
            <w:hideMark/>
          </w:tcPr>
          <w:p w14:paraId="697532C7" w14:textId="77777777" w:rsidR="007C0A6D" w:rsidRPr="007C0A6D" w:rsidRDefault="00426C97" w:rsidP="007C0A6D">
            <w:pPr>
              <w:spacing w:after="0" w:line="240" w:lineRule="auto"/>
              <w:rPr>
                <w:rFonts w:eastAsia="Times New Roman" w:cs="Times New Roman"/>
                <w:color w:val="0563C1"/>
                <w:sz w:val="20"/>
                <w:szCs w:val="20"/>
                <w:u w:val="single"/>
              </w:rPr>
            </w:pPr>
            <w:hyperlink r:id="rId10" w:history="1">
              <w:r w:rsidR="007C0A6D" w:rsidRPr="007C0A6D">
                <w:rPr>
                  <w:rFonts w:eastAsia="Times New Roman" w:cs="Times New Roman"/>
                  <w:color w:val="0563C1"/>
                  <w:sz w:val="20"/>
                  <w:szCs w:val="20"/>
                  <w:u w:val="single"/>
                </w:rPr>
                <w:t>John Hopkins Coronavirus Resource Center</w:t>
              </w:r>
            </w:hyperlink>
          </w:p>
        </w:tc>
      </w:tr>
      <w:tr w:rsidR="007C0A6D" w:rsidRPr="007C0A6D" w14:paraId="61E71560" w14:textId="77777777" w:rsidTr="007C0A6D">
        <w:trPr>
          <w:trHeight w:val="298"/>
        </w:trPr>
        <w:tc>
          <w:tcPr>
            <w:tcW w:w="1383" w:type="dxa"/>
            <w:vMerge/>
            <w:vAlign w:val="center"/>
            <w:hideMark/>
          </w:tcPr>
          <w:p w14:paraId="732AA3F0" w14:textId="77777777" w:rsidR="007C0A6D" w:rsidRPr="007C0A6D" w:rsidRDefault="007C0A6D" w:rsidP="007C0A6D">
            <w:pPr>
              <w:spacing w:after="0" w:line="240" w:lineRule="auto"/>
              <w:rPr>
                <w:rFonts w:eastAsia="Times New Roman" w:cs="Times New Roman"/>
                <w:color w:val="000000"/>
                <w:sz w:val="20"/>
                <w:szCs w:val="20"/>
              </w:rPr>
            </w:pPr>
          </w:p>
        </w:tc>
        <w:tc>
          <w:tcPr>
            <w:tcW w:w="1178" w:type="dxa"/>
            <w:shd w:val="clear" w:color="auto" w:fill="auto"/>
            <w:noWrap/>
            <w:vAlign w:val="bottom"/>
            <w:hideMark/>
          </w:tcPr>
          <w:p w14:paraId="45E02F10" w14:textId="77777777" w:rsidR="007C0A6D" w:rsidRPr="007C0A6D" w:rsidRDefault="007C0A6D" w:rsidP="007C0A6D">
            <w:pPr>
              <w:spacing w:after="0" w:line="240" w:lineRule="auto"/>
              <w:rPr>
                <w:rFonts w:eastAsia="Times New Roman" w:cs="Times New Roman"/>
                <w:color w:val="0563C1"/>
                <w:sz w:val="20"/>
                <w:szCs w:val="20"/>
                <w:u w:val="single"/>
              </w:rPr>
            </w:pPr>
          </w:p>
        </w:tc>
        <w:tc>
          <w:tcPr>
            <w:tcW w:w="3911" w:type="dxa"/>
            <w:shd w:val="clear" w:color="auto" w:fill="auto"/>
            <w:noWrap/>
            <w:vAlign w:val="center"/>
            <w:hideMark/>
          </w:tcPr>
          <w:p w14:paraId="447A62D6"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Total tests {7, 14} days earlier</w:t>
            </w:r>
          </w:p>
        </w:tc>
        <w:tc>
          <w:tcPr>
            <w:tcW w:w="4418" w:type="dxa"/>
            <w:shd w:val="clear" w:color="auto" w:fill="auto"/>
            <w:noWrap/>
            <w:vAlign w:val="center"/>
            <w:hideMark/>
          </w:tcPr>
          <w:p w14:paraId="262E8668" w14:textId="77777777" w:rsidR="007C0A6D" w:rsidRPr="007C0A6D" w:rsidRDefault="00426C97" w:rsidP="007C0A6D">
            <w:pPr>
              <w:spacing w:after="0" w:line="240" w:lineRule="auto"/>
              <w:rPr>
                <w:rFonts w:eastAsia="Times New Roman" w:cs="Times New Roman"/>
                <w:color w:val="0563C1"/>
                <w:sz w:val="20"/>
                <w:szCs w:val="20"/>
                <w:u w:val="single"/>
              </w:rPr>
            </w:pPr>
            <w:hyperlink r:id="rId11" w:history="1">
              <w:r w:rsidR="007C0A6D" w:rsidRPr="007C0A6D">
                <w:rPr>
                  <w:rFonts w:eastAsia="Times New Roman" w:cs="Times New Roman"/>
                  <w:color w:val="0563C1"/>
                  <w:sz w:val="20"/>
                  <w:szCs w:val="20"/>
                  <w:u w:val="single"/>
                </w:rPr>
                <w:t>John Hopkins Coronavirus Resource Center</w:t>
              </w:r>
            </w:hyperlink>
          </w:p>
        </w:tc>
      </w:tr>
      <w:tr w:rsidR="007C0A6D" w:rsidRPr="007C0A6D" w14:paraId="0D7ACF64" w14:textId="77777777" w:rsidTr="007C0A6D">
        <w:trPr>
          <w:trHeight w:val="298"/>
        </w:trPr>
        <w:tc>
          <w:tcPr>
            <w:tcW w:w="1383" w:type="dxa"/>
            <w:vMerge/>
            <w:vAlign w:val="center"/>
            <w:hideMark/>
          </w:tcPr>
          <w:p w14:paraId="792BFCA8" w14:textId="77777777" w:rsidR="007C0A6D" w:rsidRPr="007C0A6D" w:rsidRDefault="007C0A6D" w:rsidP="007C0A6D">
            <w:pPr>
              <w:spacing w:after="0" w:line="240" w:lineRule="auto"/>
              <w:rPr>
                <w:rFonts w:eastAsia="Times New Roman" w:cs="Times New Roman"/>
                <w:color w:val="000000"/>
                <w:sz w:val="20"/>
                <w:szCs w:val="20"/>
              </w:rPr>
            </w:pPr>
          </w:p>
        </w:tc>
        <w:tc>
          <w:tcPr>
            <w:tcW w:w="1178" w:type="dxa"/>
            <w:shd w:val="clear" w:color="auto" w:fill="auto"/>
            <w:noWrap/>
            <w:vAlign w:val="bottom"/>
            <w:hideMark/>
          </w:tcPr>
          <w:p w14:paraId="2788B1BE" w14:textId="77777777" w:rsidR="007C0A6D" w:rsidRPr="007C0A6D" w:rsidRDefault="007C0A6D" w:rsidP="007C0A6D">
            <w:pPr>
              <w:spacing w:after="0" w:line="240" w:lineRule="auto"/>
              <w:rPr>
                <w:rFonts w:eastAsia="Times New Roman" w:cs="Times New Roman"/>
                <w:color w:val="0563C1"/>
                <w:sz w:val="20"/>
                <w:szCs w:val="20"/>
                <w:u w:val="single"/>
              </w:rPr>
            </w:pPr>
          </w:p>
        </w:tc>
        <w:tc>
          <w:tcPr>
            <w:tcW w:w="3911" w:type="dxa"/>
            <w:shd w:val="clear" w:color="auto" w:fill="auto"/>
            <w:noWrap/>
            <w:vAlign w:val="center"/>
            <w:hideMark/>
          </w:tcPr>
          <w:p w14:paraId="4217917A"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Fully/Half Vaccination Rate 14 days earlier</w:t>
            </w:r>
          </w:p>
        </w:tc>
        <w:tc>
          <w:tcPr>
            <w:tcW w:w="4418" w:type="dxa"/>
            <w:shd w:val="clear" w:color="auto" w:fill="auto"/>
            <w:noWrap/>
            <w:vAlign w:val="center"/>
            <w:hideMark/>
          </w:tcPr>
          <w:p w14:paraId="1D34CBCA" w14:textId="77777777" w:rsidR="007C0A6D" w:rsidRPr="007C0A6D" w:rsidRDefault="00426C97" w:rsidP="007C0A6D">
            <w:pPr>
              <w:spacing w:after="0" w:line="240" w:lineRule="auto"/>
              <w:rPr>
                <w:rFonts w:eastAsia="Times New Roman" w:cs="Times New Roman"/>
                <w:color w:val="0563C1"/>
                <w:sz w:val="20"/>
                <w:szCs w:val="20"/>
                <w:u w:val="single"/>
              </w:rPr>
            </w:pPr>
            <w:hyperlink r:id="rId12" w:history="1">
              <w:r w:rsidR="007C0A6D" w:rsidRPr="007C0A6D">
                <w:rPr>
                  <w:rFonts w:eastAsia="Times New Roman" w:cs="Times New Roman"/>
                  <w:color w:val="0563C1"/>
                  <w:sz w:val="20"/>
                  <w:szCs w:val="20"/>
                  <w:u w:val="single"/>
                </w:rPr>
                <w:t>John Hopkins Coronavirus Resource Center</w:t>
              </w:r>
            </w:hyperlink>
          </w:p>
        </w:tc>
      </w:tr>
      <w:tr w:rsidR="007C0A6D" w:rsidRPr="007C0A6D" w14:paraId="17F3CC4D" w14:textId="77777777" w:rsidTr="007C0A6D">
        <w:trPr>
          <w:trHeight w:val="857"/>
        </w:trPr>
        <w:tc>
          <w:tcPr>
            <w:tcW w:w="1383" w:type="dxa"/>
            <w:vMerge/>
            <w:vAlign w:val="center"/>
            <w:hideMark/>
          </w:tcPr>
          <w:p w14:paraId="3B72DBFC" w14:textId="77777777" w:rsidR="007C0A6D" w:rsidRPr="007C0A6D" w:rsidRDefault="007C0A6D" w:rsidP="007C0A6D">
            <w:pPr>
              <w:spacing w:after="0" w:line="240" w:lineRule="auto"/>
              <w:rPr>
                <w:rFonts w:eastAsia="Times New Roman" w:cs="Times New Roman"/>
                <w:color w:val="000000"/>
                <w:sz w:val="20"/>
                <w:szCs w:val="20"/>
              </w:rPr>
            </w:pPr>
          </w:p>
        </w:tc>
        <w:tc>
          <w:tcPr>
            <w:tcW w:w="1178" w:type="dxa"/>
            <w:shd w:val="clear" w:color="auto" w:fill="auto"/>
            <w:noWrap/>
            <w:vAlign w:val="bottom"/>
            <w:hideMark/>
          </w:tcPr>
          <w:p w14:paraId="406E3647" w14:textId="77777777" w:rsidR="007C0A6D" w:rsidRPr="007C0A6D" w:rsidRDefault="007C0A6D" w:rsidP="007C0A6D">
            <w:pPr>
              <w:spacing w:after="0" w:line="240" w:lineRule="auto"/>
              <w:rPr>
                <w:rFonts w:eastAsia="Times New Roman" w:cs="Times New Roman"/>
                <w:color w:val="0563C1"/>
                <w:sz w:val="20"/>
                <w:szCs w:val="20"/>
                <w:u w:val="single"/>
              </w:rPr>
            </w:pPr>
          </w:p>
        </w:tc>
        <w:tc>
          <w:tcPr>
            <w:tcW w:w="3911" w:type="dxa"/>
            <w:shd w:val="clear" w:color="auto" w:fill="auto"/>
            <w:vAlign w:val="center"/>
            <w:hideMark/>
          </w:tcPr>
          <w:p w14:paraId="5F251290" w14:textId="77777777" w:rsidR="007C0A6D" w:rsidRPr="007C0A6D" w:rsidRDefault="007C0A6D" w:rsidP="007C0A6D">
            <w:pPr>
              <w:spacing w:after="0" w:line="240" w:lineRule="auto"/>
              <w:rPr>
                <w:rFonts w:eastAsia="Times New Roman" w:cs="Times New Roman"/>
                <w:color w:val="000000"/>
                <w:sz w:val="20"/>
                <w:szCs w:val="20"/>
              </w:rPr>
            </w:pPr>
            <w:r w:rsidRPr="007C0A6D">
              <w:rPr>
                <w:rFonts w:eastAsia="Times New Roman" w:cs="Times New Roman"/>
                <w:color w:val="000000"/>
                <w:sz w:val="20"/>
                <w:szCs w:val="20"/>
              </w:rPr>
              <w:t xml:space="preserve">Mobility change {7, 14} days earlier (Grocery &amp; </w:t>
            </w:r>
            <w:proofErr w:type="spellStart"/>
            <w:r w:rsidRPr="007C0A6D">
              <w:rPr>
                <w:rFonts w:eastAsia="Times New Roman" w:cs="Times New Roman"/>
                <w:color w:val="000000"/>
                <w:sz w:val="20"/>
                <w:szCs w:val="20"/>
              </w:rPr>
              <w:t>parmacy</w:t>
            </w:r>
            <w:proofErr w:type="spellEnd"/>
            <w:r w:rsidRPr="007C0A6D">
              <w:rPr>
                <w:rFonts w:eastAsia="Times New Roman" w:cs="Times New Roman"/>
                <w:color w:val="000000"/>
                <w:sz w:val="20"/>
                <w:szCs w:val="20"/>
              </w:rPr>
              <w:t>, Parks, Transit stations, Retail &amp; recreation, Residential, Workplaces)</w:t>
            </w:r>
          </w:p>
        </w:tc>
        <w:tc>
          <w:tcPr>
            <w:tcW w:w="4418" w:type="dxa"/>
            <w:shd w:val="clear" w:color="auto" w:fill="auto"/>
            <w:noWrap/>
            <w:vAlign w:val="center"/>
            <w:hideMark/>
          </w:tcPr>
          <w:p w14:paraId="2C46172C" w14:textId="557650AF" w:rsidR="007C0A6D" w:rsidRPr="007C0A6D" w:rsidRDefault="00426C97" w:rsidP="007C0A6D">
            <w:pPr>
              <w:spacing w:after="0" w:line="240" w:lineRule="auto"/>
              <w:rPr>
                <w:rFonts w:eastAsia="Times New Roman" w:cs="Times New Roman"/>
                <w:color w:val="0563C1"/>
                <w:sz w:val="20"/>
                <w:szCs w:val="20"/>
                <w:u w:val="single"/>
              </w:rPr>
            </w:pPr>
            <w:hyperlink r:id="rId13" w:history="1">
              <w:r w:rsidR="007C0A6D" w:rsidRPr="007C0A6D">
                <w:rPr>
                  <w:rFonts w:eastAsia="Times New Roman" w:cs="Times New Roman"/>
                  <w:color w:val="0563C1"/>
                  <w:sz w:val="20"/>
                  <w:szCs w:val="20"/>
                  <w:u w:val="single"/>
                </w:rPr>
                <w:t>Google COVID-19 Community Mobility Reports</w:t>
              </w:r>
            </w:hyperlink>
            <w:r w:rsidR="0023379D">
              <w:rPr>
                <w:rFonts w:eastAsia="Times New Roman" w:cs="Times New Roman"/>
                <w:color w:val="0563C1"/>
                <w:sz w:val="20"/>
                <w:szCs w:val="20"/>
                <w:u w:val="single"/>
              </w:rPr>
              <w:t xml:space="preserve"> </w:t>
            </w:r>
            <w:r w:rsidR="0023379D">
              <w:rPr>
                <w:rFonts w:eastAsia="Times New Roman" w:cs="Times New Roman"/>
                <w:color w:val="0563C1"/>
                <w:sz w:val="20"/>
                <w:szCs w:val="20"/>
                <w:u w:val="single"/>
              </w:rPr>
              <w:fldChar w:fldCharType="begin" w:fldLock="1"/>
            </w:r>
            <w:r w:rsidR="003F6FA6">
              <w:rPr>
                <w:rFonts w:eastAsia="Times New Roman" w:cs="Times New Roman"/>
                <w:color w:val="0563C1"/>
                <w:sz w:val="20"/>
                <w:szCs w:val="20"/>
                <w:u w:val="single"/>
              </w:rPr>
              <w:instrText>ADDIN CSL_CITATION {"citationItems":[{"id":"ITEM-1","itemData":{"author":[{"dropping-particle":"","family":"Google","given":"","non-dropping-particle":"","parse-names":false,"suffix":""}],"id":"ITEM-1","issued":{"date-parts":[["0"]]},"title":"Community Mobility Reports","type":"article"},"uris":["http://www.mendeley.com/documents/?uuid=0f5a52bf-6e75-4b6d-9c24-795987d7a680"]}],"mendeley":{"formattedCitation":"(10)","plainTextFormattedCitation":"(10)","previouslyFormattedCitation":"(10)"},"properties":{"noteIndex":0},"schema":"https://github.com/citation-style-language/schema/raw/master/csl-citation.json"}</w:instrText>
            </w:r>
            <w:r w:rsidR="0023379D">
              <w:rPr>
                <w:rFonts w:eastAsia="Times New Roman" w:cs="Times New Roman"/>
                <w:color w:val="0563C1"/>
                <w:sz w:val="20"/>
                <w:szCs w:val="20"/>
                <w:u w:val="single"/>
              </w:rPr>
              <w:fldChar w:fldCharType="separate"/>
            </w:r>
            <w:r w:rsidR="0023379D" w:rsidRPr="0023379D">
              <w:rPr>
                <w:rFonts w:eastAsia="Times New Roman" w:cs="Times New Roman"/>
                <w:noProof/>
                <w:color w:val="0563C1"/>
                <w:sz w:val="20"/>
                <w:szCs w:val="20"/>
              </w:rPr>
              <w:t>(10)</w:t>
            </w:r>
            <w:r w:rsidR="0023379D">
              <w:rPr>
                <w:rFonts w:eastAsia="Times New Roman" w:cs="Times New Roman"/>
                <w:color w:val="0563C1"/>
                <w:sz w:val="20"/>
                <w:szCs w:val="20"/>
                <w:u w:val="single"/>
              </w:rPr>
              <w:fldChar w:fldCharType="end"/>
            </w:r>
          </w:p>
        </w:tc>
      </w:tr>
    </w:tbl>
    <w:p w14:paraId="2695BC20" w14:textId="77777777" w:rsidR="007C0A6D" w:rsidRPr="00594C11" w:rsidRDefault="007C0A6D" w:rsidP="00BE64B2">
      <w:pPr>
        <w:rPr>
          <w:rFonts w:cs="Times New Roman"/>
        </w:rPr>
      </w:pPr>
    </w:p>
    <w:p w14:paraId="1BBF920A" w14:textId="7CFA8A2F" w:rsidR="00836483" w:rsidRDefault="00DB7B13" w:rsidP="00836483">
      <w:pPr>
        <w:rPr>
          <w:rFonts w:cs="Times New Roman"/>
        </w:rPr>
      </w:pPr>
      <w:r w:rsidRPr="00DB7B13">
        <w:rPr>
          <w:rFonts w:cs="Times New Roman"/>
          <w:b/>
          <w:bCs/>
        </w:rPr>
        <w:fldChar w:fldCharType="begin"/>
      </w:r>
      <w:r w:rsidRPr="00DB7B13">
        <w:rPr>
          <w:rFonts w:cs="Times New Roman"/>
          <w:b/>
          <w:bCs/>
        </w:rPr>
        <w:instrText xml:space="preserve"> REF _Ref90065495 \h </w:instrText>
      </w:r>
      <w:r w:rsidRPr="00DB7B13">
        <w:rPr>
          <w:rFonts w:cs="Times New Roman"/>
          <w:b/>
          <w:bCs/>
        </w:rPr>
      </w:r>
      <w:r w:rsidRPr="00DB7B13">
        <w:rPr>
          <w:rFonts w:cs="Times New Roman"/>
          <w:b/>
          <w:bCs/>
        </w:rPr>
        <w:instrText xml:space="preserve"> \* MERGEFORMAT </w:instrText>
      </w:r>
      <w:r w:rsidRPr="00DB7B13">
        <w:rPr>
          <w:rFonts w:cs="Times New Roman"/>
          <w:b/>
          <w:bCs/>
        </w:rPr>
        <w:fldChar w:fldCharType="separate"/>
      </w:r>
      <w:r w:rsidR="009E02A0" w:rsidRPr="009E02A0">
        <w:rPr>
          <w:b/>
          <w:bCs/>
        </w:rPr>
        <w:t xml:space="preserve">Table </w:t>
      </w:r>
      <w:r w:rsidR="009E02A0" w:rsidRPr="009E02A0">
        <w:rPr>
          <w:b/>
          <w:bCs/>
          <w:noProof/>
        </w:rPr>
        <w:t>2</w:t>
      </w:r>
      <w:r w:rsidRPr="00DB7B13">
        <w:rPr>
          <w:rFonts w:cs="Times New Roman"/>
          <w:b/>
          <w:bCs/>
        </w:rPr>
        <w:fldChar w:fldCharType="end"/>
      </w:r>
      <w:r>
        <w:rPr>
          <w:rFonts w:cs="Times New Roman"/>
          <w:b/>
          <w:bCs/>
        </w:rPr>
        <w:t xml:space="preserve"> </w:t>
      </w:r>
      <w:r w:rsidR="00DE46E4">
        <w:rPr>
          <w:rFonts w:cs="Times New Roman"/>
        </w:rPr>
        <w:t>shows the statistical summary of characteristics</w:t>
      </w:r>
      <w:r w:rsidR="00836483">
        <w:rPr>
          <w:rFonts w:cs="Times New Roman"/>
        </w:rPr>
        <w:t>.</w:t>
      </w:r>
      <w:r w:rsidR="00DE46E4">
        <w:rPr>
          <w:rFonts w:cs="Times New Roman"/>
        </w:rPr>
        <w:t xml:space="preserve"> </w:t>
      </w:r>
      <w:r w:rsidR="00836483">
        <w:rPr>
          <w:rFonts w:cs="Times New Roman"/>
        </w:rPr>
        <w:t>Among 50 states, 10 states have implemented mask mandate at least for the non-vaccinated by September 1</w:t>
      </w:r>
      <w:r w:rsidR="00836483" w:rsidRPr="000D34F0">
        <w:rPr>
          <w:rFonts w:cs="Times New Roman"/>
          <w:vertAlign w:val="superscript"/>
        </w:rPr>
        <w:t>st</w:t>
      </w:r>
      <w:r w:rsidR="00836483">
        <w:rPr>
          <w:rFonts w:cs="Times New Roman"/>
        </w:rPr>
        <w:t xml:space="preserve">, 2021. Below is the statistical summary of the covariates. Compared to states with no mask mandate, Asian, and Hispanic or Latino comprise of a higher proportion of total population in the states under treatment. These 10 states also have a higher population density, which could be an incentive for the states to implement mask mandate. And interestingly, only 1 out of the 10 states have republican leading in the 2020 presidential vote while 24 out of 40 states (60%) in the control group are republican. Though the fully vaccination rate is higher for the treatment group, the number of total confirmed cases and the number of deaths is also higher for these states. </w:t>
      </w:r>
    </w:p>
    <w:p w14:paraId="30C2836E" w14:textId="1F525829" w:rsidR="00DE46E4" w:rsidRPr="00DE46E4" w:rsidRDefault="00DE46E4" w:rsidP="004F3BFC">
      <w:pPr>
        <w:rPr>
          <w:rFonts w:cs="Times New Roman"/>
        </w:rPr>
        <w:sectPr w:rsidR="00DE46E4" w:rsidRPr="00DE46E4">
          <w:footerReference w:type="default" r:id="rId14"/>
          <w:pgSz w:w="12240" w:h="15840"/>
          <w:pgMar w:top="1440" w:right="1440" w:bottom="1440" w:left="1440" w:header="720" w:footer="720" w:gutter="0"/>
          <w:cols w:space="720"/>
          <w:docGrid w:linePitch="360"/>
        </w:sectPr>
      </w:pPr>
    </w:p>
    <w:p w14:paraId="575AA704" w14:textId="39251F07" w:rsidR="00DB7B13" w:rsidRPr="00DB7B13" w:rsidRDefault="00DE46E4" w:rsidP="00DB7B13">
      <w:pPr>
        <w:pStyle w:val="Caption"/>
        <w:keepNext/>
      </w:pPr>
      <w:bookmarkStart w:id="5" w:name="_Ref90065495"/>
      <w:r>
        <w:lastRenderedPageBreak/>
        <w:t xml:space="preserve">Table </w:t>
      </w:r>
      <w:r w:rsidR="00426C97">
        <w:fldChar w:fldCharType="begin"/>
      </w:r>
      <w:r w:rsidR="00426C97">
        <w:instrText xml:space="preserve"> SEQ Table \* ARABIC </w:instrText>
      </w:r>
      <w:r w:rsidR="00426C97">
        <w:fldChar w:fldCharType="separate"/>
      </w:r>
      <w:r w:rsidR="009E02A0">
        <w:rPr>
          <w:noProof/>
        </w:rPr>
        <w:t>2</w:t>
      </w:r>
      <w:r w:rsidR="00426C97">
        <w:rPr>
          <w:noProof/>
        </w:rPr>
        <w:fldChar w:fldCharType="end"/>
      </w:r>
      <w:bookmarkEnd w:id="5"/>
      <w:r>
        <w:t xml:space="preserve"> </w:t>
      </w:r>
      <w:r w:rsidRPr="00B43B88">
        <w:t>Summary of baseline characteristics overall and by exposure group</w:t>
      </w:r>
      <w:r w:rsidR="00BB2E98">
        <w:t xml:space="preserve">. </w:t>
      </w:r>
      <w:r w:rsidR="00DB7B13">
        <w:t>Metrics are shown in mean (25% quantile, 75% quantile)</w:t>
      </w:r>
    </w:p>
    <w:tbl>
      <w:tblPr>
        <w:tblW w:w="1485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4770"/>
        <w:gridCol w:w="2582"/>
        <w:gridCol w:w="2818"/>
        <w:gridCol w:w="2610"/>
      </w:tblGrid>
      <w:tr w:rsidR="00DE46E4" w:rsidRPr="00CF23B6" w14:paraId="5C74F3AA" w14:textId="77777777" w:rsidTr="00D103FE">
        <w:trPr>
          <w:trHeight w:val="338"/>
        </w:trPr>
        <w:tc>
          <w:tcPr>
            <w:tcW w:w="2070" w:type="dxa"/>
            <w:shd w:val="clear" w:color="auto" w:fill="auto"/>
            <w:noWrap/>
            <w:vAlign w:val="bottom"/>
            <w:hideMark/>
          </w:tcPr>
          <w:p w14:paraId="178B45B5" w14:textId="77777777" w:rsidR="00CF23B6" w:rsidRPr="00CF23B6" w:rsidRDefault="00CF23B6" w:rsidP="00CF23B6">
            <w:pPr>
              <w:spacing w:after="0" w:line="240" w:lineRule="auto"/>
              <w:rPr>
                <w:rFonts w:eastAsia="Times New Roman" w:cs="Times New Roman"/>
                <w:sz w:val="20"/>
                <w:szCs w:val="24"/>
              </w:rPr>
            </w:pPr>
          </w:p>
        </w:tc>
        <w:tc>
          <w:tcPr>
            <w:tcW w:w="4770" w:type="dxa"/>
            <w:shd w:val="clear" w:color="auto" w:fill="auto"/>
            <w:noWrap/>
            <w:vAlign w:val="center"/>
            <w:hideMark/>
          </w:tcPr>
          <w:p w14:paraId="54FE013A" w14:textId="77777777" w:rsidR="00CF23B6" w:rsidRPr="00CF23B6" w:rsidRDefault="00CF23B6" w:rsidP="00CF23B6">
            <w:pPr>
              <w:spacing w:after="0" w:line="240" w:lineRule="auto"/>
              <w:jc w:val="center"/>
              <w:rPr>
                <w:rFonts w:eastAsia="Times New Roman" w:cs="Times New Roman"/>
                <w:b/>
                <w:bCs/>
                <w:color w:val="000000"/>
                <w:sz w:val="22"/>
              </w:rPr>
            </w:pPr>
            <w:r w:rsidRPr="00CF23B6">
              <w:rPr>
                <w:rFonts w:eastAsia="Times New Roman" w:cs="Times New Roman"/>
                <w:b/>
                <w:bCs/>
                <w:color w:val="000000"/>
                <w:sz w:val="22"/>
              </w:rPr>
              <w:t>Description</w:t>
            </w:r>
          </w:p>
        </w:tc>
        <w:tc>
          <w:tcPr>
            <w:tcW w:w="2582" w:type="dxa"/>
            <w:shd w:val="clear" w:color="auto" w:fill="auto"/>
            <w:noWrap/>
            <w:vAlign w:val="center"/>
            <w:hideMark/>
          </w:tcPr>
          <w:p w14:paraId="2F81EB0F" w14:textId="77777777" w:rsidR="00CF23B6" w:rsidRPr="00CF23B6" w:rsidRDefault="00CF23B6" w:rsidP="00CF23B6">
            <w:pPr>
              <w:spacing w:after="0" w:line="240" w:lineRule="auto"/>
              <w:jc w:val="center"/>
              <w:rPr>
                <w:rFonts w:eastAsia="Times New Roman" w:cs="Times New Roman"/>
                <w:b/>
                <w:bCs/>
                <w:color w:val="000000"/>
                <w:sz w:val="22"/>
              </w:rPr>
            </w:pPr>
            <w:r w:rsidRPr="00CF23B6">
              <w:rPr>
                <w:rFonts w:eastAsia="Times New Roman" w:cs="Times New Roman"/>
                <w:b/>
                <w:bCs/>
                <w:color w:val="000000"/>
                <w:sz w:val="22"/>
              </w:rPr>
              <w:t>All (N=50)</w:t>
            </w:r>
          </w:p>
        </w:tc>
        <w:tc>
          <w:tcPr>
            <w:tcW w:w="2818" w:type="dxa"/>
            <w:shd w:val="clear" w:color="auto" w:fill="auto"/>
            <w:vAlign w:val="center"/>
            <w:hideMark/>
          </w:tcPr>
          <w:p w14:paraId="262361E3" w14:textId="47F6D8F9" w:rsidR="00CF23B6" w:rsidRPr="00D103FE" w:rsidRDefault="00CF23B6" w:rsidP="00C809BA">
            <w:pPr>
              <w:keepNext/>
              <w:spacing w:after="0" w:line="240" w:lineRule="auto"/>
              <w:jc w:val="center"/>
              <w:rPr>
                <w:rFonts w:eastAsia="Times New Roman" w:cs="Times New Roman"/>
                <w:b/>
                <w:bCs/>
                <w:color w:val="000000"/>
                <w:sz w:val="22"/>
              </w:rPr>
            </w:pPr>
            <w:r w:rsidRPr="00D103FE">
              <w:rPr>
                <w:rFonts w:eastAsia="Times New Roman" w:cs="Times New Roman"/>
                <w:b/>
                <w:bCs/>
                <w:color w:val="000000"/>
                <w:sz w:val="22"/>
              </w:rPr>
              <w:t>Mask mandate at least for non-vaccinated (N = 10)</w:t>
            </w:r>
          </w:p>
        </w:tc>
        <w:tc>
          <w:tcPr>
            <w:tcW w:w="2610" w:type="dxa"/>
            <w:shd w:val="clear" w:color="auto" w:fill="auto"/>
            <w:vAlign w:val="center"/>
            <w:hideMark/>
          </w:tcPr>
          <w:p w14:paraId="366F0739" w14:textId="77777777" w:rsidR="00CF23B6" w:rsidRPr="00D103FE" w:rsidRDefault="00CF23B6" w:rsidP="00C809BA">
            <w:pPr>
              <w:keepNext/>
              <w:spacing w:after="0" w:line="240" w:lineRule="auto"/>
              <w:jc w:val="center"/>
              <w:rPr>
                <w:rFonts w:eastAsia="Times New Roman" w:cs="Times New Roman"/>
                <w:b/>
                <w:bCs/>
                <w:color w:val="000000"/>
                <w:sz w:val="22"/>
              </w:rPr>
            </w:pPr>
            <w:r w:rsidRPr="00D103FE">
              <w:rPr>
                <w:rFonts w:eastAsia="Times New Roman" w:cs="Times New Roman"/>
                <w:b/>
                <w:bCs/>
                <w:color w:val="000000"/>
                <w:sz w:val="22"/>
              </w:rPr>
              <w:t xml:space="preserve">No Mask Mandate </w:t>
            </w:r>
            <w:r w:rsidRPr="00D103FE">
              <w:rPr>
                <w:rFonts w:eastAsia="Times New Roman" w:cs="Times New Roman"/>
                <w:b/>
                <w:bCs/>
                <w:color w:val="000000"/>
                <w:sz w:val="22"/>
              </w:rPr>
              <w:br/>
              <w:t>(N = 40)</w:t>
            </w:r>
          </w:p>
        </w:tc>
      </w:tr>
      <w:tr w:rsidR="00DE46E4" w:rsidRPr="00CF23B6" w14:paraId="2B11757D" w14:textId="77777777" w:rsidTr="00D103FE">
        <w:trPr>
          <w:trHeight w:val="278"/>
        </w:trPr>
        <w:tc>
          <w:tcPr>
            <w:tcW w:w="2070" w:type="dxa"/>
            <w:vMerge w:val="restart"/>
            <w:shd w:val="clear" w:color="auto" w:fill="auto"/>
            <w:vAlign w:val="center"/>
            <w:hideMark/>
          </w:tcPr>
          <w:p w14:paraId="0DB4B86C" w14:textId="77777777" w:rsidR="00CF23B6" w:rsidRPr="00CF23B6" w:rsidRDefault="00CF23B6" w:rsidP="00CF23B6">
            <w:pPr>
              <w:spacing w:after="0" w:line="240" w:lineRule="auto"/>
              <w:jc w:val="center"/>
              <w:rPr>
                <w:rFonts w:eastAsia="Times New Roman" w:cs="Times New Roman"/>
                <w:b/>
                <w:bCs/>
                <w:color w:val="000000"/>
                <w:sz w:val="22"/>
              </w:rPr>
            </w:pPr>
            <w:r w:rsidRPr="00CF23B6">
              <w:rPr>
                <w:rFonts w:eastAsia="Times New Roman" w:cs="Times New Roman"/>
                <w:b/>
                <w:bCs/>
                <w:color w:val="000000"/>
                <w:sz w:val="22"/>
              </w:rPr>
              <w:t>Population Demographics</w:t>
            </w:r>
          </w:p>
        </w:tc>
        <w:tc>
          <w:tcPr>
            <w:tcW w:w="4770" w:type="dxa"/>
            <w:shd w:val="clear" w:color="auto" w:fill="auto"/>
            <w:noWrap/>
            <w:vAlign w:val="center"/>
            <w:hideMark/>
          </w:tcPr>
          <w:p w14:paraId="6913BDC8"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&gt; 65 years old (%)</w:t>
            </w:r>
          </w:p>
        </w:tc>
        <w:tc>
          <w:tcPr>
            <w:tcW w:w="2582" w:type="dxa"/>
            <w:shd w:val="clear" w:color="auto" w:fill="auto"/>
            <w:noWrap/>
            <w:vAlign w:val="bottom"/>
            <w:hideMark/>
          </w:tcPr>
          <w:p w14:paraId="3564847D"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16.1 (15.4, 16.9)</w:t>
            </w:r>
          </w:p>
        </w:tc>
        <w:tc>
          <w:tcPr>
            <w:tcW w:w="2818" w:type="dxa"/>
            <w:shd w:val="clear" w:color="auto" w:fill="auto"/>
            <w:noWrap/>
            <w:vAlign w:val="bottom"/>
            <w:hideMark/>
          </w:tcPr>
          <w:p w14:paraId="6C3B7949"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15.9 (15.1, 16.8)</w:t>
            </w:r>
          </w:p>
        </w:tc>
        <w:tc>
          <w:tcPr>
            <w:tcW w:w="2610" w:type="dxa"/>
            <w:shd w:val="clear" w:color="auto" w:fill="auto"/>
            <w:noWrap/>
            <w:vAlign w:val="bottom"/>
            <w:hideMark/>
          </w:tcPr>
          <w:p w14:paraId="40A8E978"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16.1 (15.4, 16.9)</w:t>
            </w:r>
          </w:p>
        </w:tc>
      </w:tr>
      <w:tr w:rsidR="00DE46E4" w:rsidRPr="00CF23B6" w14:paraId="6853A2E4" w14:textId="77777777" w:rsidTr="00D103FE">
        <w:trPr>
          <w:trHeight w:val="278"/>
        </w:trPr>
        <w:tc>
          <w:tcPr>
            <w:tcW w:w="2070" w:type="dxa"/>
            <w:vMerge/>
            <w:vAlign w:val="center"/>
            <w:hideMark/>
          </w:tcPr>
          <w:p w14:paraId="57D50E88"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239B543F"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Median Age</w:t>
            </w:r>
          </w:p>
        </w:tc>
        <w:tc>
          <w:tcPr>
            <w:tcW w:w="2582" w:type="dxa"/>
            <w:shd w:val="clear" w:color="auto" w:fill="auto"/>
            <w:noWrap/>
            <w:vAlign w:val="bottom"/>
            <w:hideMark/>
          </w:tcPr>
          <w:p w14:paraId="18FBAA63"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38.5 (37.1, 40.0)</w:t>
            </w:r>
          </w:p>
        </w:tc>
        <w:tc>
          <w:tcPr>
            <w:tcW w:w="2818" w:type="dxa"/>
            <w:shd w:val="clear" w:color="auto" w:fill="auto"/>
            <w:noWrap/>
            <w:vAlign w:val="bottom"/>
            <w:hideMark/>
          </w:tcPr>
          <w:p w14:paraId="09C465F8"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38.3 (37.7, 39.0)</w:t>
            </w:r>
          </w:p>
        </w:tc>
        <w:tc>
          <w:tcPr>
            <w:tcW w:w="2610" w:type="dxa"/>
            <w:shd w:val="clear" w:color="auto" w:fill="auto"/>
            <w:noWrap/>
            <w:vAlign w:val="bottom"/>
            <w:hideMark/>
          </w:tcPr>
          <w:p w14:paraId="4E8891F1"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38.5 (36.9, 40.0)</w:t>
            </w:r>
          </w:p>
        </w:tc>
      </w:tr>
      <w:tr w:rsidR="00DE46E4" w:rsidRPr="00CF23B6" w14:paraId="3D770D04" w14:textId="77777777" w:rsidTr="00D103FE">
        <w:trPr>
          <w:trHeight w:val="278"/>
        </w:trPr>
        <w:tc>
          <w:tcPr>
            <w:tcW w:w="2070" w:type="dxa"/>
            <w:vMerge/>
            <w:vAlign w:val="center"/>
            <w:hideMark/>
          </w:tcPr>
          <w:p w14:paraId="6B9CE496"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7CFA2D93"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people in poverty (%)</w:t>
            </w:r>
          </w:p>
        </w:tc>
        <w:tc>
          <w:tcPr>
            <w:tcW w:w="2582" w:type="dxa"/>
            <w:shd w:val="clear" w:color="auto" w:fill="auto"/>
            <w:noWrap/>
            <w:vAlign w:val="bottom"/>
            <w:hideMark/>
          </w:tcPr>
          <w:p w14:paraId="24B34D93"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13.1 (10.8, 14.7)</w:t>
            </w:r>
          </w:p>
        </w:tc>
        <w:tc>
          <w:tcPr>
            <w:tcW w:w="2818" w:type="dxa"/>
            <w:shd w:val="clear" w:color="auto" w:fill="auto"/>
            <w:noWrap/>
            <w:vAlign w:val="bottom"/>
            <w:hideMark/>
          </w:tcPr>
          <w:p w14:paraId="0DB3CCE8"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13.5 (11.2, 13.9)</w:t>
            </w:r>
          </w:p>
        </w:tc>
        <w:tc>
          <w:tcPr>
            <w:tcW w:w="2610" w:type="dxa"/>
            <w:shd w:val="clear" w:color="auto" w:fill="auto"/>
            <w:noWrap/>
            <w:vAlign w:val="bottom"/>
            <w:hideMark/>
          </w:tcPr>
          <w:p w14:paraId="45C8A537"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13.0 (10.9, 14.8)</w:t>
            </w:r>
          </w:p>
        </w:tc>
      </w:tr>
      <w:tr w:rsidR="00DE46E4" w:rsidRPr="00CF23B6" w14:paraId="3D418D67" w14:textId="77777777" w:rsidTr="00D103FE">
        <w:trPr>
          <w:trHeight w:val="278"/>
        </w:trPr>
        <w:tc>
          <w:tcPr>
            <w:tcW w:w="2070" w:type="dxa"/>
            <w:vMerge/>
            <w:vAlign w:val="center"/>
            <w:hideMark/>
          </w:tcPr>
          <w:p w14:paraId="1B3B2AB9"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47E2ADA2"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household in poverty (%)</w:t>
            </w:r>
          </w:p>
        </w:tc>
        <w:tc>
          <w:tcPr>
            <w:tcW w:w="2582" w:type="dxa"/>
            <w:shd w:val="clear" w:color="auto" w:fill="auto"/>
            <w:noWrap/>
            <w:vAlign w:val="bottom"/>
            <w:hideMark/>
          </w:tcPr>
          <w:p w14:paraId="5E2C030E"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12.7 (10.9, 13.9)</w:t>
            </w:r>
          </w:p>
        </w:tc>
        <w:tc>
          <w:tcPr>
            <w:tcW w:w="2818" w:type="dxa"/>
            <w:shd w:val="clear" w:color="auto" w:fill="auto"/>
            <w:noWrap/>
            <w:vAlign w:val="bottom"/>
            <w:hideMark/>
          </w:tcPr>
          <w:p w14:paraId="597E1CCE"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13.1 (10.8, 13.6)</w:t>
            </w:r>
          </w:p>
        </w:tc>
        <w:tc>
          <w:tcPr>
            <w:tcW w:w="2610" w:type="dxa"/>
            <w:shd w:val="clear" w:color="auto" w:fill="auto"/>
            <w:noWrap/>
            <w:vAlign w:val="bottom"/>
            <w:hideMark/>
          </w:tcPr>
          <w:p w14:paraId="5623FA2E"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12.6 (11.0, 13.8)</w:t>
            </w:r>
          </w:p>
        </w:tc>
      </w:tr>
      <w:tr w:rsidR="00DE46E4" w:rsidRPr="00CF23B6" w14:paraId="30890F7A" w14:textId="77777777" w:rsidTr="00D103FE">
        <w:trPr>
          <w:trHeight w:val="278"/>
        </w:trPr>
        <w:tc>
          <w:tcPr>
            <w:tcW w:w="2070" w:type="dxa"/>
            <w:vMerge/>
            <w:vAlign w:val="center"/>
            <w:hideMark/>
          </w:tcPr>
          <w:p w14:paraId="16DA8854"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58ACC52C"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Median Income</w:t>
            </w:r>
          </w:p>
        </w:tc>
        <w:tc>
          <w:tcPr>
            <w:tcW w:w="2582" w:type="dxa"/>
            <w:shd w:val="clear" w:color="auto" w:fill="auto"/>
            <w:noWrap/>
            <w:vAlign w:val="bottom"/>
            <w:hideMark/>
          </w:tcPr>
          <w:p w14:paraId="77150DD6"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31264 (28516, 33612)</w:t>
            </w:r>
          </w:p>
        </w:tc>
        <w:tc>
          <w:tcPr>
            <w:tcW w:w="2818" w:type="dxa"/>
            <w:shd w:val="clear" w:color="auto" w:fill="auto"/>
            <w:noWrap/>
            <w:vAlign w:val="bottom"/>
            <w:hideMark/>
          </w:tcPr>
          <w:p w14:paraId="7DC0B74F"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32148 (30834, 35027)</w:t>
            </w:r>
          </w:p>
        </w:tc>
        <w:tc>
          <w:tcPr>
            <w:tcW w:w="2610" w:type="dxa"/>
            <w:shd w:val="clear" w:color="auto" w:fill="auto"/>
            <w:noWrap/>
            <w:vAlign w:val="bottom"/>
            <w:hideMark/>
          </w:tcPr>
          <w:p w14:paraId="6545598B"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31043 (28291, 32599)</w:t>
            </w:r>
          </w:p>
        </w:tc>
      </w:tr>
      <w:tr w:rsidR="00DE46E4" w:rsidRPr="00CF23B6" w14:paraId="62B9D4AA" w14:textId="77777777" w:rsidTr="00D103FE">
        <w:trPr>
          <w:trHeight w:val="278"/>
        </w:trPr>
        <w:tc>
          <w:tcPr>
            <w:tcW w:w="2070" w:type="dxa"/>
            <w:vMerge/>
            <w:vAlign w:val="center"/>
            <w:hideMark/>
          </w:tcPr>
          <w:p w14:paraId="152376F7"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0C97ABB0"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White (%)</w:t>
            </w:r>
          </w:p>
        </w:tc>
        <w:tc>
          <w:tcPr>
            <w:tcW w:w="2582" w:type="dxa"/>
            <w:shd w:val="clear" w:color="auto" w:fill="auto"/>
            <w:noWrap/>
            <w:vAlign w:val="bottom"/>
            <w:hideMark/>
          </w:tcPr>
          <w:p w14:paraId="31A23D21"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80.0 (71.0, 88.5)</w:t>
            </w:r>
          </w:p>
        </w:tc>
        <w:tc>
          <w:tcPr>
            <w:tcW w:w="2818" w:type="dxa"/>
            <w:shd w:val="clear" w:color="auto" w:fill="auto"/>
            <w:noWrap/>
            <w:vAlign w:val="bottom"/>
            <w:hideMark/>
          </w:tcPr>
          <w:p w14:paraId="380FEBB0"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70.6 (64.4, 78.4)</w:t>
            </w:r>
          </w:p>
        </w:tc>
        <w:tc>
          <w:tcPr>
            <w:tcW w:w="2610" w:type="dxa"/>
            <w:shd w:val="clear" w:color="auto" w:fill="auto"/>
            <w:noWrap/>
            <w:vAlign w:val="bottom"/>
            <w:hideMark/>
          </w:tcPr>
          <w:p w14:paraId="55D18A77"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81.8 (75.2, 89.1)</w:t>
            </w:r>
          </w:p>
        </w:tc>
      </w:tr>
      <w:tr w:rsidR="00DE46E4" w:rsidRPr="00CF23B6" w14:paraId="54151A6B" w14:textId="77777777" w:rsidTr="00D103FE">
        <w:trPr>
          <w:trHeight w:val="278"/>
        </w:trPr>
        <w:tc>
          <w:tcPr>
            <w:tcW w:w="2070" w:type="dxa"/>
            <w:vMerge/>
            <w:vAlign w:val="center"/>
            <w:hideMark/>
          </w:tcPr>
          <w:p w14:paraId="0E206B02"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0CB5D8C3"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Black or African American (%)</w:t>
            </w:r>
          </w:p>
        </w:tc>
        <w:tc>
          <w:tcPr>
            <w:tcW w:w="2582" w:type="dxa"/>
            <w:shd w:val="clear" w:color="auto" w:fill="auto"/>
            <w:noWrap/>
            <w:vAlign w:val="bottom"/>
            <w:hideMark/>
          </w:tcPr>
          <w:p w14:paraId="37496AAF"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11.9 (4.7, 16.1)</w:t>
            </w:r>
          </w:p>
        </w:tc>
        <w:tc>
          <w:tcPr>
            <w:tcW w:w="2818" w:type="dxa"/>
            <w:shd w:val="clear" w:color="auto" w:fill="auto"/>
            <w:noWrap/>
            <w:vAlign w:val="bottom"/>
            <w:hideMark/>
          </w:tcPr>
          <w:p w14:paraId="168E9E1C"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11.1 (4.1, 14.6)</w:t>
            </w:r>
          </w:p>
        </w:tc>
        <w:tc>
          <w:tcPr>
            <w:tcW w:w="2610" w:type="dxa"/>
            <w:shd w:val="clear" w:color="auto" w:fill="auto"/>
            <w:noWrap/>
            <w:vAlign w:val="bottom"/>
            <w:hideMark/>
          </w:tcPr>
          <w:p w14:paraId="7854462D"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12.0 (4.8, 16.6)</w:t>
            </w:r>
          </w:p>
        </w:tc>
      </w:tr>
      <w:tr w:rsidR="00DE46E4" w:rsidRPr="00CF23B6" w14:paraId="06208F8C" w14:textId="77777777" w:rsidTr="00D103FE">
        <w:trPr>
          <w:trHeight w:val="278"/>
        </w:trPr>
        <w:tc>
          <w:tcPr>
            <w:tcW w:w="2070" w:type="dxa"/>
            <w:vMerge/>
            <w:vAlign w:val="center"/>
            <w:hideMark/>
          </w:tcPr>
          <w:p w14:paraId="48A34E44"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3BFE66E9"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Asian (%)</w:t>
            </w:r>
          </w:p>
        </w:tc>
        <w:tc>
          <w:tcPr>
            <w:tcW w:w="2582" w:type="dxa"/>
            <w:shd w:val="clear" w:color="auto" w:fill="auto"/>
            <w:noWrap/>
            <w:vAlign w:val="bottom"/>
            <w:hideMark/>
          </w:tcPr>
          <w:p w14:paraId="29BEDB2D"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5.4 (2.2, 5.7)</w:t>
            </w:r>
          </w:p>
        </w:tc>
        <w:tc>
          <w:tcPr>
            <w:tcW w:w="2818" w:type="dxa"/>
            <w:shd w:val="clear" w:color="auto" w:fill="auto"/>
            <w:noWrap/>
            <w:vAlign w:val="bottom"/>
            <w:hideMark/>
          </w:tcPr>
          <w:p w14:paraId="19EB21B8"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12.6 (5.5, 10.8)</w:t>
            </w:r>
          </w:p>
        </w:tc>
        <w:tc>
          <w:tcPr>
            <w:tcW w:w="2610" w:type="dxa"/>
            <w:shd w:val="clear" w:color="auto" w:fill="auto"/>
            <w:noWrap/>
            <w:vAlign w:val="bottom"/>
            <w:hideMark/>
          </w:tcPr>
          <w:p w14:paraId="6C79578C"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3.7 (2.1, 4.4)</w:t>
            </w:r>
          </w:p>
        </w:tc>
      </w:tr>
      <w:tr w:rsidR="00DE46E4" w:rsidRPr="00CF23B6" w14:paraId="2359498B" w14:textId="77777777" w:rsidTr="00D103FE">
        <w:trPr>
          <w:trHeight w:val="278"/>
        </w:trPr>
        <w:tc>
          <w:tcPr>
            <w:tcW w:w="2070" w:type="dxa"/>
            <w:vMerge/>
            <w:vAlign w:val="center"/>
            <w:hideMark/>
          </w:tcPr>
          <w:p w14:paraId="2A2FA0BD"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003632F4"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Hispanic or Latino (%)</w:t>
            </w:r>
          </w:p>
        </w:tc>
        <w:tc>
          <w:tcPr>
            <w:tcW w:w="2582" w:type="dxa"/>
            <w:shd w:val="clear" w:color="auto" w:fill="auto"/>
            <w:noWrap/>
            <w:vAlign w:val="bottom"/>
            <w:hideMark/>
          </w:tcPr>
          <w:p w14:paraId="3A4D6846"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11.9 (5.1, 13.8)</w:t>
            </w:r>
          </w:p>
        </w:tc>
        <w:tc>
          <w:tcPr>
            <w:tcW w:w="2818" w:type="dxa"/>
            <w:shd w:val="clear" w:color="auto" w:fill="auto"/>
            <w:noWrap/>
            <w:vAlign w:val="bottom"/>
            <w:hideMark/>
          </w:tcPr>
          <w:p w14:paraId="46A610A9"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21.0 (12.7, 26.3)</w:t>
            </w:r>
          </w:p>
        </w:tc>
        <w:tc>
          <w:tcPr>
            <w:tcW w:w="2610" w:type="dxa"/>
            <w:shd w:val="clear" w:color="auto" w:fill="auto"/>
            <w:noWrap/>
            <w:vAlign w:val="bottom"/>
            <w:hideMark/>
          </w:tcPr>
          <w:p w14:paraId="6BD9F357"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9.6 (4.1, 11.1)</w:t>
            </w:r>
          </w:p>
        </w:tc>
      </w:tr>
      <w:tr w:rsidR="00DE46E4" w:rsidRPr="00CF23B6" w14:paraId="0EAED34B" w14:textId="77777777" w:rsidTr="00D103FE">
        <w:trPr>
          <w:trHeight w:val="324"/>
        </w:trPr>
        <w:tc>
          <w:tcPr>
            <w:tcW w:w="2070" w:type="dxa"/>
            <w:shd w:val="clear" w:color="auto" w:fill="auto"/>
            <w:vAlign w:val="center"/>
            <w:hideMark/>
          </w:tcPr>
          <w:p w14:paraId="33671391" w14:textId="77777777" w:rsidR="00CF23B6" w:rsidRPr="00CF23B6" w:rsidRDefault="00CF23B6" w:rsidP="00CF23B6">
            <w:pPr>
              <w:spacing w:after="0" w:line="240" w:lineRule="auto"/>
              <w:jc w:val="center"/>
              <w:rPr>
                <w:rFonts w:eastAsia="Times New Roman" w:cs="Times New Roman"/>
                <w:b/>
                <w:bCs/>
                <w:color w:val="000000"/>
                <w:sz w:val="22"/>
              </w:rPr>
            </w:pPr>
            <w:r w:rsidRPr="00CF23B6">
              <w:rPr>
                <w:rFonts w:eastAsia="Times New Roman" w:cs="Times New Roman"/>
                <w:b/>
                <w:bCs/>
                <w:color w:val="000000"/>
                <w:sz w:val="22"/>
              </w:rPr>
              <w:t>Population Density</w:t>
            </w:r>
          </w:p>
        </w:tc>
        <w:tc>
          <w:tcPr>
            <w:tcW w:w="4770" w:type="dxa"/>
            <w:shd w:val="clear" w:color="auto" w:fill="auto"/>
            <w:noWrap/>
            <w:vAlign w:val="center"/>
            <w:hideMark/>
          </w:tcPr>
          <w:p w14:paraId="146672C0"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Population Density (people/mi</w:t>
            </w:r>
            <w:r w:rsidRPr="00CF23B6">
              <w:rPr>
                <w:rFonts w:eastAsia="Times New Roman" w:cs="Times New Roman"/>
                <w:color w:val="000000"/>
                <w:sz w:val="22"/>
                <w:vertAlign w:val="superscript"/>
              </w:rPr>
              <w:t>2</w:t>
            </w:r>
            <w:r w:rsidRPr="00CF23B6">
              <w:rPr>
                <w:rFonts w:eastAsia="Times New Roman" w:cs="Times New Roman"/>
                <w:color w:val="000000"/>
                <w:sz w:val="22"/>
              </w:rPr>
              <w:t>)</w:t>
            </w:r>
          </w:p>
        </w:tc>
        <w:tc>
          <w:tcPr>
            <w:tcW w:w="2582" w:type="dxa"/>
            <w:shd w:val="clear" w:color="auto" w:fill="auto"/>
            <w:noWrap/>
            <w:vAlign w:val="bottom"/>
            <w:hideMark/>
          </w:tcPr>
          <w:p w14:paraId="394CF7C2"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171 (46, 198)</w:t>
            </w:r>
          </w:p>
        </w:tc>
        <w:tc>
          <w:tcPr>
            <w:tcW w:w="2818" w:type="dxa"/>
            <w:shd w:val="clear" w:color="auto" w:fill="auto"/>
            <w:noWrap/>
            <w:vAlign w:val="bottom"/>
            <w:hideMark/>
          </w:tcPr>
          <w:p w14:paraId="58C9964E"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187 (54, 236)</w:t>
            </w:r>
          </w:p>
        </w:tc>
        <w:tc>
          <w:tcPr>
            <w:tcW w:w="2610" w:type="dxa"/>
            <w:shd w:val="clear" w:color="auto" w:fill="auto"/>
            <w:noWrap/>
            <w:vAlign w:val="bottom"/>
            <w:hideMark/>
          </w:tcPr>
          <w:p w14:paraId="48981D74"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167 (51, 187)</w:t>
            </w:r>
          </w:p>
        </w:tc>
      </w:tr>
      <w:tr w:rsidR="00DE46E4" w:rsidRPr="00CF23B6" w14:paraId="49D29242" w14:textId="77777777" w:rsidTr="00D103FE">
        <w:trPr>
          <w:trHeight w:val="278"/>
        </w:trPr>
        <w:tc>
          <w:tcPr>
            <w:tcW w:w="2070" w:type="dxa"/>
            <w:shd w:val="clear" w:color="auto" w:fill="auto"/>
            <w:vAlign w:val="center"/>
            <w:hideMark/>
          </w:tcPr>
          <w:p w14:paraId="63ECAA27" w14:textId="77777777" w:rsidR="00CF23B6" w:rsidRPr="00CF23B6" w:rsidRDefault="00CF23B6" w:rsidP="00CF23B6">
            <w:pPr>
              <w:spacing w:after="0" w:line="240" w:lineRule="auto"/>
              <w:jc w:val="center"/>
              <w:rPr>
                <w:rFonts w:eastAsia="Times New Roman" w:cs="Times New Roman"/>
                <w:b/>
                <w:bCs/>
                <w:color w:val="000000"/>
                <w:sz w:val="22"/>
              </w:rPr>
            </w:pPr>
            <w:r w:rsidRPr="00CF23B6">
              <w:rPr>
                <w:rFonts w:eastAsia="Times New Roman" w:cs="Times New Roman"/>
                <w:b/>
                <w:bCs/>
                <w:color w:val="000000"/>
                <w:sz w:val="22"/>
              </w:rPr>
              <w:t>Political leading</w:t>
            </w:r>
          </w:p>
        </w:tc>
        <w:tc>
          <w:tcPr>
            <w:tcW w:w="4770" w:type="dxa"/>
            <w:shd w:val="clear" w:color="auto" w:fill="auto"/>
            <w:vAlign w:val="center"/>
            <w:hideMark/>
          </w:tcPr>
          <w:p w14:paraId="09488612"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 xml:space="preserve">Republican (2020) </w:t>
            </w:r>
          </w:p>
        </w:tc>
        <w:tc>
          <w:tcPr>
            <w:tcW w:w="2582" w:type="dxa"/>
            <w:shd w:val="clear" w:color="auto" w:fill="auto"/>
            <w:noWrap/>
            <w:vAlign w:val="bottom"/>
            <w:hideMark/>
          </w:tcPr>
          <w:p w14:paraId="3E4C033B"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25 (50%)</w:t>
            </w:r>
          </w:p>
        </w:tc>
        <w:tc>
          <w:tcPr>
            <w:tcW w:w="2818" w:type="dxa"/>
            <w:shd w:val="clear" w:color="auto" w:fill="auto"/>
            <w:noWrap/>
            <w:vAlign w:val="bottom"/>
            <w:hideMark/>
          </w:tcPr>
          <w:p w14:paraId="0524CC19"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 (10%)</w:t>
            </w:r>
          </w:p>
        </w:tc>
        <w:tc>
          <w:tcPr>
            <w:tcW w:w="2610" w:type="dxa"/>
            <w:shd w:val="clear" w:color="auto" w:fill="auto"/>
            <w:noWrap/>
            <w:vAlign w:val="bottom"/>
            <w:hideMark/>
          </w:tcPr>
          <w:p w14:paraId="6FB69081"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24 (60%)</w:t>
            </w:r>
          </w:p>
        </w:tc>
      </w:tr>
      <w:tr w:rsidR="00DE46E4" w:rsidRPr="00CF23B6" w14:paraId="27FF9024" w14:textId="77777777" w:rsidTr="00D103FE">
        <w:trPr>
          <w:trHeight w:val="278"/>
        </w:trPr>
        <w:tc>
          <w:tcPr>
            <w:tcW w:w="2070" w:type="dxa"/>
            <w:vMerge w:val="restart"/>
            <w:shd w:val="clear" w:color="auto" w:fill="auto"/>
            <w:vAlign w:val="center"/>
            <w:hideMark/>
          </w:tcPr>
          <w:p w14:paraId="2E41CF4F" w14:textId="77777777" w:rsidR="00CF23B6" w:rsidRPr="00CF23B6" w:rsidRDefault="00CF23B6" w:rsidP="00CF23B6">
            <w:pPr>
              <w:spacing w:after="0" w:line="240" w:lineRule="auto"/>
              <w:jc w:val="center"/>
              <w:rPr>
                <w:rFonts w:eastAsia="Times New Roman" w:cs="Times New Roman"/>
                <w:b/>
                <w:bCs/>
                <w:color w:val="000000"/>
                <w:sz w:val="22"/>
              </w:rPr>
            </w:pPr>
            <w:r w:rsidRPr="00CF23B6">
              <w:rPr>
                <w:rFonts w:eastAsia="Times New Roman" w:cs="Times New Roman"/>
                <w:b/>
                <w:bCs/>
                <w:color w:val="000000"/>
                <w:sz w:val="22"/>
              </w:rPr>
              <w:t>COVID Status before 9/1/21</w:t>
            </w:r>
          </w:p>
        </w:tc>
        <w:tc>
          <w:tcPr>
            <w:tcW w:w="4770" w:type="dxa"/>
            <w:shd w:val="clear" w:color="auto" w:fill="auto"/>
            <w:noWrap/>
            <w:vAlign w:val="center"/>
            <w:hideMark/>
          </w:tcPr>
          <w:p w14:paraId="2DBAE1AB"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Confirmed cases 30 days before</w:t>
            </w:r>
          </w:p>
        </w:tc>
        <w:tc>
          <w:tcPr>
            <w:tcW w:w="2582" w:type="dxa"/>
            <w:shd w:val="clear" w:color="auto" w:fill="auto"/>
            <w:noWrap/>
            <w:vAlign w:val="bottom"/>
            <w:hideMark/>
          </w:tcPr>
          <w:p w14:paraId="75701A09"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700106 (203887, 868838)</w:t>
            </w:r>
          </w:p>
        </w:tc>
        <w:tc>
          <w:tcPr>
            <w:tcW w:w="2818" w:type="dxa"/>
            <w:shd w:val="clear" w:color="auto" w:fill="auto"/>
            <w:noWrap/>
            <w:vAlign w:val="bottom"/>
            <w:hideMark/>
          </w:tcPr>
          <w:p w14:paraId="68A3BEF5"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987018 (255244, 1207111)</w:t>
            </w:r>
          </w:p>
        </w:tc>
        <w:tc>
          <w:tcPr>
            <w:tcW w:w="2610" w:type="dxa"/>
            <w:shd w:val="clear" w:color="auto" w:fill="auto"/>
            <w:noWrap/>
            <w:vAlign w:val="bottom"/>
            <w:hideMark/>
          </w:tcPr>
          <w:p w14:paraId="6CE1A839"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628379 (164458, 805677)</w:t>
            </w:r>
          </w:p>
        </w:tc>
      </w:tr>
      <w:tr w:rsidR="00DE46E4" w:rsidRPr="00CF23B6" w14:paraId="00FF711A" w14:textId="77777777" w:rsidTr="00D103FE">
        <w:trPr>
          <w:trHeight w:val="278"/>
        </w:trPr>
        <w:tc>
          <w:tcPr>
            <w:tcW w:w="2070" w:type="dxa"/>
            <w:vMerge/>
            <w:vAlign w:val="center"/>
            <w:hideMark/>
          </w:tcPr>
          <w:p w14:paraId="12496B41"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25A45C9B"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Confirmed cases 14 days before</w:t>
            </w:r>
          </w:p>
        </w:tc>
        <w:tc>
          <w:tcPr>
            <w:tcW w:w="2582" w:type="dxa"/>
            <w:shd w:val="clear" w:color="auto" w:fill="auto"/>
            <w:noWrap/>
            <w:vAlign w:val="bottom"/>
            <w:hideMark/>
          </w:tcPr>
          <w:p w14:paraId="2D815E6E"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741671 (214139, 925122)</w:t>
            </w:r>
          </w:p>
        </w:tc>
        <w:tc>
          <w:tcPr>
            <w:tcW w:w="2818" w:type="dxa"/>
            <w:shd w:val="clear" w:color="auto" w:fill="auto"/>
            <w:noWrap/>
            <w:vAlign w:val="bottom"/>
            <w:hideMark/>
          </w:tcPr>
          <w:p w14:paraId="57107DAC"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1038925 (277122, 1265324)</w:t>
            </w:r>
          </w:p>
        </w:tc>
        <w:tc>
          <w:tcPr>
            <w:tcW w:w="2610" w:type="dxa"/>
            <w:shd w:val="clear" w:color="auto" w:fill="auto"/>
            <w:noWrap/>
            <w:vAlign w:val="bottom"/>
            <w:hideMark/>
          </w:tcPr>
          <w:p w14:paraId="2EB215EA"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667357 (171483, 848070)</w:t>
            </w:r>
          </w:p>
        </w:tc>
      </w:tr>
      <w:tr w:rsidR="00DE46E4" w:rsidRPr="00CF23B6" w14:paraId="4ED0F852" w14:textId="77777777" w:rsidTr="00D103FE">
        <w:trPr>
          <w:trHeight w:val="278"/>
        </w:trPr>
        <w:tc>
          <w:tcPr>
            <w:tcW w:w="2070" w:type="dxa"/>
            <w:vMerge/>
            <w:vAlign w:val="center"/>
            <w:hideMark/>
          </w:tcPr>
          <w:p w14:paraId="62A2A3AC"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146DE44A"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Confirmed cases 7 days before</w:t>
            </w:r>
          </w:p>
        </w:tc>
        <w:tc>
          <w:tcPr>
            <w:tcW w:w="2582" w:type="dxa"/>
            <w:shd w:val="clear" w:color="auto" w:fill="auto"/>
            <w:noWrap/>
            <w:vAlign w:val="bottom"/>
            <w:hideMark/>
          </w:tcPr>
          <w:p w14:paraId="56DBB1EA"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762880 (218955, 951974)</w:t>
            </w:r>
          </w:p>
        </w:tc>
        <w:tc>
          <w:tcPr>
            <w:tcW w:w="2818" w:type="dxa"/>
            <w:shd w:val="clear" w:color="auto" w:fill="auto"/>
            <w:noWrap/>
            <w:vAlign w:val="bottom"/>
            <w:hideMark/>
          </w:tcPr>
          <w:p w14:paraId="45453F57"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1064311 (289656, 1292076)</w:t>
            </w:r>
          </w:p>
        </w:tc>
        <w:tc>
          <w:tcPr>
            <w:tcW w:w="2610" w:type="dxa"/>
            <w:shd w:val="clear" w:color="auto" w:fill="auto"/>
            <w:noWrap/>
            <w:vAlign w:val="bottom"/>
            <w:hideMark/>
          </w:tcPr>
          <w:p w14:paraId="0C9BC493"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687522 (176666, 873303)</w:t>
            </w:r>
          </w:p>
        </w:tc>
      </w:tr>
      <w:tr w:rsidR="00DE46E4" w:rsidRPr="00CF23B6" w14:paraId="1B6CBFAF" w14:textId="77777777" w:rsidTr="00D103FE">
        <w:trPr>
          <w:trHeight w:val="278"/>
        </w:trPr>
        <w:tc>
          <w:tcPr>
            <w:tcW w:w="2070" w:type="dxa"/>
            <w:vMerge/>
            <w:vAlign w:val="center"/>
            <w:hideMark/>
          </w:tcPr>
          <w:p w14:paraId="41D32F1E"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5DC356C2"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Death 30 days before</w:t>
            </w:r>
          </w:p>
        </w:tc>
        <w:tc>
          <w:tcPr>
            <w:tcW w:w="2582" w:type="dxa"/>
            <w:shd w:val="clear" w:color="auto" w:fill="auto"/>
            <w:noWrap/>
            <w:vAlign w:val="bottom"/>
            <w:hideMark/>
          </w:tcPr>
          <w:p w14:paraId="29E4278B"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12192 (2534, 13926)</w:t>
            </w:r>
          </w:p>
        </w:tc>
        <w:tc>
          <w:tcPr>
            <w:tcW w:w="2818" w:type="dxa"/>
            <w:shd w:val="clear" w:color="auto" w:fill="auto"/>
            <w:noWrap/>
            <w:vAlign w:val="bottom"/>
            <w:hideMark/>
          </w:tcPr>
          <w:p w14:paraId="30CDDBE2"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18289 (4790, 22170)</w:t>
            </w:r>
          </w:p>
        </w:tc>
        <w:tc>
          <w:tcPr>
            <w:tcW w:w="2610" w:type="dxa"/>
            <w:shd w:val="clear" w:color="auto" w:fill="auto"/>
            <w:noWrap/>
            <w:vAlign w:val="bottom"/>
            <w:hideMark/>
          </w:tcPr>
          <w:p w14:paraId="64794584"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10668 (2261, 13756)</w:t>
            </w:r>
          </w:p>
        </w:tc>
      </w:tr>
      <w:tr w:rsidR="00DE46E4" w:rsidRPr="00CF23B6" w14:paraId="041D88CA" w14:textId="77777777" w:rsidTr="00D103FE">
        <w:trPr>
          <w:trHeight w:val="278"/>
        </w:trPr>
        <w:tc>
          <w:tcPr>
            <w:tcW w:w="2070" w:type="dxa"/>
            <w:vMerge/>
            <w:vAlign w:val="center"/>
            <w:hideMark/>
          </w:tcPr>
          <w:p w14:paraId="3602512D"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11F0F275"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Death 14 days before</w:t>
            </w:r>
          </w:p>
        </w:tc>
        <w:tc>
          <w:tcPr>
            <w:tcW w:w="2582" w:type="dxa"/>
            <w:shd w:val="clear" w:color="auto" w:fill="auto"/>
            <w:noWrap/>
            <w:vAlign w:val="bottom"/>
            <w:hideMark/>
          </w:tcPr>
          <w:p w14:paraId="63923470"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12410 (2599, 14136)</w:t>
            </w:r>
          </w:p>
        </w:tc>
        <w:tc>
          <w:tcPr>
            <w:tcW w:w="2818" w:type="dxa"/>
            <w:shd w:val="clear" w:color="auto" w:fill="auto"/>
            <w:noWrap/>
            <w:vAlign w:val="bottom"/>
            <w:hideMark/>
          </w:tcPr>
          <w:p w14:paraId="7AF2A6E4"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18513 (4906, 22537)</w:t>
            </w:r>
          </w:p>
        </w:tc>
        <w:tc>
          <w:tcPr>
            <w:tcW w:w="2610" w:type="dxa"/>
            <w:shd w:val="clear" w:color="auto" w:fill="auto"/>
            <w:noWrap/>
            <w:vAlign w:val="bottom"/>
            <w:hideMark/>
          </w:tcPr>
          <w:p w14:paraId="49F982D9"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10885 (2296, 14014)</w:t>
            </w:r>
          </w:p>
        </w:tc>
      </w:tr>
      <w:tr w:rsidR="00DE46E4" w:rsidRPr="00CF23B6" w14:paraId="163BE094" w14:textId="77777777" w:rsidTr="00D103FE">
        <w:trPr>
          <w:trHeight w:val="278"/>
        </w:trPr>
        <w:tc>
          <w:tcPr>
            <w:tcW w:w="2070" w:type="dxa"/>
            <w:vMerge/>
            <w:vAlign w:val="center"/>
            <w:hideMark/>
          </w:tcPr>
          <w:p w14:paraId="7C156B92"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5CCCB719"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Death 7 days before</w:t>
            </w:r>
          </w:p>
        </w:tc>
        <w:tc>
          <w:tcPr>
            <w:tcW w:w="2582" w:type="dxa"/>
            <w:shd w:val="clear" w:color="auto" w:fill="auto"/>
            <w:noWrap/>
            <w:vAlign w:val="bottom"/>
            <w:hideMark/>
          </w:tcPr>
          <w:p w14:paraId="34992C0D"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12574 (2644, 14308)</w:t>
            </w:r>
          </w:p>
        </w:tc>
        <w:tc>
          <w:tcPr>
            <w:tcW w:w="2818" w:type="dxa"/>
            <w:shd w:val="clear" w:color="auto" w:fill="auto"/>
            <w:noWrap/>
            <w:vAlign w:val="bottom"/>
            <w:hideMark/>
          </w:tcPr>
          <w:p w14:paraId="733BACC3"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18688 (4960, 22743)</w:t>
            </w:r>
          </w:p>
        </w:tc>
        <w:tc>
          <w:tcPr>
            <w:tcW w:w="2610" w:type="dxa"/>
            <w:shd w:val="clear" w:color="auto" w:fill="auto"/>
            <w:noWrap/>
            <w:vAlign w:val="bottom"/>
            <w:hideMark/>
          </w:tcPr>
          <w:p w14:paraId="535F9DF7"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11045 (2316, 14244)</w:t>
            </w:r>
          </w:p>
        </w:tc>
      </w:tr>
      <w:tr w:rsidR="00DE46E4" w:rsidRPr="00CF23B6" w14:paraId="2E640005" w14:textId="77777777" w:rsidTr="00D103FE">
        <w:trPr>
          <w:trHeight w:val="278"/>
        </w:trPr>
        <w:tc>
          <w:tcPr>
            <w:tcW w:w="2070" w:type="dxa"/>
            <w:vMerge/>
            <w:vAlign w:val="center"/>
            <w:hideMark/>
          </w:tcPr>
          <w:p w14:paraId="12234B0F"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6F034840"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Fully Vaccination Rate 14 days before (%)</w:t>
            </w:r>
          </w:p>
        </w:tc>
        <w:tc>
          <w:tcPr>
            <w:tcW w:w="2582" w:type="dxa"/>
            <w:shd w:val="clear" w:color="auto" w:fill="auto"/>
            <w:noWrap/>
            <w:vAlign w:val="bottom"/>
            <w:hideMark/>
          </w:tcPr>
          <w:p w14:paraId="6BF7BC3A"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50.5 (44.2, 56.8)</w:t>
            </w:r>
          </w:p>
        </w:tc>
        <w:tc>
          <w:tcPr>
            <w:tcW w:w="2818" w:type="dxa"/>
            <w:shd w:val="clear" w:color="auto" w:fill="auto"/>
            <w:noWrap/>
            <w:vAlign w:val="bottom"/>
            <w:hideMark/>
          </w:tcPr>
          <w:p w14:paraId="19FCFC60"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55.2 (53.2, 58.9)</w:t>
            </w:r>
          </w:p>
        </w:tc>
        <w:tc>
          <w:tcPr>
            <w:tcW w:w="2610" w:type="dxa"/>
            <w:shd w:val="clear" w:color="auto" w:fill="auto"/>
            <w:noWrap/>
            <w:vAlign w:val="bottom"/>
            <w:hideMark/>
          </w:tcPr>
          <w:p w14:paraId="196AB9BB"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49.3 (41.9, 54.2)</w:t>
            </w:r>
          </w:p>
        </w:tc>
      </w:tr>
      <w:tr w:rsidR="00DE46E4" w:rsidRPr="00CF23B6" w14:paraId="69E404CB" w14:textId="77777777" w:rsidTr="00D103FE">
        <w:trPr>
          <w:trHeight w:val="278"/>
        </w:trPr>
        <w:tc>
          <w:tcPr>
            <w:tcW w:w="2070" w:type="dxa"/>
            <w:vMerge/>
            <w:vAlign w:val="center"/>
            <w:hideMark/>
          </w:tcPr>
          <w:p w14:paraId="4D61856D"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center"/>
            <w:hideMark/>
          </w:tcPr>
          <w:p w14:paraId="3148769F"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School mask mandate</w:t>
            </w:r>
          </w:p>
        </w:tc>
        <w:tc>
          <w:tcPr>
            <w:tcW w:w="2582" w:type="dxa"/>
            <w:shd w:val="clear" w:color="auto" w:fill="auto"/>
            <w:noWrap/>
            <w:vAlign w:val="bottom"/>
            <w:hideMark/>
          </w:tcPr>
          <w:p w14:paraId="43FB8B4D"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15 (30%)</w:t>
            </w:r>
          </w:p>
        </w:tc>
        <w:tc>
          <w:tcPr>
            <w:tcW w:w="2818" w:type="dxa"/>
            <w:shd w:val="clear" w:color="auto" w:fill="auto"/>
            <w:noWrap/>
            <w:vAlign w:val="bottom"/>
            <w:hideMark/>
          </w:tcPr>
          <w:p w14:paraId="241BE523"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9 (90%)</w:t>
            </w:r>
          </w:p>
        </w:tc>
        <w:tc>
          <w:tcPr>
            <w:tcW w:w="2610" w:type="dxa"/>
            <w:shd w:val="clear" w:color="auto" w:fill="auto"/>
            <w:noWrap/>
            <w:vAlign w:val="bottom"/>
            <w:hideMark/>
          </w:tcPr>
          <w:p w14:paraId="5D323339"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6 (15%)</w:t>
            </w:r>
          </w:p>
        </w:tc>
      </w:tr>
      <w:tr w:rsidR="00DE46E4" w:rsidRPr="00CF23B6" w14:paraId="2F1C5D60" w14:textId="77777777" w:rsidTr="00D103FE">
        <w:trPr>
          <w:trHeight w:val="278"/>
        </w:trPr>
        <w:tc>
          <w:tcPr>
            <w:tcW w:w="2070" w:type="dxa"/>
            <w:vMerge/>
            <w:vAlign w:val="center"/>
            <w:hideMark/>
          </w:tcPr>
          <w:p w14:paraId="6B98DFF2"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bottom"/>
            <w:hideMark/>
          </w:tcPr>
          <w:p w14:paraId="62D43EF3"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 xml:space="preserve">Mobility </w:t>
            </w:r>
            <w:proofErr w:type="gramStart"/>
            <w:r w:rsidRPr="00CF23B6">
              <w:rPr>
                <w:rFonts w:eastAsia="Times New Roman" w:cs="Times New Roman"/>
                <w:color w:val="000000"/>
                <w:sz w:val="22"/>
              </w:rPr>
              <w:t>change</w:t>
            </w:r>
            <w:proofErr w:type="gramEnd"/>
            <w:r w:rsidRPr="00CF23B6">
              <w:rPr>
                <w:rFonts w:eastAsia="Times New Roman" w:cs="Times New Roman"/>
                <w:color w:val="000000"/>
                <w:sz w:val="22"/>
              </w:rPr>
              <w:t xml:space="preserve"> 14 days before - </w:t>
            </w:r>
            <w:proofErr w:type="spellStart"/>
            <w:r w:rsidRPr="00CF23B6">
              <w:rPr>
                <w:rFonts w:eastAsia="Times New Roman" w:cs="Times New Roman"/>
                <w:color w:val="000000"/>
                <w:sz w:val="22"/>
              </w:rPr>
              <w:t>retailrec</w:t>
            </w:r>
            <w:proofErr w:type="spellEnd"/>
            <w:r w:rsidRPr="00CF23B6">
              <w:rPr>
                <w:rFonts w:eastAsia="Times New Roman" w:cs="Times New Roman"/>
                <w:color w:val="000000"/>
                <w:sz w:val="22"/>
              </w:rPr>
              <w:t xml:space="preserve"> (%)</w:t>
            </w:r>
          </w:p>
        </w:tc>
        <w:tc>
          <w:tcPr>
            <w:tcW w:w="2582" w:type="dxa"/>
            <w:shd w:val="clear" w:color="auto" w:fill="auto"/>
            <w:noWrap/>
            <w:vAlign w:val="bottom"/>
            <w:hideMark/>
          </w:tcPr>
          <w:p w14:paraId="037FC9D2"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3.9 (-2.0, 9.0)</w:t>
            </w:r>
          </w:p>
        </w:tc>
        <w:tc>
          <w:tcPr>
            <w:tcW w:w="2818" w:type="dxa"/>
            <w:shd w:val="clear" w:color="auto" w:fill="auto"/>
            <w:noWrap/>
            <w:vAlign w:val="bottom"/>
            <w:hideMark/>
          </w:tcPr>
          <w:p w14:paraId="586E3316"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-5.6 (-9.5, -0.5)</w:t>
            </w:r>
          </w:p>
        </w:tc>
        <w:tc>
          <w:tcPr>
            <w:tcW w:w="2610" w:type="dxa"/>
            <w:shd w:val="clear" w:color="auto" w:fill="auto"/>
            <w:noWrap/>
            <w:vAlign w:val="bottom"/>
            <w:hideMark/>
          </w:tcPr>
          <w:p w14:paraId="16AABCDE"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6.3 (-1.0, 12.5)</w:t>
            </w:r>
          </w:p>
        </w:tc>
      </w:tr>
      <w:tr w:rsidR="00DE46E4" w:rsidRPr="00CF23B6" w14:paraId="2E7943D4" w14:textId="77777777" w:rsidTr="00D103FE">
        <w:trPr>
          <w:trHeight w:val="278"/>
        </w:trPr>
        <w:tc>
          <w:tcPr>
            <w:tcW w:w="2070" w:type="dxa"/>
            <w:vMerge/>
            <w:vAlign w:val="center"/>
            <w:hideMark/>
          </w:tcPr>
          <w:p w14:paraId="6E3705B6"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bottom"/>
            <w:hideMark/>
          </w:tcPr>
          <w:p w14:paraId="4FE30F27"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 xml:space="preserve">Mobility </w:t>
            </w:r>
            <w:proofErr w:type="gramStart"/>
            <w:r w:rsidRPr="00CF23B6">
              <w:rPr>
                <w:rFonts w:eastAsia="Times New Roman" w:cs="Times New Roman"/>
                <w:color w:val="000000"/>
                <w:sz w:val="22"/>
              </w:rPr>
              <w:t>change</w:t>
            </w:r>
            <w:proofErr w:type="gramEnd"/>
            <w:r w:rsidRPr="00CF23B6">
              <w:rPr>
                <w:rFonts w:eastAsia="Times New Roman" w:cs="Times New Roman"/>
                <w:color w:val="000000"/>
                <w:sz w:val="22"/>
              </w:rPr>
              <w:t xml:space="preserve"> 7 days before - </w:t>
            </w:r>
            <w:proofErr w:type="spellStart"/>
            <w:r w:rsidRPr="00CF23B6">
              <w:rPr>
                <w:rFonts w:eastAsia="Times New Roman" w:cs="Times New Roman"/>
                <w:color w:val="000000"/>
                <w:sz w:val="22"/>
              </w:rPr>
              <w:t>retailrec</w:t>
            </w:r>
            <w:proofErr w:type="spellEnd"/>
            <w:r w:rsidRPr="00CF23B6">
              <w:rPr>
                <w:rFonts w:eastAsia="Times New Roman" w:cs="Times New Roman"/>
                <w:color w:val="000000"/>
                <w:sz w:val="22"/>
              </w:rPr>
              <w:t xml:space="preserve"> (%)</w:t>
            </w:r>
          </w:p>
        </w:tc>
        <w:tc>
          <w:tcPr>
            <w:tcW w:w="2582" w:type="dxa"/>
            <w:shd w:val="clear" w:color="auto" w:fill="auto"/>
            <w:noWrap/>
            <w:vAlign w:val="bottom"/>
            <w:hideMark/>
          </w:tcPr>
          <w:p w14:paraId="54C924B5"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1.9 (-5.0, 7.0)</w:t>
            </w:r>
          </w:p>
        </w:tc>
        <w:tc>
          <w:tcPr>
            <w:tcW w:w="2818" w:type="dxa"/>
            <w:shd w:val="clear" w:color="auto" w:fill="auto"/>
            <w:noWrap/>
            <w:vAlign w:val="bottom"/>
            <w:hideMark/>
          </w:tcPr>
          <w:p w14:paraId="43920FEA"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-6.3 (-8.8, -2.3)</w:t>
            </w:r>
          </w:p>
        </w:tc>
        <w:tc>
          <w:tcPr>
            <w:tcW w:w="2610" w:type="dxa"/>
            <w:shd w:val="clear" w:color="auto" w:fill="auto"/>
            <w:noWrap/>
            <w:vAlign w:val="bottom"/>
            <w:hideMark/>
          </w:tcPr>
          <w:p w14:paraId="55796DE1"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3.9 (-2.5, 9.3)</w:t>
            </w:r>
          </w:p>
        </w:tc>
      </w:tr>
      <w:tr w:rsidR="00DE46E4" w:rsidRPr="00CF23B6" w14:paraId="440E0528" w14:textId="77777777" w:rsidTr="00D103FE">
        <w:trPr>
          <w:trHeight w:val="278"/>
        </w:trPr>
        <w:tc>
          <w:tcPr>
            <w:tcW w:w="2070" w:type="dxa"/>
            <w:vMerge/>
            <w:vAlign w:val="center"/>
            <w:hideMark/>
          </w:tcPr>
          <w:p w14:paraId="7D2BF5DA"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bottom"/>
            <w:hideMark/>
          </w:tcPr>
          <w:p w14:paraId="1A83A43C"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 xml:space="preserve">Mobility </w:t>
            </w:r>
            <w:proofErr w:type="gramStart"/>
            <w:r w:rsidRPr="00CF23B6">
              <w:rPr>
                <w:rFonts w:eastAsia="Times New Roman" w:cs="Times New Roman"/>
                <w:color w:val="000000"/>
                <w:sz w:val="22"/>
              </w:rPr>
              <w:t>change</w:t>
            </w:r>
            <w:proofErr w:type="gramEnd"/>
            <w:r w:rsidRPr="00CF23B6">
              <w:rPr>
                <w:rFonts w:eastAsia="Times New Roman" w:cs="Times New Roman"/>
                <w:color w:val="000000"/>
                <w:sz w:val="22"/>
              </w:rPr>
              <w:t xml:space="preserve"> 14 days before - park (%)</w:t>
            </w:r>
          </w:p>
        </w:tc>
        <w:tc>
          <w:tcPr>
            <w:tcW w:w="2582" w:type="dxa"/>
            <w:shd w:val="clear" w:color="auto" w:fill="auto"/>
            <w:noWrap/>
            <w:vAlign w:val="bottom"/>
            <w:hideMark/>
          </w:tcPr>
          <w:p w14:paraId="474044F9"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77.0 (23.0, 117.0)</w:t>
            </w:r>
          </w:p>
        </w:tc>
        <w:tc>
          <w:tcPr>
            <w:tcW w:w="2818" w:type="dxa"/>
            <w:shd w:val="clear" w:color="auto" w:fill="auto"/>
            <w:noWrap/>
            <w:vAlign w:val="bottom"/>
            <w:hideMark/>
          </w:tcPr>
          <w:p w14:paraId="07A2E09F"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36.5 (-3.5, 62.0)</w:t>
            </w:r>
          </w:p>
        </w:tc>
        <w:tc>
          <w:tcPr>
            <w:tcW w:w="2610" w:type="dxa"/>
            <w:shd w:val="clear" w:color="auto" w:fill="auto"/>
            <w:noWrap/>
            <w:vAlign w:val="bottom"/>
            <w:hideMark/>
          </w:tcPr>
          <w:p w14:paraId="0E8FF747"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87.2 (30.3, 141.3)</w:t>
            </w:r>
          </w:p>
        </w:tc>
      </w:tr>
      <w:tr w:rsidR="00DE46E4" w:rsidRPr="00CF23B6" w14:paraId="16B485F5" w14:textId="77777777" w:rsidTr="00D103FE">
        <w:trPr>
          <w:trHeight w:val="278"/>
        </w:trPr>
        <w:tc>
          <w:tcPr>
            <w:tcW w:w="2070" w:type="dxa"/>
            <w:vMerge/>
            <w:vAlign w:val="center"/>
            <w:hideMark/>
          </w:tcPr>
          <w:p w14:paraId="68E8A95E"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bottom"/>
            <w:hideMark/>
          </w:tcPr>
          <w:p w14:paraId="40B6732F"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 xml:space="preserve">Mobility </w:t>
            </w:r>
            <w:proofErr w:type="gramStart"/>
            <w:r w:rsidRPr="00CF23B6">
              <w:rPr>
                <w:rFonts w:eastAsia="Times New Roman" w:cs="Times New Roman"/>
                <w:color w:val="000000"/>
                <w:sz w:val="22"/>
              </w:rPr>
              <w:t>change</w:t>
            </w:r>
            <w:proofErr w:type="gramEnd"/>
            <w:r w:rsidRPr="00CF23B6">
              <w:rPr>
                <w:rFonts w:eastAsia="Times New Roman" w:cs="Times New Roman"/>
                <w:color w:val="000000"/>
                <w:sz w:val="22"/>
              </w:rPr>
              <w:t xml:space="preserve"> 7 days before - park (%)</w:t>
            </w:r>
          </w:p>
        </w:tc>
        <w:tc>
          <w:tcPr>
            <w:tcW w:w="2582" w:type="dxa"/>
            <w:shd w:val="clear" w:color="auto" w:fill="auto"/>
            <w:noWrap/>
            <w:vAlign w:val="bottom"/>
            <w:hideMark/>
          </w:tcPr>
          <w:p w14:paraId="326DAB77"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78.5 (27.0, 113.3)</w:t>
            </w:r>
          </w:p>
        </w:tc>
        <w:tc>
          <w:tcPr>
            <w:tcW w:w="2818" w:type="dxa"/>
            <w:shd w:val="clear" w:color="auto" w:fill="auto"/>
            <w:noWrap/>
            <w:vAlign w:val="bottom"/>
            <w:hideMark/>
          </w:tcPr>
          <w:p w14:paraId="3457C275"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35.6 (-5.8, 68.0)</w:t>
            </w:r>
          </w:p>
        </w:tc>
        <w:tc>
          <w:tcPr>
            <w:tcW w:w="2610" w:type="dxa"/>
            <w:shd w:val="clear" w:color="auto" w:fill="auto"/>
            <w:noWrap/>
            <w:vAlign w:val="bottom"/>
            <w:hideMark/>
          </w:tcPr>
          <w:p w14:paraId="25CBCE42"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89.2 (37.0, 138.0)</w:t>
            </w:r>
          </w:p>
        </w:tc>
      </w:tr>
      <w:tr w:rsidR="00DE46E4" w:rsidRPr="00CF23B6" w14:paraId="01256B16" w14:textId="77777777" w:rsidTr="00D103FE">
        <w:trPr>
          <w:trHeight w:val="278"/>
        </w:trPr>
        <w:tc>
          <w:tcPr>
            <w:tcW w:w="2070" w:type="dxa"/>
            <w:vMerge/>
            <w:vAlign w:val="center"/>
            <w:hideMark/>
          </w:tcPr>
          <w:p w14:paraId="2683C286"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bottom"/>
            <w:hideMark/>
          </w:tcPr>
          <w:p w14:paraId="27CA6333"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 xml:space="preserve">Mobility </w:t>
            </w:r>
            <w:proofErr w:type="gramStart"/>
            <w:r w:rsidRPr="00CF23B6">
              <w:rPr>
                <w:rFonts w:eastAsia="Times New Roman" w:cs="Times New Roman"/>
                <w:color w:val="000000"/>
                <w:sz w:val="22"/>
              </w:rPr>
              <w:t>change</w:t>
            </w:r>
            <w:proofErr w:type="gramEnd"/>
            <w:r w:rsidRPr="00CF23B6">
              <w:rPr>
                <w:rFonts w:eastAsia="Times New Roman" w:cs="Times New Roman"/>
                <w:color w:val="000000"/>
                <w:sz w:val="22"/>
              </w:rPr>
              <w:t xml:space="preserve"> 14 days before - transit (%)</w:t>
            </w:r>
          </w:p>
        </w:tc>
        <w:tc>
          <w:tcPr>
            <w:tcW w:w="2582" w:type="dxa"/>
            <w:shd w:val="clear" w:color="auto" w:fill="auto"/>
            <w:noWrap/>
            <w:vAlign w:val="bottom"/>
            <w:hideMark/>
          </w:tcPr>
          <w:p w14:paraId="1A4C712C"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-2.9 (-20.8, 11.8)</w:t>
            </w:r>
          </w:p>
        </w:tc>
        <w:tc>
          <w:tcPr>
            <w:tcW w:w="2818" w:type="dxa"/>
            <w:shd w:val="clear" w:color="auto" w:fill="auto"/>
            <w:noWrap/>
            <w:vAlign w:val="bottom"/>
            <w:hideMark/>
          </w:tcPr>
          <w:p w14:paraId="019E7011"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-19.8 (-24.8, -14.3)</w:t>
            </w:r>
          </w:p>
        </w:tc>
        <w:tc>
          <w:tcPr>
            <w:tcW w:w="2610" w:type="dxa"/>
            <w:shd w:val="clear" w:color="auto" w:fill="auto"/>
            <w:noWrap/>
            <w:vAlign w:val="bottom"/>
            <w:hideMark/>
          </w:tcPr>
          <w:p w14:paraId="363DEFCD"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1.4 (-15.3, 15.3)</w:t>
            </w:r>
          </w:p>
        </w:tc>
      </w:tr>
      <w:tr w:rsidR="00DE46E4" w:rsidRPr="00CF23B6" w14:paraId="11FA3CB3" w14:textId="77777777" w:rsidTr="00D103FE">
        <w:trPr>
          <w:trHeight w:val="278"/>
        </w:trPr>
        <w:tc>
          <w:tcPr>
            <w:tcW w:w="2070" w:type="dxa"/>
            <w:vMerge/>
            <w:vAlign w:val="center"/>
            <w:hideMark/>
          </w:tcPr>
          <w:p w14:paraId="1389E13E"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bottom"/>
            <w:hideMark/>
          </w:tcPr>
          <w:p w14:paraId="2B92CE7C"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 xml:space="preserve">Mobility </w:t>
            </w:r>
            <w:proofErr w:type="gramStart"/>
            <w:r w:rsidRPr="00CF23B6">
              <w:rPr>
                <w:rFonts w:eastAsia="Times New Roman" w:cs="Times New Roman"/>
                <w:color w:val="000000"/>
                <w:sz w:val="22"/>
              </w:rPr>
              <w:t>change</w:t>
            </w:r>
            <w:proofErr w:type="gramEnd"/>
            <w:r w:rsidRPr="00CF23B6">
              <w:rPr>
                <w:rFonts w:eastAsia="Times New Roman" w:cs="Times New Roman"/>
                <w:color w:val="000000"/>
                <w:sz w:val="22"/>
              </w:rPr>
              <w:t xml:space="preserve"> 7 days before - transit (%)</w:t>
            </w:r>
          </w:p>
        </w:tc>
        <w:tc>
          <w:tcPr>
            <w:tcW w:w="2582" w:type="dxa"/>
            <w:shd w:val="clear" w:color="auto" w:fill="auto"/>
            <w:noWrap/>
            <w:vAlign w:val="bottom"/>
            <w:hideMark/>
          </w:tcPr>
          <w:p w14:paraId="3A082A8D"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-4.8 (-21.0, 8.0)</w:t>
            </w:r>
          </w:p>
        </w:tc>
        <w:tc>
          <w:tcPr>
            <w:tcW w:w="2818" w:type="dxa"/>
            <w:shd w:val="clear" w:color="auto" w:fill="auto"/>
            <w:noWrap/>
            <w:vAlign w:val="bottom"/>
            <w:hideMark/>
          </w:tcPr>
          <w:p w14:paraId="66552798"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-21.4 (-29.0, -14.0)</w:t>
            </w:r>
          </w:p>
        </w:tc>
        <w:tc>
          <w:tcPr>
            <w:tcW w:w="2610" w:type="dxa"/>
            <w:shd w:val="clear" w:color="auto" w:fill="auto"/>
            <w:noWrap/>
            <w:vAlign w:val="bottom"/>
            <w:hideMark/>
          </w:tcPr>
          <w:p w14:paraId="6BDCD592"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-0.6 (-16.3, 12.0)</w:t>
            </w:r>
          </w:p>
        </w:tc>
      </w:tr>
      <w:tr w:rsidR="00DE46E4" w:rsidRPr="00CF23B6" w14:paraId="37F901AB" w14:textId="77777777" w:rsidTr="00D103FE">
        <w:trPr>
          <w:trHeight w:val="278"/>
        </w:trPr>
        <w:tc>
          <w:tcPr>
            <w:tcW w:w="2070" w:type="dxa"/>
            <w:vMerge/>
            <w:vAlign w:val="center"/>
            <w:hideMark/>
          </w:tcPr>
          <w:p w14:paraId="47F75FD7"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bottom"/>
            <w:hideMark/>
          </w:tcPr>
          <w:p w14:paraId="78249983"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 xml:space="preserve">Mobility </w:t>
            </w:r>
            <w:proofErr w:type="gramStart"/>
            <w:r w:rsidRPr="00CF23B6">
              <w:rPr>
                <w:rFonts w:eastAsia="Times New Roman" w:cs="Times New Roman"/>
                <w:color w:val="000000"/>
                <w:sz w:val="22"/>
              </w:rPr>
              <w:t>change</w:t>
            </w:r>
            <w:proofErr w:type="gramEnd"/>
            <w:r w:rsidRPr="00CF23B6">
              <w:rPr>
                <w:rFonts w:eastAsia="Times New Roman" w:cs="Times New Roman"/>
                <w:color w:val="000000"/>
                <w:sz w:val="22"/>
              </w:rPr>
              <w:t xml:space="preserve"> 14 days before - workplace (%)</w:t>
            </w:r>
          </w:p>
        </w:tc>
        <w:tc>
          <w:tcPr>
            <w:tcW w:w="2582" w:type="dxa"/>
            <w:shd w:val="clear" w:color="auto" w:fill="auto"/>
            <w:noWrap/>
            <w:vAlign w:val="bottom"/>
            <w:hideMark/>
          </w:tcPr>
          <w:p w14:paraId="2F2231B3"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-28.0 (-32.5, -23.3)</w:t>
            </w:r>
          </w:p>
        </w:tc>
        <w:tc>
          <w:tcPr>
            <w:tcW w:w="2818" w:type="dxa"/>
            <w:shd w:val="clear" w:color="auto" w:fill="auto"/>
            <w:noWrap/>
            <w:vAlign w:val="bottom"/>
            <w:hideMark/>
          </w:tcPr>
          <w:p w14:paraId="4DD96449"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-32.0 (-35.5, -28.0)</w:t>
            </w:r>
          </w:p>
        </w:tc>
        <w:tc>
          <w:tcPr>
            <w:tcW w:w="2610" w:type="dxa"/>
            <w:shd w:val="clear" w:color="auto" w:fill="auto"/>
            <w:noWrap/>
            <w:vAlign w:val="bottom"/>
            <w:hideMark/>
          </w:tcPr>
          <w:p w14:paraId="27E93091"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-27.0 (-30.3, -22.0)</w:t>
            </w:r>
          </w:p>
        </w:tc>
      </w:tr>
      <w:tr w:rsidR="00DE46E4" w:rsidRPr="00CF23B6" w14:paraId="3A4F3344" w14:textId="77777777" w:rsidTr="00D103FE">
        <w:trPr>
          <w:trHeight w:val="278"/>
        </w:trPr>
        <w:tc>
          <w:tcPr>
            <w:tcW w:w="2070" w:type="dxa"/>
            <w:vMerge/>
            <w:vAlign w:val="center"/>
            <w:hideMark/>
          </w:tcPr>
          <w:p w14:paraId="66C1D28A"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bottom"/>
            <w:hideMark/>
          </w:tcPr>
          <w:p w14:paraId="34B6D4AC"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 xml:space="preserve">Mobility </w:t>
            </w:r>
            <w:proofErr w:type="gramStart"/>
            <w:r w:rsidRPr="00CF23B6">
              <w:rPr>
                <w:rFonts w:eastAsia="Times New Roman" w:cs="Times New Roman"/>
                <w:color w:val="000000"/>
                <w:sz w:val="22"/>
              </w:rPr>
              <w:t>change</w:t>
            </w:r>
            <w:proofErr w:type="gramEnd"/>
            <w:r w:rsidRPr="00CF23B6">
              <w:rPr>
                <w:rFonts w:eastAsia="Times New Roman" w:cs="Times New Roman"/>
                <w:color w:val="000000"/>
                <w:sz w:val="22"/>
              </w:rPr>
              <w:t xml:space="preserve"> 7 days before - workplace (%)</w:t>
            </w:r>
          </w:p>
        </w:tc>
        <w:tc>
          <w:tcPr>
            <w:tcW w:w="2582" w:type="dxa"/>
            <w:shd w:val="clear" w:color="auto" w:fill="auto"/>
            <w:noWrap/>
            <w:vAlign w:val="bottom"/>
            <w:hideMark/>
          </w:tcPr>
          <w:p w14:paraId="65098A79"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-27.8 (-32.0, -23.0)</w:t>
            </w:r>
          </w:p>
        </w:tc>
        <w:tc>
          <w:tcPr>
            <w:tcW w:w="2818" w:type="dxa"/>
            <w:shd w:val="clear" w:color="auto" w:fill="auto"/>
            <w:noWrap/>
            <w:vAlign w:val="bottom"/>
            <w:hideMark/>
          </w:tcPr>
          <w:p w14:paraId="3A122271"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-31.8 (-35.8, -27.3)</w:t>
            </w:r>
          </w:p>
        </w:tc>
        <w:tc>
          <w:tcPr>
            <w:tcW w:w="2610" w:type="dxa"/>
            <w:shd w:val="clear" w:color="auto" w:fill="auto"/>
            <w:noWrap/>
            <w:vAlign w:val="bottom"/>
            <w:hideMark/>
          </w:tcPr>
          <w:p w14:paraId="64C024C3"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-26.9, (-30.3, -22.8)</w:t>
            </w:r>
          </w:p>
        </w:tc>
      </w:tr>
      <w:tr w:rsidR="00DE46E4" w:rsidRPr="00CF23B6" w14:paraId="32FF4930" w14:textId="77777777" w:rsidTr="00D103FE">
        <w:trPr>
          <w:trHeight w:val="278"/>
        </w:trPr>
        <w:tc>
          <w:tcPr>
            <w:tcW w:w="2070" w:type="dxa"/>
            <w:vMerge/>
            <w:vAlign w:val="center"/>
            <w:hideMark/>
          </w:tcPr>
          <w:p w14:paraId="0B6E9D29"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bottom"/>
            <w:hideMark/>
          </w:tcPr>
          <w:p w14:paraId="2D8FDF20"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 xml:space="preserve">Mobility </w:t>
            </w:r>
            <w:proofErr w:type="gramStart"/>
            <w:r w:rsidRPr="00CF23B6">
              <w:rPr>
                <w:rFonts w:eastAsia="Times New Roman" w:cs="Times New Roman"/>
                <w:color w:val="000000"/>
                <w:sz w:val="22"/>
              </w:rPr>
              <w:t>change</w:t>
            </w:r>
            <w:proofErr w:type="gramEnd"/>
            <w:r w:rsidRPr="00CF23B6">
              <w:rPr>
                <w:rFonts w:eastAsia="Times New Roman" w:cs="Times New Roman"/>
                <w:color w:val="000000"/>
                <w:sz w:val="22"/>
              </w:rPr>
              <w:t xml:space="preserve"> 14 days before - residential (%)</w:t>
            </w:r>
          </w:p>
        </w:tc>
        <w:tc>
          <w:tcPr>
            <w:tcW w:w="2582" w:type="dxa"/>
            <w:shd w:val="clear" w:color="auto" w:fill="auto"/>
            <w:noWrap/>
            <w:vAlign w:val="bottom"/>
            <w:hideMark/>
          </w:tcPr>
          <w:p w14:paraId="036F8F11"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5.3 (4.0, 7.0)</w:t>
            </w:r>
          </w:p>
        </w:tc>
        <w:tc>
          <w:tcPr>
            <w:tcW w:w="2818" w:type="dxa"/>
            <w:shd w:val="clear" w:color="auto" w:fill="auto"/>
            <w:noWrap/>
            <w:vAlign w:val="bottom"/>
            <w:hideMark/>
          </w:tcPr>
          <w:p w14:paraId="69D03ABE"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6.4 (5.3, 7.8)</w:t>
            </w:r>
          </w:p>
        </w:tc>
        <w:tc>
          <w:tcPr>
            <w:tcW w:w="2610" w:type="dxa"/>
            <w:shd w:val="clear" w:color="auto" w:fill="auto"/>
            <w:noWrap/>
            <w:vAlign w:val="bottom"/>
            <w:hideMark/>
          </w:tcPr>
          <w:p w14:paraId="746A745F"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5.0 (3.8, 6.3)</w:t>
            </w:r>
          </w:p>
        </w:tc>
      </w:tr>
      <w:tr w:rsidR="00DE46E4" w:rsidRPr="00CF23B6" w14:paraId="095DBC9A" w14:textId="77777777" w:rsidTr="00D103FE">
        <w:trPr>
          <w:trHeight w:val="278"/>
        </w:trPr>
        <w:tc>
          <w:tcPr>
            <w:tcW w:w="2070" w:type="dxa"/>
            <w:vMerge/>
            <w:vAlign w:val="center"/>
            <w:hideMark/>
          </w:tcPr>
          <w:p w14:paraId="06A786D7"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bottom"/>
            <w:hideMark/>
          </w:tcPr>
          <w:p w14:paraId="63EC95C2"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 xml:space="preserve">Mobility </w:t>
            </w:r>
            <w:proofErr w:type="gramStart"/>
            <w:r w:rsidRPr="00CF23B6">
              <w:rPr>
                <w:rFonts w:eastAsia="Times New Roman" w:cs="Times New Roman"/>
                <w:color w:val="000000"/>
                <w:sz w:val="22"/>
              </w:rPr>
              <w:t>change</w:t>
            </w:r>
            <w:proofErr w:type="gramEnd"/>
            <w:r w:rsidRPr="00CF23B6">
              <w:rPr>
                <w:rFonts w:eastAsia="Times New Roman" w:cs="Times New Roman"/>
                <w:color w:val="000000"/>
                <w:sz w:val="22"/>
              </w:rPr>
              <w:t xml:space="preserve"> 7 days before - residential (%)</w:t>
            </w:r>
          </w:p>
        </w:tc>
        <w:tc>
          <w:tcPr>
            <w:tcW w:w="2582" w:type="dxa"/>
            <w:shd w:val="clear" w:color="auto" w:fill="auto"/>
            <w:noWrap/>
            <w:vAlign w:val="bottom"/>
            <w:hideMark/>
          </w:tcPr>
          <w:p w14:paraId="063A2166"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5.1 (4.0, 6.0)</w:t>
            </w:r>
          </w:p>
        </w:tc>
        <w:tc>
          <w:tcPr>
            <w:tcW w:w="2818" w:type="dxa"/>
            <w:shd w:val="clear" w:color="auto" w:fill="auto"/>
            <w:noWrap/>
            <w:vAlign w:val="bottom"/>
            <w:hideMark/>
          </w:tcPr>
          <w:p w14:paraId="7F200B6F"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6.6 (5.3, 7.8)</w:t>
            </w:r>
          </w:p>
        </w:tc>
        <w:tc>
          <w:tcPr>
            <w:tcW w:w="2610" w:type="dxa"/>
            <w:shd w:val="clear" w:color="auto" w:fill="auto"/>
            <w:noWrap/>
            <w:vAlign w:val="bottom"/>
            <w:hideMark/>
          </w:tcPr>
          <w:p w14:paraId="0B63A92C"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4.8 (4.0, 6.0)</w:t>
            </w:r>
          </w:p>
        </w:tc>
      </w:tr>
      <w:tr w:rsidR="00DE46E4" w:rsidRPr="00CF23B6" w14:paraId="51150CFE" w14:textId="77777777" w:rsidTr="00D103FE">
        <w:trPr>
          <w:trHeight w:val="278"/>
        </w:trPr>
        <w:tc>
          <w:tcPr>
            <w:tcW w:w="2070" w:type="dxa"/>
            <w:vMerge/>
            <w:vAlign w:val="center"/>
            <w:hideMark/>
          </w:tcPr>
          <w:p w14:paraId="6C191B96"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bottom"/>
            <w:hideMark/>
          </w:tcPr>
          <w:p w14:paraId="1A4439D0"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 xml:space="preserve">Mobility </w:t>
            </w:r>
            <w:proofErr w:type="gramStart"/>
            <w:r w:rsidRPr="00CF23B6">
              <w:rPr>
                <w:rFonts w:eastAsia="Times New Roman" w:cs="Times New Roman"/>
                <w:color w:val="000000"/>
                <w:sz w:val="22"/>
              </w:rPr>
              <w:t>change</w:t>
            </w:r>
            <w:proofErr w:type="gramEnd"/>
            <w:r w:rsidRPr="00CF23B6">
              <w:rPr>
                <w:rFonts w:eastAsia="Times New Roman" w:cs="Times New Roman"/>
                <w:color w:val="000000"/>
                <w:sz w:val="22"/>
              </w:rPr>
              <w:t xml:space="preserve"> 14 days before - </w:t>
            </w:r>
            <w:proofErr w:type="spellStart"/>
            <w:r w:rsidRPr="00CF23B6">
              <w:rPr>
                <w:rFonts w:eastAsia="Times New Roman" w:cs="Times New Roman"/>
                <w:color w:val="000000"/>
                <w:sz w:val="22"/>
              </w:rPr>
              <w:t>gropharmacy</w:t>
            </w:r>
            <w:proofErr w:type="spellEnd"/>
            <w:r w:rsidRPr="00CF23B6">
              <w:rPr>
                <w:rFonts w:eastAsia="Times New Roman" w:cs="Times New Roman"/>
                <w:color w:val="000000"/>
                <w:sz w:val="22"/>
              </w:rPr>
              <w:t xml:space="preserve"> (%)</w:t>
            </w:r>
          </w:p>
        </w:tc>
        <w:tc>
          <w:tcPr>
            <w:tcW w:w="2582" w:type="dxa"/>
            <w:shd w:val="clear" w:color="auto" w:fill="auto"/>
            <w:noWrap/>
            <w:vAlign w:val="bottom"/>
            <w:hideMark/>
          </w:tcPr>
          <w:p w14:paraId="466A9ED4"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10.0 (5.3, 13.0)</w:t>
            </w:r>
          </w:p>
        </w:tc>
        <w:tc>
          <w:tcPr>
            <w:tcW w:w="2818" w:type="dxa"/>
            <w:shd w:val="clear" w:color="auto" w:fill="auto"/>
            <w:noWrap/>
            <w:vAlign w:val="bottom"/>
            <w:hideMark/>
          </w:tcPr>
          <w:p w14:paraId="035C02B0"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3.0 (1.5, 6.8)</w:t>
            </w:r>
          </w:p>
        </w:tc>
        <w:tc>
          <w:tcPr>
            <w:tcW w:w="2610" w:type="dxa"/>
            <w:shd w:val="clear" w:color="auto" w:fill="auto"/>
            <w:noWrap/>
            <w:vAlign w:val="bottom"/>
            <w:hideMark/>
          </w:tcPr>
          <w:p w14:paraId="7BDFBAFA"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11.8 (6.8, 14.0)</w:t>
            </w:r>
          </w:p>
        </w:tc>
      </w:tr>
      <w:tr w:rsidR="00DE46E4" w:rsidRPr="00CF23B6" w14:paraId="219F9205" w14:textId="77777777" w:rsidTr="00D103FE">
        <w:trPr>
          <w:trHeight w:val="278"/>
        </w:trPr>
        <w:tc>
          <w:tcPr>
            <w:tcW w:w="2070" w:type="dxa"/>
            <w:vMerge/>
            <w:vAlign w:val="center"/>
            <w:hideMark/>
          </w:tcPr>
          <w:p w14:paraId="2FA05600" w14:textId="77777777" w:rsidR="00CF23B6" w:rsidRPr="00CF23B6" w:rsidRDefault="00CF23B6" w:rsidP="00CF23B6">
            <w:pPr>
              <w:spacing w:after="0" w:line="240" w:lineRule="auto"/>
              <w:rPr>
                <w:rFonts w:eastAsia="Times New Roman" w:cs="Times New Roman"/>
                <w:b/>
                <w:bCs/>
                <w:color w:val="000000"/>
                <w:sz w:val="22"/>
              </w:rPr>
            </w:pPr>
          </w:p>
        </w:tc>
        <w:tc>
          <w:tcPr>
            <w:tcW w:w="4770" w:type="dxa"/>
            <w:shd w:val="clear" w:color="auto" w:fill="auto"/>
            <w:noWrap/>
            <w:vAlign w:val="bottom"/>
            <w:hideMark/>
          </w:tcPr>
          <w:p w14:paraId="350FFCCA"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 xml:space="preserve">Mobility </w:t>
            </w:r>
            <w:proofErr w:type="gramStart"/>
            <w:r w:rsidRPr="00CF23B6">
              <w:rPr>
                <w:rFonts w:eastAsia="Times New Roman" w:cs="Times New Roman"/>
                <w:color w:val="000000"/>
                <w:sz w:val="22"/>
              </w:rPr>
              <w:t>change</w:t>
            </w:r>
            <w:proofErr w:type="gramEnd"/>
            <w:r w:rsidRPr="00CF23B6">
              <w:rPr>
                <w:rFonts w:eastAsia="Times New Roman" w:cs="Times New Roman"/>
                <w:color w:val="000000"/>
                <w:sz w:val="22"/>
              </w:rPr>
              <w:t xml:space="preserve"> 7 days before - </w:t>
            </w:r>
            <w:proofErr w:type="spellStart"/>
            <w:r w:rsidRPr="00CF23B6">
              <w:rPr>
                <w:rFonts w:eastAsia="Times New Roman" w:cs="Times New Roman"/>
                <w:color w:val="000000"/>
                <w:sz w:val="22"/>
              </w:rPr>
              <w:t>gropharmacy</w:t>
            </w:r>
            <w:proofErr w:type="spellEnd"/>
            <w:r w:rsidRPr="00CF23B6">
              <w:rPr>
                <w:rFonts w:eastAsia="Times New Roman" w:cs="Times New Roman"/>
                <w:color w:val="000000"/>
                <w:sz w:val="22"/>
              </w:rPr>
              <w:t xml:space="preserve"> (%)</w:t>
            </w:r>
          </w:p>
        </w:tc>
        <w:tc>
          <w:tcPr>
            <w:tcW w:w="2582" w:type="dxa"/>
            <w:shd w:val="clear" w:color="auto" w:fill="auto"/>
            <w:noWrap/>
            <w:vAlign w:val="bottom"/>
            <w:hideMark/>
          </w:tcPr>
          <w:p w14:paraId="4161B377"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8.9 (4.0, 11.8)</w:t>
            </w:r>
          </w:p>
        </w:tc>
        <w:tc>
          <w:tcPr>
            <w:tcW w:w="2818" w:type="dxa"/>
            <w:shd w:val="clear" w:color="auto" w:fill="auto"/>
            <w:noWrap/>
            <w:vAlign w:val="bottom"/>
            <w:hideMark/>
          </w:tcPr>
          <w:p w14:paraId="5C2EAD27"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1.8 (1.0, 5.8)</w:t>
            </w:r>
          </w:p>
        </w:tc>
        <w:tc>
          <w:tcPr>
            <w:tcW w:w="2610" w:type="dxa"/>
            <w:shd w:val="clear" w:color="auto" w:fill="auto"/>
            <w:noWrap/>
            <w:vAlign w:val="bottom"/>
            <w:hideMark/>
          </w:tcPr>
          <w:p w14:paraId="05B5919B" w14:textId="77777777" w:rsidR="00CF23B6" w:rsidRPr="00CF23B6" w:rsidRDefault="00CF23B6" w:rsidP="00CF23B6">
            <w:pPr>
              <w:spacing w:after="0" w:line="240" w:lineRule="auto"/>
              <w:rPr>
                <w:rFonts w:eastAsia="Times New Roman" w:cs="Times New Roman"/>
                <w:color w:val="000000"/>
                <w:sz w:val="22"/>
              </w:rPr>
            </w:pPr>
            <w:r w:rsidRPr="00CF23B6">
              <w:rPr>
                <w:rFonts w:eastAsia="Times New Roman" w:cs="Times New Roman"/>
                <w:color w:val="000000"/>
                <w:sz w:val="22"/>
              </w:rPr>
              <w:t>10.7 (5.8, 12.3)</w:t>
            </w:r>
          </w:p>
        </w:tc>
      </w:tr>
    </w:tbl>
    <w:p w14:paraId="4B61CE43" w14:textId="77777777" w:rsidR="00D207CE" w:rsidRDefault="00D207CE" w:rsidP="004F3BFC">
      <w:pPr>
        <w:rPr>
          <w:rFonts w:cs="Times New Roman"/>
        </w:rPr>
        <w:sectPr w:rsidR="00D207CE" w:rsidSect="0004542B">
          <w:pgSz w:w="15840" w:h="12240" w:orient="landscape"/>
          <w:pgMar w:top="720" w:right="720" w:bottom="720" w:left="720" w:header="720" w:footer="720" w:gutter="0"/>
          <w:cols w:space="720"/>
          <w:docGrid w:linePitch="360"/>
        </w:sectPr>
      </w:pPr>
    </w:p>
    <w:p w14:paraId="28C31765" w14:textId="20A5686B" w:rsidR="004F3BFC" w:rsidRDefault="004F3BFC" w:rsidP="00B64B71">
      <w:pPr>
        <w:pStyle w:val="Heading1"/>
      </w:pPr>
      <w:bookmarkStart w:id="6" w:name="_Toc90165228"/>
      <w:r w:rsidRPr="00B64B71">
        <w:lastRenderedPageBreak/>
        <w:t>R</w:t>
      </w:r>
      <w:r w:rsidR="00463058">
        <w:t>ESULT</w:t>
      </w:r>
      <w:bookmarkEnd w:id="6"/>
    </w:p>
    <w:p w14:paraId="04A39848" w14:textId="6C412953" w:rsidR="00D608B8" w:rsidRPr="00D608B8" w:rsidRDefault="00020DA7" w:rsidP="00D608B8">
      <w:r>
        <w:t>In this session, we apply three approaches including outcome regression, propensity score weighting, doubly robust estimator to the dataset</w:t>
      </w:r>
      <w:r w:rsidR="00B65A90">
        <w:t xml:space="preserve"> to estimate the causal effect of the implementation of mask mandate at least for the non-vaccinated on the COVID confirmed case growth rate</w:t>
      </w:r>
      <w:r w:rsidR="0070200D">
        <w:t xml:space="preserve"> 14 days after </w:t>
      </w:r>
      <w:r w:rsidR="00DB7B13">
        <w:t>September 1, 2021</w:t>
      </w:r>
      <w:r w:rsidR="00B65A90">
        <w:t>. We present and compare across the results generated by different methods.</w:t>
      </w:r>
      <w:r>
        <w:t xml:space="preserve"> </w:t>
      </w:r>
    </w:p>
    <w:p w14:paraId="7114E274" w14:textId="203B671C" w:rsidR="00525DFD" w:rsidRPr="00525DFD" w:rsidRDefault="00525DFD" w:rsidP="00B65A90">
      <w:pPr>
        <w:pStyle w:val="Heading2"/>
      </w:pPr>
      <w:bookmarkStart w:id="7" w:name="_Toc90165229"/>
      <w:r w:rsidRPr="00525DFD">
        <w:t xml:space="preserve">Outcome </w:t>
      </w:r>
      <w:r w:rsidR="0004542B">
        <w:t>M</w:t>
      </w:r>
      <w:r w:rsidRPr="00525DFD">
        <w:t>odel</w:t>
      </w:r>
      <w:bookmarkEnd w:id="7"/>
    </w:p>
    <w:p w14:paraId="3A6993DB" w14:textId="77777777" w:rsidR="00E90E8E" w:rsidRDefault="00844D3D" w:rsidP="003B7782">
      <w:pPr>
        <w:rPr>
          <w:rFonts w:cs="Times New Roman"/>
        </w:rPr>
      </w:pPr>
      <w:r>
        <w:rPr>
          <w:rFonts w:cs="Times New Roman"/>
        </w:rPr>
        <w:t>A</w:t>
      </w:r>
      <w:r w:rsidR="001903C2">
        <w:rPr>
          <w:rFonts w:cs="Times New Roman"/>
        </w:rPr>
        <w:t xml:space="preserve"> </w:t>
      </w:r>
      <w:r>
        <w:rPr>
          <w:rFonts w:cs="Times New Roman"/>
        </w:rPr>
        <w:t xml:space="preserve">linear </w:t>
      </w:r>
      <w:r w:rsidR="001903C2">
        <w:rPr>
          <w:rFonts w:cs="Times New Roman"/>
        </w:rPr>
        <w:t xml:space="preserve">outcome model is </w:t>
      </w:r>
      <w:r w:rsidR="001D557D">
        <w:rPr>
          <w:rFonts w:cs="Times New Roman"/>
        </w:rPr>
        <w:t>developed</w:t>
      </w:r>
      <w:r>
        <w:rPr>
          <w:rFonts w:cs="Times New Roman"/>
        </w:rPr>
        <w:t xml:space="preserve"> to estimate the</w:t>
      </w:r>
      <w:r w:rsidR="001903C2">
        <w:rPr>
          <w:rFonts w:cs="Times New Roman"/>
        </w:rPr>
        <w:t xml:space="preserve"> </w:t>
      </w:r>
      <w:r>
        <w:rPr>
          <w:rFonts w:cs="Times New Roman"/>
        </w:rPr>
        <w:t>effect of having a mask mandate at least for the non-vaccinated on 9/1/21 on</w:t>
      </w:r>
      <w:r w:rsidR="001903C2">
        <w:rPr>
          <w:rFonts w:cs="Times New Roman"/>
        </w:rPr>
        <w:t xml:space="preserve"> the </w:t>
      </w:r>
      <w:r>
        <w:rPr>
          <w:rFonts w:cs="Times New Roman"/>
        </w:rPr>
        <w:t xml:space="preserve">growth rate of total confirmed case </w:t>
      </w:r>
      <w:r w:rsidR="001D557D">
        <w:rPr>
          <w:rFonts w:cs="Times New Roman"/>
        </w:rPr>
        <w:t>14</w:t>
      </w:r>
      <w:r>
        <w:rPr>
          <w:rFonts w:cs="Times New Roman"/>
        </w:rPr>
        <w:t xml:space="preserve"> days after the </w:t>
      </w:r>
      <w:r w:rsidR="00AB01CB">
        <w:rPr>
          <w:rFonts w:cs="Times New Roman"/>
        </w:rPr>
        <w:t xml:space="preserve">target </w:t>
      </w:r>
      <w:r>
        <w:rPr>
          <w:rFonts w:cs="Times New Roman"/>
        </w:rPr>
        <w:t>date</w:t>
      </w:r>
      <w:r w:rsidR="001D557D">
        <w:rPr>
          <w:rFonts w:cs="Times New Roman"/>
        </w:rPr>
        <w:t>, after controlling for confounders</w:t>
      </w:r>
      <w:r>
        <w:rPr>
          <w:rFonts w:cs="Times New Roman"/>
        </w:rPr>
        <w:t xml:space="preserve">. </w:t>
      </w:r>
    </w:p>
    <w:p w14:paraId="5FC7C6F3" w14:textId="438BD17B" w:rsidR="003B7782" w:rsidRDefault="00E90E8E" w:rsidP="003B7782">
      <w:pPr>
        <w:rPr>
          <w:rFonts w:cs="Times New Roman"/>
        </w:rPr>
      </w:pPr>
      <w:r>
        <w:rPr>
          <w:rFonts w:cs="Times New Roman"/>
        </w:rPr>
        <w:t xml:space="preserve">There are 35 potential confounders, which is too many for our sample with only 50 date points. The following process is used to select </w:t>
      </w:r>
      <w:r w:rsidR="001D557D">
        <w:rPr>
          <w:rFonts w:cs="Times New Roman"/>
        </w:rPr>
        <w:t xml:space="preserve">confounders </w:t>
      </w:r>
      <w:r>
        <w:rPr>
          <w:rFonts w:cs="Times New Roman"/>
        </w:rPr>
        <w:t xml:space="preserve">that have both predictive power and appropriate interpretation. First, </w:t>
      </w:r>
      <w:r w:rsidR="006B3C54">
        <w:rPr>
          <w:rFonts w:cs="Times New Roman"/>
        </w:rPr>
        <w:t xml:space="preserve">we conduct principal component analysis (PCA) on mobility change on a given date. The first two dimensions accounted for about 90% of the total variation in the mobility change components and thus being included in the confounder set. Second, </w:t>
      </w:r>
      <w:r w:rsidR="009639EE">
        <w:rPr>
          <w:rFonts w:cs="Times New Roman"/>
        </w:rPr>
        <w:t>we use {</w:t>
      </w:r>
      <w:proofErr w:type="spellStart"/>
      <w:proofErr w:type="gramStart"/>
      <w:r w:rsidR="009639EE">
        <w:rPr>
          <w:rFonts w:cs="Times New Roman"/>
        </w:rPr>
        <w:t>cv.glmnet</w:t>
      </w:r>
      <w:proofErr w:type="spellEnd"/>
      <w:proofErr w:type="gramEnd"/>
      <w:r w:rsidR="009639EE">
        <w:rPr>
          <w:rFonts w:cs="Times New Roman"/>
        </w:rPr>
        <w:t xml:space="preserve">} to select confounders with </w:t>
      </w:r>
      <w:r w:rsidR="002D61BE">
        <w:rPr>
          <w:rFonts w:cs="Times New Roman"/>
        </w:rPr>
        <w:t xml:space="preserve">high </w:t>
      </w:r>
      <w:r w:rsidR="009639EE">
        <w:rPr>
          <w:rFonts w:cs="Times New Roman"/>
        </w:rPr>
        <w:t>predictive power</w:t>
      </w:r>
      <w:r w:rsidR="002D61BE">
        <w:rPr>
          <w:rFonts w:cs="Times New Roman"/>
        </w:rPr>
        <w:t xml:space="preserve"> on the outcome</w:t>
      </w:r>
      <w:r w:rsidR="002E53B6">
        <w:rPr>
          <w:rFonts w:cs="Times New Roman"/>
        </w:rPr>
        <w:t xml:space="preserve">, which serve as the base for the outcome model. We then trade in and out confounders in the same category to increase the goodness of fit (Adjusted R-squared). Because there are 50 data points in the sample, </w:t>
      </w:r>
      <w:r w:rsidR="00C56C17">
        <w:rPr>
          <w:rFonts w:cs="Times New Roman"/>
        </w:rPr>
        <w:t xml:space="preserve">the threshold of P-value </w:t>
      </w:r>
      <w:r w:rsidR="007255D5">
        <w:rPr>
          <w:rFonts w:cs="Times New Roman"/>
        </w:rPr>
        <w:t xml:space="preserve">is raised </w:t>
      </w:r>
      <w:r w:rsidR="00C56C17">
        <w:rPr>
          <w:rFonts w:cs="Times New Roman"/>
        </w:rPr>
        <w:t xml:space="preserve">to 0.25 to accommodate more type I error </w:t>
      </w:r>
      <w:r w:rsidR="007255D5">
        <w:rPr>
          <w:rFonts w:cs="Times New Roman"/>
        </w:rPr>
        <w:t>so that we can</w:t>
      </w:r>
      <w:r w:rsidR="00C56C17">
        <w:rPr>
          <w:rFonts w:cs="Times New Roman"/>
        </w:rPr>
        <w:t xml:space="preserve"> capture potential confounders as much as possible. </w:t>
      </w:r>
    </w:p>
    <w:p w14:paraId="65F0373E" w14:textId="3C893B8E" w:rsidR="00B64ECB" w:rsidRDefault="001356C7" w:rsidP="003B7782">
      <w:pPr>
        <w:rPr>
          <w:rFonts w:cs="Times New Roman"/>
        </w:rPr>
      </w:pPr>
      <w:r>
        <w:rPr>
          <w:rFonts w:cs="Times New Roman"/>
        </w:rPr>
        <w:t>We assume a linear relationship between the outcome Y and the treatment Z and confounders X:</w:t>
      </w:r>
    </w:p>
    <w:p w14:paraId="77BE9C69" w14:textId="1ABE19E1" w:rsidR="001356C7" w:rsidRPr="001356C7" w:rsidRDefault="001356C7" w:rsidP="003B7782">
      <w:pPr>
        <w:rPr>
          <w:rFonts w:cs="Times New Roman"/>
        </w:rPr>
      </w:pPr>
      <m:oMathPara>
        <m:oMath>
          <m:r>
            <w:rPr>
              <w:rFonts w:ascii="Cambria Math" w:hAnsi="Cambria Math" w:cs="Times New Roman"/>
            </w:rPr>
            <m:t xml:space="preserve">Y=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Z</m:t>
              </m:r>
            </m:sub>
          </m:sSub>
          <m:r>
            <w:rPr>
              <w:rFonts w:ascii="Cambria Math" w:hAnsi="Cambria Math" w:cs="Times New Roman"/>
            </w:rPr>
            <m:t>Z+</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X</m:t>
              </m:r>
            </m:sub>
            <m:sup>
              <m:r>
                <w:rPr>
                  <w:rFonts w:ascii="Cambria Math" w:hAnsi="Cambria Math" w:cs="Times New Roman"/>
                </w:rPr>
                <m:t>T</m:t>
              </m:r>
            </m:sup>
          </m:sSubSup>
          <m:r>
            <w:rPr>
              <w:rFonts w:ascii="Cambria Math" w:hAnsi="Cambria Math" w:cs="Times New Roman"/>
            </w:rPr>
            <m:t>X+ε</m:t>
          </m:r>
        </m:oMath>
      </m:oMathPara>
    </w:p>
    <w:p w14:paraId="3366F494" w14:textId="45AD9B7D" w:rsidR="00743EED" w:rsidRDefault="0064680A" w:rsidP="00743EED">
      <w:pPr>
        <w:rPr>
          <w:rFonts w:cs="Times New Roman"/>
        </w:rPr>
      </w:pPr>
      <w:r>
        <w:rPr>
          <w:rFonts w:cs="Times New Roman"/>
        </w:rPr>
        <w:t xml:space="preserve">If </w:t>
      </w:r>
      <w:proofErr w:type="spellStart"/>
      <w:r>
        <w:rPr>
          <w:rFonts w:cs="Times New Roman"/>
        </w:rPr>
        <w:t>ignorability</w:t>
      </w:r>
      <w:proofErr w:type="spellEnd"/>
      <w:r>
        <w:rPr>
          <w:rFonts w:cs="Times New Roman"/>
        </w:rPr>
        <w:t xml:space="preserve"> holds and the outcome model is linear, then the</w:t>
      </w:r>
      <w:r w:rsidR="001356C7">
        <w:rPr>
          <w:rFonts w:cs="Times New Roman"/>
        </w:rPr>
        <w:t xml:space="preserve"> estimated coefficient</w:t>
      </w:r>
      <w:r>
        <w:rPr>
          <w:rFonts w:cs="Times New Roman"/>
        </w:rPr>
        <w:t xml:space="preserve"> of Z,</w:t>
      </w:r>
      <w:r w:rsidR="001356C7">
        <w:rPr>
          <w:rFonts w:cs="Times New Roman"/>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Z</m:t>
                </m:r>
              </m:sub>
            </m:sSub>
          </m:e>
        </m:acc>
      </m:oMath>
      <w:r w:rsidR="001356C7">
        <w:rPr>
          <w:rFonts w:cs="Times New Roman"/>
        </w:rPr>
        <w:t xml:space="preserve"> is </w:t>
      </w:r>
      <w:r>
        <w:rPr>
          <w:rFonts w:cs="Times New Roman"/>
        </w:rPr>
        <w:t xml:space="preserve">unbiased for the average </w:t>
      </w:r>
      <w:r w:rsidR="001356C7">
        <w:rPr>
          <w:rFonts w:cs="Times New Roman"/>
        </w:rPr>
        <w:t xml:space="preserve">causal effect of treatment Z on outcome Y. </w:t>
      </w:r>
      <w:r>
        <w:rPr>
          <w:rFonts w:cs="Times New Roman"/>
        </w:rPr>
        <w:t xml:space="preserve">We assume </w:t>
      </w:r>
      <w:r w:rsidR="00DC63B9">
        <w:rPr>
          <w:rFonts w:cs="Times New Roman"/>
        </w:rPr>
        <w:t xml:space="preserve">no treatment effect heterogeneity induced by the covariates here. </w:t>
      </w:r>
      <w:r w:rsidR="00DC63B9">
        <w:rPr>
          <w:rFonts w:cs="Times New Roman"/>
        </w:rPr>
        <w:tab/>
        <w:t>A practical issue that we have encountered here is that the interaction between treatment Z and covariate X will lead to high dimensionality. With only 50 data points, we failed to estimate a linear model with so many covariates.</w:t>
      </w:r>
      <w:r w:rsidR="00743EED">
        <w:rPr>
          <w:rFonts w:cs="Times New Roman"/>
        </w:rPr>
        <w:t xml:space="preserve"> </w:t>
      </w:r>
    </w:p>
    <w:p w14:paraId="384CBE18" w14:textId="2B1B138D" w:rsidR="00020DA7" w:rsidRPr="00020DA7" w:rsidRDefault="00A85053" w:rsidP="003B7782">
      <w:pPr>
        <w:rPr>
          <w:rFonts w:cs="Times New Roman"/>
        </w:rPr>
      </w:pPr>
      <w:r w:rsidRPr="00A85053">
        <w:rPr>
          <w:rFonts w:cs="Times New Roman"/>
          <w:b/>
          <w:bCs/>
        </w:rPr>
        <w:fldChar w:fldCharType="begin"/>
      </w:r>
      <w:r w:rsidRPr="00A85053">
        <w:rPr>
          <w:rFonts w:cs="Times New Roman"/>
          <w:b/>
          <w:bCs/>
        </w:rPr>
        <w:instrText xml:space="preserve"> REF _Ref90230269 \h </w:instrText>
      </w:r>
      <w:r w:rsidRPr="00A85053">
        <w:rPr>
          <w:rFonts w:cs="Times New Roman"/>
          <w:b/>
          <w:bCs/>
        </w:rPr>
      </w:r>
      <w:r>
        <w:rPr>
          <w:rFonts w:cs="Times New Roman"/>
          <w:b/>
          <w:bCs/>
        </w:rPr>
        <w:instrText xml:space="preserve"> \* MERGEFORMAT </w:instrText>
      </w:r>
      <w:r w:rsidRPr="00A85053">
        <w:rPr>
          <w:rFonts w:cs="Times New Roman"/>
          <w:b/>
          <w:bCs/>
        </w:rPr>
        <w:fldChar w:fldCharType="separate"/>
      </w:r>
      <w:r w:rsidR="009E02A0" w:rsidRPr="009E02A0">
        <w:rPr>
          <w:b/>
          <w:bCs/>
        </w:rPr>
        <w:t xml:space="preserve">Table </w:t>
      </w:r>
      <w:r w:rsidR="009E02A0" w:rsidRPr="009E02A0">
        <w:rPr>
          <w:b/>
          <w:bCs/>
          <w:noProof/>
        </w:rPr>
        <w:t>3</w:t>
      </w:r>
      <w:r w:rsidRPr="00A85053">
        <w:rPr>
          <w:rFonts w:cs="Times New Roman"/>
          <w:b/>
          <w:bCs/>
        </w:rPr>
        <w:fldChar w:fldCharType="end"/>
      </w:r>
      <w:r>
        <w:rPr>
          <w:rFonts w:cs="Times New Roman"/>
        </w:rPr>
        <w:t xml:space="preserve"> </w:t>
      </w:r>
      <w:r w:rsidR="00EF0CF9">
        <w:rPr>
          <w:rFonts w:cs="Times New Roman"/>
        </w:rPr>
        <w:t xml:space="preserve">below shows the outcome model for the growth rate of number of confirmed case 14 days after Sept. 1, 2021. </w:t>
      </w:r>
      <w:r w:rsidR="00D93E71">
        <w:rPr>
          <w:rFonts w:cs="Times New Roman"/>
        </w:rPr>
        <w:t xml:space="preserve">Age structure, poverty status, racial composition, </w:t>
      </w:r>
      <w:r w:rsidR="003C4C21">
        <w:rPr>
          <w:rFonts w:cs="Times New Roman"/>
        </w:rPr>
        <w:t xml:space="preserve">political leaning, COVID-19 conditions days ago and mobility change are all significant confounders. </w:t>
      </w:r>
      <w:r w:rsidR="00991538">
        <w:rPr>
          <w:rFonts w:cs="Times New Roman"/>
        </w:rPr>
        <w:t xml:space="preserve">The estimated ACE </w:t>
      </w:r>
      <w:r w:rsidR="00991538">
        <w:t xml:space="preserve">is </w:t>
      </w:r>
      <m:oMath>
        <m:r>
          <w:rPr>
            <w:rFonts w:ascii="Cambria Math" w:hAnsi="Cambria Math" w:cs="Times New Roman"/>
          </w:rPr>
          <m:t>-9.87*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w:r w:rsidR="00991538">
        <w:t xml:space="preserve"> with standard error </w:t>
      </w:r>
      <m:oMath>
        <m:r>
          <w:rPr>
            <w:rFonts w:ascii="Cambria Math" w:hAnsi="Cambria Math" w:cs="Times New Roman"/>
          </w:rPr>
          <m:t>9.72*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w:r w:rsidR="00991538">
        <w:t>.</w:t>
      </w:r>
      <w:r w:rsidR="00805DC0">
        <w:t xml:space="preserve"> </w:t>
      </w:r>
      <w:r w:rsidR="008C4494">
        <w:rPr>
          <w:rFonts w:cs="Times New Roman"/>
        </w:rPr>
        <w:t xml:space="preserve">If a state has a mask mandate in effect as late as the Sept. 1, 2021, on average, it will have a reduction of </w:t>
      </w:r>
      <w:r w:rsidR="00805DC0">
        <w:rPr>
          <w:rFonts w:cs="Times New Roman"/>
        </w:rPr>
        <w:t>0.987</w:t>
      </w:r>
      <w:r w:rsidR="008C4494">
        <w:rPr>
          <w:rFonts w:cs="Times New Roman"/>
        </w:rPr>
        <w:t xml:space="preserve">% in confirmed case growth rate 14 days after, though not significant. </w:t>
      </w:r>
    </w:p>
    <w:p w14:paraId="6B72BEA0" w14:textId="77777777" w:rsidR="00BE4512" w:rsidRDefault="00BE4512" w:rsidP="00B65A90">
      <w:pPr>
        <w:pStyle w:val="Caption"/>
        <w:keepNext/>
      </w:pPr>
      <w:bookmarkStart w:id="8" w:name="_Ref89935907"/>
      <w:bookmarkStart w:id="9" w:name="_Ref89935892"/>
    </w:p>
    <w:p w14:paraId="45CE58A1" w14:textId="77777777" w:rsidR="00BE4512" w:rsidRDefault="00BE4512" w:rsidP="00B65A90">
      <w:pPr>
        <w:pStyle w:val="Caption"/>
        <w:keepNext/>
      </w:pPr>
    </w:p>
    <w:p w14:paraId="2A204EA6" w14:textId="05F58230" w:rsidR="00BE4512" w:rsidRDefault="00BE4512" w:rsidP="00B65A90">
      <w:pPr>
        <w:pStyle w:val="Caption"/>
        <w:keepNext/>
      </w:pPr>
    </w:p>
    <w:p w14:paraId="36902BE0" w14:textId="77777777" w:rsidR="006C5282" w:rsidRPr="006C5282" w:rsidRDefault="006C5282" w:rsidP="006C5282"/>
    <w:p w14:paraId="6F0774DC" w14:textId="06FA31B0" w:rsidR="004C3CA9" w:rsidRDefault="004C3CA9" w:rsidP="00B65A90">
      <w:pPr>
        <w:pStyle w:val="Caption"/>
        <w:keepNext/>
      </w:pPr>
      <w:bookmarkStart w:id="10" w:name="_Ref90230269"/>
      <w:r>
        <w:lastRenderedPageBreak/>
        <w:t xml:space="preserve">Table </w:t>
      </w:r>
      <w:r w:rsidR="00426C97">
        <w:fldChar w:fldCharType="begin"/>
      </w:r>
      <w:r w:rsidR="00426C97">
        <w:instrText xml:space="preserve"> SEQ Table \* ARABIC </w:instrText>
      </w:r>
      <w:r w:rsidR="00426C97">
        <w:fldChar w:fldCharType="separate"/>
      </w:r>
      <w:r w:rsidR="009E02A0">
        <w:rPr>
          <w:noProof/>
        </w:rPr>
        <w:t>3</w:t>
      </w:r>
      <w:r w:rsidR="00426C97">
        <w:rPr>
          <w:noProof/>
        </w:rPr>
        <w:fldChar w:fldCharType="end"/>
      </w:r>
      <w:bookmarkEnd w:id="8"/>
      <w:bookmarkEnd w:id="10"/>
      <w:r>
        <w:t xml:space="preserve"> Estimation Result: OLS Outcome Model (Y=Growth rate of number of confirmed case </w:t>
      </w:r>
      <w:r w:rsidR="001D557D">
        <w:t>14</w:t>
      </w:r>
      <w:r w:rsidR="001903C2">
        <w:t xml:space="preserve"> </w:t>
      </w:r>
      <w:r>
        <w:t>days after 9/1/21)</w:t>
      </w:r>
      <w:bookmarkEnd w:id="9"/>
    </w:p>
    <w:tbl>
      <w:tblPr>
        <w:tblW w:w="7338" w:type="dxa"/>
        <w:jc w:val="center"/>
        <w:tblCellMar>
          <w:top w:w="15" w:type="dxa"/>
        </w:tblCellMar>
        <w:tblLook w:val="04A0" w:firstRow="1" w:lastRow="0" w:firstColumn="1" w:lastColumn="0" w:noHBand="0" w:noVBand="1"/>
      </w:tblPr>
      <w:tblGrid>
        <w:gridCol w:w="2970"/>
        <w:gridCol w:w="1260"/>
        <w:gridCol w:w="1170"/>
        <w:gridCol w:w="990"/>
        <w:gridCol w:w="726"/>
        <w:gridCol w:w="222"/>
      </w:tblGrid>
      <w:tr w:rsidR="00AA2BC1" w:rsidRPr="00C91661" w14:paraId="09E2F0C1" w14:textId="77777777" w:rsidTr="00B65A90">
        <w:trPr>
          <w:gridAfter w:val="1"/>
          <w:wAfter w:w="222" w:type="dxa"/>
          <w:cantSplit/>
          <w:trHeight w:val="288"/>
          <w:jc w:val="center"/>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E5A61" w14:textId="3153FD2B" w:rsidR="00C91661" w:rsidRPr="00C91661" w:rsidRDefault="002738AB" w:rsidP="00C91661">
            <w:pPr>
              <w:spacing w:after="0" w:line="240" w:lineRule="auto"/>
              <w:rPr>
                <w:rFonts w:eastAsia="Times New Roman" w:cs="Times New Roman"/>
                <w:b/>
                <w:bCs/>
                <w:color w:val="000000"/>
                <w:sz w:val="20"/>
                <w:szCs w:val="20"/>
              </w:rPr>
            </w:pPr>
            <w:r w:rsidRPr="002738AB">
              <w:rPr>
                <w:rFonts w:eastAsia="Times New Roman" w:cs="Times New Roman"/>
                <w:b/>
                <w:bCs/>
                <w:color w:val="000000"/>
                <w:sz w:val="20"/>
                <w:szCs w:val="20"/>
              </w:rPr>
              <w:t>Variables</w:t>
            </w:r>
          </w:p>
        </w:tc>
        <w:tc>
          <w:tcPr>
            <w:tcW w:w="1260" w:type="dxa"/>
            <w:tcBorders>
              <w:top w:val="single" w:sz="4" w:space="0" w:color="auto"/>
              <w:left w:val="nil"/>
              <w:bottom w:val="single" w:sz="4" w:space="0" w:color="auto"/>
              <w:right w:val="nil"/>
            </w:tcBorders>
            <w:shd w:val="clear" w:color="auto" w:fill="auto"/>
            <w:noWrap/>
            <w:vAlign w:val="bottom"/>
            <w:hideMark/>
          </w:tcPr>
          <w:p w14:paraId="0B4E05CC" w14:textId="77777777" w:rsidR="00C91661" w:rsidRPr="00C91661" w:rsidRDefault="00C91661" w:rsidP="00C91661">
            <w:pPr>
              <w:spacing w:after="0" w:line="240" w:lineRule="auto"/>
              <w:rPr>
                <w:rFonts w:eastAsia="Times New Roman" w:cs="Times New Roman"/>
                <w:b/>
                <w:bCs/>
                <w:color w:val="000000"/>
                <w:sz w:val="20"/>
                <w:szCs w:val="20"/>
              </w:rPr>
            </w:pPr>
            <w:r w:rsidRPr="00C91661">
              <w:rPr>
                <w:rFonts w:eastAsia="Times New Roman" w:cs="Times New Roman"/>
                <w:b/>
                <w:bCs/>
                <w:color w:val="000000"/>
                <w:sz w:val="20"/>
                <w:szCs w:val="20"/>
              </w:rPr>
              <w:t>Est.</w:t>
            </w:r>
          </w:p>
        </w:tc>
        <w:tc>
          <w:tcPr>
            <w:tcW w:w="1170" w:type="dxa"/>
            <w:tcBorders>
              <w:top w:val="single" w:sz="4" w:space="0" w:color="auto"/>
              <w:left w:val="nil"/>
              <w:bottom w:val="single" w:sz="4" w:space="0" w:color="auto"/>
              <w:right w:val="nil"/>
            </w:tcBorders>
            <w:shd w:val="clear" w:color="auto" w:fill="auto"/>
            <w:noWrap/>
            <w:vAlign w:val="bottom"/>
            <w:hideMark/>
          </w:tcPr>
          <w:p w14:paraId="4B410C52" w14:textId="09922F2D" w:rsidR="00C91661" w:rsidRPr="00C91661" w:rsidRDefault="00C91661" w:rsidP="00C91661">
            <w:pPr>
              <w:spacing w:after="0" w:line="240" w:lineRule="auto"/>
              <w:rPr>
                <w:rFonts w:eastAsia="Times New Roman" w:cs="Times New Roman"/>
                <w:b/>
                <w:bCs/>
                <w:color w:val="000000"/>
                <w:sz w:val="20"/>
                <w:szCs w:val="20"/>
              </w:rPr>
            </w:pPr>
            <w:r w:rsidRPr="00C91661">
              <w:rPr>
                <w:rFonts w:eastAsia="Times New Roman" w:cs="Times New Roman"/>
                <w:b/>
                <w:bCs/>
                <w:color w:val="000000"/>
                <w:sz w:val="20"/>
                <w:szCs w:val="20"/>
              </w:rPr>
              <w:t>Std.</w:t>
            </w:r>
            <w:r w:rsidR="00AA2BC1">
              <w:rPr>
                <w:rFonts w:eastAsia="Times New Roman" w:cs="Times New Roman"/>
                <w:b/>
                <w:bCs/>
                <w:color w:val="000000"/>
                <w:sz w:val="20"/>
                <w:szCs w:val="20"/>
              </w:rPr>
              <w:t xml:space="preserve"> (HC3)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19827BE2" w14:textId="77777777" w:rsidR="00C91661" w:rsidRPr="00C91661" w:rsidRDefault="00C91661" w:rsidP="00C91661">
            <w:pPr>
              <w:spacing w:after="0" w:line="240" w:lineRule="auto"/>
              <w:rPr>
                <w:rFonts w:eastAsia="Times New Roman" w:cs="Times New Roman"/>
                <w:b/>
                <w:bCs/>
                <w:color w:val="000000"/>
                <w:sz w:val="20"/>
                <w:szCs w:val="20"/>
              </w:rPr>
            </w:pPr>
            <w:r w:rsidRPr="00C91661">
              <w:rPr>
                <w:rFonts w:eastAsia="Times New Roman" w:cs="Times New Roman"/>
                <w:b/>
                <w:bCs/>
                <w:color w:val="000000"/>
                <w:sz w:val="20"/>
                <w:szCs w:val="20"/>
              </w:rPr>
              <w:t>P-value</w:t>
            </w:r>
          </w:p>
        </w:tc>
        <w:tc>
          <w:tcPr>
            <w:tcW w:w="726" w:type="dxa"/>
            <w:tcBorders>
              <w:top w:val="single" w:sz="4" w:space="0" w:color="auto"/>
              <w:left w:val="nil"/>
              <w:bottom w:val="single" w:sz="4" w:space="0" w:color="auto"/>
              <w:right w:val="single" w:sz="4" w:space="0" w:color="auto"/>
            </w:tcBorders>
            <w:shd w:val="clear" w:color="auto" w:fill="auto"/>
            <w:noWrap/>
            <w:vAlign w:val="bottom"/>
            <w:hideMark/>
          </w:tcPr>
          <w:p w14:paraId="3DD75BA0" w14:textId="77777777" w:rsidR="00C91661" w:rsidRPr="00C91661" w:rsidRDefault="00C91661" w:rsidP="00C91661">
            <w:pPr>
              <w:spacing w:after="0" w:line="240" w:lineRule="auto"/>
              <w:rPr>
                <w:rFonts w:eastAsia="Times New Roman" w:cs="Times New Roman"/>
                <w:color w:val="000000"/>
                <w:sz w:val="20"/>
                <w:szCs w:val="20"/>
              </w:rPr>
            </w:pPr>
            <w:r w:rsidRPr="00C91661">
              <w:rPr>
                <w:rFonts w:eastAsia="Times New Roman" w:cs="Times New Roman"/>
                <w:color w:val="000000"/>
                <w:sz w:val="20"/>
                <w:szCs w:val="20"/>
              </w:rPr>
              <w:t> </w:t>
            </w:r>
          </w:p>
        </w:tc>
      </w:tr>
      <w:tr w:rsidR="00991538" w:rsidRPr="00991538" w14:paraId="30A0FECA" w14:textId="77777777" w:rsidTr="00B65A90">
        <w:trPr>
          <w:gridAfter w:val="1"/>
          <w:wAfter w:w="222" w:type="dxa"/>
          <w:cantSplit/>
          <w:trHeight w:val="288"/>
          <w:jc w:val="center"/>
        </w:trPr>
        <w:tc>
          <w:tcPr>
            <w:tcW w:w="2970" w:type="dxa"/>
            <w:tcBorders>
              <w:top w:val="nil"/>
              <w:left w:val="single" w:sz="4" w:space="0" w:color="auto"/>
              <w:bottom w:val="nil"/>
              <w:right w:val="single" w:sz="4" w:space="0" w:color="auto"/>
            </w:tcBorders>
            <w:shd w:val="clear" w:color="auto" w:fill="auto"/>
            <w:noWrap/>
            <w:vAlign w:val="bottom"/>
            <w:hideMark/>
          </w:tcPr>
          <w:p w14:paraId="623AD79B" w14:textId="77777777" w:rsidR="00991538" w:rsidRPr="00C91661" w:rsidRDefault="00991538" w:rsidP="00991538">
            <w:pPr>
              <w:spacing w:after="0" w:line="240" w:lineRule="auto"/>
              <w:rPr>
                <w:rFonts w:eastAsia="Times New Roman" w:cs="Times New Roman"/>
                <w:b/>
                <w:bCs/>
                <w:color w:val="000000"/>
                <w:sz w:val="20"/>
                <w:szCs w:val="20"/>
              </w:rPr>
            </w:pPr>
            <w:r w:rsidRPr="00C91661">
              <w:rPr>
                <w:rFonts w:eastAsia="Times New Roman" w:cs="Times New Roman"/>
                <w:b/>
                <w:bCs/>
                <w:color w:val="000000"/>
                <w:sz w:val="20"/>
                <w:szCs w:val="20"/>
              </w:rPr>
              <w:t>Intercept</w:t>
            </w:r>
          </w:p>
        </w:tc>
        <w:tc>
          <w:tcPr>
            <w:tcW w:w="1260" w:type="dxa"/>
            <w:tcBorders>
              <w:top w:val="nil"/>
              <w:left w:val="nil"/>
              <w:bottom w:val="nil"/>
              <w:right w:val="nil"/>
            </w:tcBorders>
            <w:shd w:val="clear" w:color="auto" w:fill="auto"/>
            <w:noWrap/>
            <w:hideMark/>
          </w:tcPr>
          <w:p w14:paraId="066E37B1" w14:textId="655F9006"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7.33E-01</w:t>
            </w:r>
          </w:p>
        </w:tc>
        <w:tc>
          <w:tcPr>
            <w:tcW w:w="1170" w:type="dxa"/>
            <w:tcBorders>
              <w:top w:val="nil"/>
              <w:left w:val="nil"/>
              <w:bottom w:val="nil"/>
              <w:right w:val="nil"/>
            </w:tcBorders>
            <w:shd w:val="clear" w:color="auto" w:fill="auto"/>
            <w:noWrap/>
            <w:hideMark/>
          </w:tcPr>
          <w:p w14:paraId="4D5B47BC" w14:textId="10237323"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8.02E-02</w:t>
            </w:r>
          </w:p>
        </w:tc>
        <w:tc>
          <w:tcPr>
            <w:tcW w:w="990" w:type="dxa"/>
            <w:tcBorders>
              <w:top w:val="nil"/>
              <w:left w:val="nil"/>
              <w:bottom w:val="nil"/>
              <w:right w:val="single" w:sz="4" w:space="0" w:color="auto"/>
            </w:tcBorders>
            <w:shd w:val="clear" w:color="auto" w:fill="auto"/>
            <w:noWrap/>
            <w:hideMark/>
          </w:tcPr>
          <w:p w14:paraId="41DBC73F" w14:textId="3FA03A35"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5.01E-11</w:t>
            </w:r>
          </w:p>
        </w:tc>
        <w:tc>
          <w:tcPr>
            <w:tcW w:w="726" w:type="dxa"/>
            <w:tcBorders>
              <w:top w:val="nil"/>
              <w:left w:val="nil"/>
              <w:bottom w:val="nil"/>
              <w:right w:val="single" w:sz="4" w:space="0" w:color="auto"/>
            </w:tcBorders>
            <w:shd w:val="clear" w:color="auto" w:fill="auto"/>
            <w:noWrap/>
            <w:hideMark/>
          </w:tcPr>
          <w:p w14:paraId="27778E76" w14:textId="04337065" w:rsidR="00991538" w:rsidRPr="00991538" w:rsidRDefault="00991538" w:rsidP="00991538">
            <w:pPr>
              <w:spacing w:after="0" w:line="240" w:lineRule="auto"/>
              <w:rPr>
                <w:rFonts w:eastAsia="Times New Roman" w:cs="Times New Roman"/>
                <w:color w:val="000000"/>
                <w:sz w:val="20"/>
                <w:szCs w:val="20"/>
              </w:rPr>
            </w:pPr>
            <w:r w:rsidRPr="00991538">
              <w:rPr>
                <w:rFonts w:cs="Times New Roman"/>
                <w:sz w:val="20"/>
                <w:szCs w:val="20"/>
              </w:rPr>
              <w:t>***</w:t>
            </w:r>
          </w:p>
        </w:tc>
      </w:tr>
      <w:tr w:rsidR="00991538" w:rsidRPr="00991538" w14:paraId="340635FF" w14:textId="77777777" w:rsidTr="00B65A90">
        <w:trPr>
          <w:gridAfter w:val="1"/>
          <w:wAfter w:w="222" w:type="dxa"/>
          <w:cantSplit/>
          <w:trHeight w:val="288"/>
          <w:jc w:val="center"/>
        </w:trPr>
        <w:tc>
          <w:tcPr>
            <w:tcW w:w="2970" w:type="dxa"/>
            <w:tcBorders>
              <w:top w:val="nil"/>
              <w:left w:val="single" w:sz="4" w:space="0" w:color="auto"/>
              <w:bottom w:val="nil"/>
              <w:right w:val="single" w:sz="4" w:space="0" w:color="auto"/>
            </w:tcBorders>
            <w:shd w:val="clear" w:color="auto" w:fill="auto"/>
            <w:noWrap/>
            <w:vAlign w:val="bottom"/>
            <w:hideMark/>
          </w:tcPr>
          <w:p w14:paraId="39466744" w14:textId="77777777" w:rsidR="00991538" w:rsidRDefault="00991538" w:rsidP="00991538">
            <w:pPr>
              <w:spacing w:after="0" w:line="240" w:lineRule="auto"/>
              <w:rPr>
                <w:rFonts w:eastAsia="Times New Roman" w:cs="Times New Roman"/>
                <w:b/>
                <w:bCs/>
                <w:color w:val="000000"/>
                <w:sz w:val="20"/>
                <w:szCs w:val="20"/>
              </w:rPr>
            </w:pPr>
            <w:r w:rsidRPr="00C91661">
              <w:rPr>
                <w:rFonts w:eastAsia="Times New Roman" w:cs="Times New Roman"/>
                <w:b/>
                <w:bCs/>
                <w:color w:val="000000"/>
                <w:sz w:val="20"/>
                <w:szCs w:val="20"/>
              </w:rPr>
              <w:t>Mask</w:t>
            </w:r>
            <w:r>
              <w:rPr>
                <w:rFonts w:eastAsia="Times New Roman" w:cs="Times New Roman"/>
                <w:b/>
                <w:bCs/>
                <w:color w:val="000000"/>
                <w:sz w:val="20"/>
                <w:szCs w:val="20"/>
              </w:rPr>
              <w:t xml:space="preserve"> </w:t>
            </w:r>
            <w:r w:rsidRPr="00C91661">
              <w:rPr>
                <w:rFonts w:eastAsia="Times New Roman" w:cs="Times New Roman"/>
                <w:b/>
                <w:bCs/>
                <w:color w:val="000000"/>
                <w:sz w:val="20"/>
                <w:szCs w:val="20"/>
              </w:rPr>
              <w:t>M</w:t>
            </w:r>
            <w:r>
              <w:rPr>
                <w:rFonts w:eastAsia="Times New Roman" w:cs="Times New Roman"/>
                <w:b/>
                <w:bCs/>
                <w:color w:val="000000"/>
                <w:sz w:val="20"/>
                <w:szCs w:val="20"/>
              </w:rPr>
              <w:t xml:space="preserve">andate </w:t>
            </w:r>
          </w:p>
          <w:p w14:paraId="2B5B4E85" w14:textId="38D40812" w:rsidR="00991538" w:rsidRPr="00C91661" w:rsidRDefault="00991538" w:rsidP="00991538">
            <w:pPr>
              <w:spacing w:after="0" w:line="240" w:lineRule="auto"/>
              <w:rPr>
                <w:rFonts w:eastAsia="Times New Roman" w:cs="Times New Roman"/>
                <w:b/>
                <w:bCs/>
                <w:color w:val="000000"/>
                <w:sz w:val="20"/>
                <w:szCs w:val="20"/>
              </w:rPr>
            </w:pPr>
            <w:r>
              <w:rPr>
                <w:rFonts w:eastAsia="Times New Roman" w:cs="Times New Roman"/>
                <w:b/>
                <w:bCs/>
                <w:color w:val="000000"/>
                <w:sz w:val="20"/>
                <w:szCs w:val="20"/>
              </w:rPr>
              <w:t xml:space="preserve">(At </w:t>
            </w:r>
            <w:r w:rsidRPr="00C91661">
              <w:rPr>
                <w:rFonts w:eastAsia="Times New Roman" w:cs="Times New Roman"/>
                <w:b/>
                <w:bCs/>
                <w:color w:val="000000"/>
                <w:sz w:val="20"/>
                <w:szCs w:val="20"/>
              </w:rPr>
              <w:t>Least</w:t>
            </w:r>
            <w:r>
              <w:rPr>
                <w:rFonts w:eastAsia="Times New Roman" w:cs="Times New Roman"/>
                <w:b/>
                <w:bCs/>
                <w:color w:val="000000"/>
                <w:sz w:val="20"/>
                <w:szCs w:val="20"/>
              </w:rPr>
              <w:t xml:space="preserve"> for the </w:t>
            </w:r>
            <w:r w:rsidRPr="00C91661">
              <w:rPr>
                <w:rFonts w:eastAsia="Times New Roman" w:cs="Times New Roman"/>
                <w:b/>
                <w:bCs/>
                <w:color w:val="000000"/>
                <w:sz w:val="20"/>
                <w:szCs w:val="20"/>
              </w:rPr>
              <w:t>Non</w:t>
            </w:r>
            <w:r>
              <w:rPr>
                <w:rFonts w:eastAsia="Times New Roman" w:cs="Times New Roman"/>
                <w:b/>
                <w:bCs/>
                <w:color w:val="000000"/>
                <w:sz w:val="20"/>
                <w:szCs w:val="20"/>
              </w:rPr>
              <w:t>-</w:t>
            </w:r>
            <w:r w:rsidRPr="00C91661">
              <w:rPr>
                <w:rFonts w:eastAsia="Times New Roman" w:cs="Times New Roman"/>
                <w:b/>
                <w:bCs/>
                <w:color w:val="000000"/>
                <w:sz w:val="20"/>
                <w:szCs w:val="20"/>
              </w:rPr>
              <w:t>vax</w:t>
            </w:r>
            <w:r>
              <w:rPr>
                <w:rFonts w:eastAsia="Times New Roman" w:cs="Times New Roman"/>
                <w:b/>
                <w:bCs/>
                <w:color w:val="000000"/>
                <w:sz w:val="20"/>
                <w:szCs w:val="20"/>
              </w:rPr>
              <w:t>)</w:t>
            </w:r>
          </w:p>
        </w:tc>
        <w:tc>
          <w:tcPr>
            <w:tcW w:w="1260" w:type="dxa"/>
            <w:tcBorders>
              <w:top w:val="nil"/>
              <w:left w:val="nil"/>
              <w:bottom w:val="nil"/>
              <w:right w:val="nil"/>
            </w:tcBorders>
            <w:shd w:val="clear" w:color="auto" w:fill="auto"/>
            <w:noWrap/>
            <w:hideMark/>
          </w:tcPr>
          <w:p w14:paraId="68E01490" w14:textId="0A2C7841"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-9.87E-03</w:t>
            </w:r>
          </w:p>
        </w:tc>
        <w:tc>
          <w:tcPr>
            <w:tcW w:w="1170" w:type="dxa"/>
            <w:tcBorders>
              <w:top w:val="nil"/>
              <w:left w:val="nil"/>
              <w:bottom w:val="nil"/>
              <w:right w:val="nil"/>
            </w:tcBorders>
            <w:shd w:val="clear" w:color="auto" w:fill="auto"/>
            <w:noWrap/>
            <w:hideMark/>
          </w:tcPr>
          <w:p w14:paraId="7781C6C1" w14:textId="1E380EC9"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9.72E-03</w:t>
            </w:r>
          </w:p>
        </w:tc>
        <w:tc>
          <w:tcPr>
            <w:tcW w:w="990" w:type="dxa"/>
            <w:tcBorders>
              <w:top w:val="nil"/>
              <w:left w:val="nil"/>
              <w:bottom w:val="nil"/>
              <w:right w:val="single" w:sz="4" w:space="0" w:color="auto"/>
            </w:tcBorders>
            <w:shd w:val="clear" w:color="auto" w:fill="auto"/>
            <w:noWrap/>
            <w:hideMark/>
          </w:tcPr>
          <w:p w14:paraId="48B2D046" w14:textId="6438B60A"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0.32</w:t>
            </w:r>
          </w:p>
        </w:tc>
        <w:tc>
          <w:tcPr>
            <w:tcW w:w="726" w:type="dxa"/>
            <w:tcBorders>
              <w:top w:val="nil"/>
              <w:left w:val="nil"/>
              <w:bottom w:val="nil"/>
              <w:right w:val="single" w:sz="4" w:space="0" w:color="auto"/>
            </w:tcBorders>
            <w:shd w:val="clear" w:color="auto" w:fill="auto"/>
            <w:noWrap/>
            <w:hideMark/>
          </w:tcPr>
          <w:p w14:paraId="0EECF881" w14:textId="2ED0F252" w:rsidR="00991538" w:rsidRPr="00991538" w:rsidRDefault="00991538" w:rsidP="00991538">
            <w:pPr>
              <w:spacing w:after="0" w:line="240" w:lineRule="auto"/>
              <w:rPr>
                <w:rFonts w:eastAsia="Times New Roman" w:cs="Times New Roman"/>
                <w:color w:val="000000"/>
                <w:sz w:val="20"/>
                <w:szCs w:val="20"/>
              </w:rPr>
            </w:pPr>
          </w:p>
        </w:tc>
      </w:tr>
      <w:tr w:rsidR="00991538" w:rsidRPr="00991538" w14:paraId="54EB6DC9" w14:textId="77777777" w:rsidTr="00B65A90">
        <w:trPr>
          <w:gridAfter w:val="1"/>
          <w:wAfter w:w="222" w:type="dxa"/>
          <w:cantSplit/>
          <w:trHeight w:val="288"/>
          <w:jc w:val="center"/>
        </w:trPr>
        <w:tc>
          <w:tcPr>
            <w:tcW w:w="2970" w:type="dxa"/>
            <w:tcBorders>
              <w:top w:val="nil"/>
              <w:left w:val="single" w:sz="4" w:space="0" w:color="auto"/>
              <w:bottom w:val="nil"/>
              <w:right w:val="single" w:sz="4" w:space="0" w:color="auto"/>
            </w:tcBorders>
            <w:shd w:val="clear" w:color="auto" w:fill="auto"/>
            <w:noWrap/>
            <w:vAlign w:val="bottom"/>
            <w:hideMark/>
          </w:tcPr>
          <w:p w14:paraId="6D5235E6" w14:textId="6699B3A1" w:rsidR="00991538" w:rsidRPr="00C91661" w:rsidRDefault="00991538" w:rsidP="00991538">
            <w:pPr>
              <w:spacing w:after="0" w:line="240" w:lineRule="auto"/>
              <w:rPr>
                <w:rFonts w:eastAsia="Times New Roman" w:cs="Times New Roman"/>
                <w:b/>
                <w:bCs/>
                <w:color w:val="000000"/>
                <w:sz w:val="20"/>
                <w:szCs w:val="20"/>
              </w:rPr>
            </w:pPr>
            <w:r>
              <w:rPr>
                <w:rFonts w:eastAsia="Times New Roman" w:cs="Times New Roman"/>
                <w:b/>
                <w:bCs/>
                <w:color w:val="000000"/>
                <w:sz w:val="20"/>
                <w:szCs w:val="20"/>
              </w:rPr>
              <w:t>Median Age</w:t>
            </w:r>
          </w:p>
        </w:tc>
        <w:tc>
          <w:tcPr>
            <w:tcW w:w="1260" w:type="dxa"/>
            <w:tcBorders>
              <w:top w:val="nil"/>
              <w:left w:val="nil"/>
              <w:bottom w:val="nil"/>
              <w:right w:val="nil"/>
            </w:tcBorders>
            <w:shd w:val="clear" w:color="auto" w:fill="auto"/>
            <w:noWrap/>
            <w:hideMark/>
          </w:tcPr>
          <w:p w14:paraId="05EAB697" w14:textId="6AA98088"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1.29E-02</w:t>
            </w:r>
          </w:p>
        </w:tc>
        <w:tc>
          <w:tcPr>
            <w:tcW w:w="1170" w:type="dxa"/>
            <w:tcBorders>
              <w:top w:val="nil"/>
              <w:left w:val="nil"/>
              <w:bottom w:val="nil"/>
              <w:right w:val="nil"/>
            </w:tcBorders>
            <w:shd w:val="clear" w:color="auto" w:fill="auto"/>
            <w:noWrap/>
            <w:hideMark/>
          </w:tcPr>
          <w:p w14:paraId="186B600D" w14:textId="491E1EEF"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4.06E-03</w:t>
            </w:r>
          </w:p>
        </w:tc>
        <w:tc>
          <w:tcPr>
            <w:tcW w:w="990" w:type="dxa"/>
            <w:tcBorders>
              <w:top w:val="nil"/>
              <w:left w:val="nil"/>
              <w:bottom w:val="nil"/>
              <w:right w:val="single" w:sz="4" w:space="0" w:color="auto"/>
            </w:tcBorders>
            <w:shd w:val="clear" w:color="auto" w:fill="auto"/>
            <w:noWrap/>
            <w:hideMark/>
          </w:tcPr>
          <w:p w14:paraId="6A50981B" w14:textId="3ED83908"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3.09E-03</w:t>
            </w:r>
          </w:p>
        </w:tc>
        <w:tc>
          <w:tcPr>
            <w:tcW w:w="726" w:type="dxa"/>
            <w:tcBorders>
              <w:top w:val="nil"/>
              <w:left w:val="nil"/>
              <w:bottom w:val="nil"/>
              <w:right w:val="single" w:sz="4" w:space="0" w:color="auto"/>
            </w:tcBorders>
            <w:shd w:val="clear" w:color="auto" w:fill="auto"/>
            <w:noWrap/>
            <w:hideMark/>
          </w:tcPr>
          <w:p w14:paraId="30E8254B" w14:textId="0725F6EA" w:rsidR="00991538" w:rsidRPr="00991538" w:rsidRDefault="00991538" w:rsidP="00991538">
            <w:pPr>
              <w:spacing w:after="0" w:line="240" w:lineRule="auto"/>
              <w:rPr>
                <w:rFonts w:eastAsia="Times New Roman" w:cs="Times New Roman"/>
                <w:color w:val="000000"/>
                <w:sz w:val="20"/>
                <w:szCs w:val="20"/>
              </w:rPr>
            </w:pPr>
            <w:r w:rsidRPr="00991538">
              <w:rPr>
                <w:rFonts w:cs="Times New Roman"/>
                <w:sz w:val="20"/>
                <w:szCs w:val="20"/>
              </w:rPr>
              <w:t>**</w:t>
            </w:r>
          </w:p>
        </w:tc>
      </w:tr>
      <w:tr w:rsidR="00991538" w:rsidRPr="00991538" w14:paraId="4F5FBC2E" w14:textId="77777777" w:rsidTr="00B65A90">
        <w:trPr>
          <w:gridAfter w:val="1"/>
          <w:wAfter w:w="222" w:type="dxa"/>
          <w:cantSplit/>
          <w:trHeight w:val="288"/>
          <w:jc w:val="center"/>
        </w:trPr>
        <w:tc>
          <w:tcPr>
            <w:tcW w:w="2970" w:type="dxa"/>
            <w:tcBorders>
              <w:top w:val="nil"/>
              <w:left w:val="single" w:sz="4" w:space="0" w:color="auto"/>
              <w:bottom w:val="nil"/>
              <w:right w:val="single" w:sz="4" w:space="0" w:color="auto"/>
            </w:tcBorders>
            <w:shd w:val="clear" w:color="auto" w:fill="auto"/>
            <w:noWrap/>
            <w:vAlign w:val="bottom"/>
            <w:hideMark/>
          </w:tcPr>
          <w:p w14:paraId="66DF930E" w14:textId="27166788" w:rsidR="00991538" w:rsidRPr="00C91661" w:rsidRDefault="00991538" w:rsidP="00991538">
            <w:pPr>
              <w:spacing w:after="0" w:line="240" w:lineRule="auto"/>
              <w:rPr>
                <w:rFonts w:eastAsia="Times New Roman" w:cs="Times New Roman"/>
                <w:b/>
                <w:bCs/>
                <w:color w:val="000000"/>
                <w:sz w:val="20"/>
                <w:szCs w:val="20"/>
              </w:rPr>
            </w:pPr>
            <w:r>
              <w:rPr>
                <w:rFonts w:eastAsia="Times New Roman" w:cs="Times New Roman"/>
                <w:b/>
                <w:bCs/>
                <w:color w:val="000000"/>
                <w:sz w:val="20"/>
                <w:szCs w:val="20"/>
              </w:rPr>
              <w:t>% Over 65 years old</w:t>
            </w:r>
          </w:p>
        </w:tc>
        <w:tc>
          <w:tcPr>
            <w:tcW w:w="1260" w:type="dxa"/>
            <w:tcBorders>
              <w:top w:val="nil"/>
              <w:left w:val="nil"/>
              <w:bottom w:val="nil"/>
              <w:right w:val="nil"/>
            </w:tcBorders>
            <w:shd w:val="clear" w:color="auto" w:fill="auto"/>
            <w:noWrap/>
            <w:hideMark/>
          </w:tcPr>
          <w:p w14:paraId="2A197487" w14:textId="028734DC"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-1.05E+00</w:t>
            </w:r>
          </w:p>
        </w:tc>
        <w:tc>
          <w:tcPr>
            <w:tcW w:w="1170" w:type="dxa"/>
            <w:tcBorders>
              <w:top w:val="nil"/>
              <w:left w:val="nil"/>
              <w:bottom w:val="nil"/>
              <w:right w:val="nil"/>
            </w:tcBorders>
            <w:shd w:val="clear" w:color="auto" w:fill="auto"/>
            <w:noWrap/>
            <w:hideMark/>
          </w:tcPr>
          <w:p w14:paraId="2D981CDC" w14:textId="5CDD3F80"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4.66E-01</w:t>
            </w:r>
          </w:p>
        </w:tc>
        <w:tc>
          <w:tcPr>
            <w:tcW w:w="990" w:type="dxa"/>
            <w:tcBorders>
              <w:top w:val="nil"/>
              <w:left w:val="nil"/>
              <w:bottom w:val="nil"/>
              <w:right w:val="single" w:sz="4" w:space="0" w:color="auto"/>
            </w:tcBorders>
            <w:shd w:val="clear" w:color="auto" w:fill="auto"/>
            <w:noWrap/>
            <w:hideMark/>
          </w:tcPr>
          <w:p w14:paraId="3F97F824" w14:textId="7D95A731"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3.01E-02</w:t>
            </w:r>
          </w:p>
        </w:tc>
        <w:tc>
          <w:tcPr>
            <w:tcW w:w="726" w:type="dxa"/>
            <w:tcBorders>
              <w:top w:val="nil"/>
              <w:left w:val="nil"/>
              <w:bottom w:val="nil"/>
              <w:right w:val="single" w:sz="4" w:space="0" w:color="auto"/>
            </w:tcBorders>
            <w:shd w:val="clear" w:color="auto" w:fill="auto"/>
            <w:noWrap/>
            <w:hideMark/>
          </w:tcPr>
          <w:p w14:paraId="44175D36" w14:textId="3FF2DBBD" w:rsidR="00991538" w:rsidRPr="00991538" w:rsidRDefault="00991538" w:rsidP="00991538">
            <w:pPr>
              <w:spacing w:after="0" w:line="240" w:lineRule="auto"/>
              <w:rPr>
                <w:rFonts w:eastAsia="Times New Roman" w:cs="Times New Roman"/>
                <w:color w:val="000000"/>
                <w:sz w:val="20"/>
                <w:szCs w:val="20"/>
              </w:rPr>
            </w:pPr>
            <w:r w:rsidRPr="00991538">
              <w:rPr>
                <w:rFonts w:cs="Times New Roman"/>
                <w:sz w:val="20"/>
                <w:szCs w:val="20"/>
              </w:rPr>
              <w:t>*</w:t>
            </w:r>
          </w:p>
        </w:tc>
      </w:tr>
      <w:tr w:rsidR="00991538" w:rsidRPr="00991538" w14:paraId="5D519139" w14:textId="77777777" w:rsidTr="00B65A90">
        <w:trPr>
          <w:gridAfter w:val="1"/>
          <w:wAfter w:w="222" w:type="dxa"/>
          <w:cantSplit/>
          <w:trHeight w:val="288"/>
          <w:jc w:val="center"/>
        </w:trPr>
        <w:tc>
          <w:tcPr>
            <w:tcW w:w="2970" w:type="dxa"/>
            <w:tcBorders>
              <w:top w:val="nil"/>
              <w:left w:val="single" w:sz="4" w:space="0" w:color="auto"/>
              <w:bottom w:val="nil"/>
              <w:right w:val="single" w:sz="4" w:space="0" w:color="auto"/>
            </w:tcBorders>
            <w:shd w:val="clear" w:color="auto" w:fill="auto"/>
            <w:noWrap/>
            <w:vAlign w:val="bottom"/>
            <w:hideMark/>
          </w:tcPr>
          <w:p w14:paraId="26C30934" w14:textId="6AE9B76F" w:rsidR="00991538" w:rsidRPr="00C91661" w:rsidRDefault="00991538" w:rsidP="00991538">
            <w:pPr>
              <w:spacing w:after="0" w:line="240" w:lineRule="auto"/>
              <w:rPr>
                <w:rFonts w:eastAsia="Times New Roman" w:cs="Times New Roman"/>
                <w:b/>
                <w:bCs/>
                <w:color w:val="000000"/>
                <w:sz w:val="20"/>
                <w:szCs w:val="20"/>
              </w:rPr>
            </w:pPr>
            <w:r>
              <w:rPr>
                <w:rFonts w:eastAsia="Times New Roman" w:cs="Times New Roman"/>
                <w:b/>
                <w:bCs/>
                <w:color w:val="000000"/>
                <w:sz w:val="20"/>
                <w:szCs w:val="20"/>
              </w:rPr>
              <w:t>% Population poverty</w:t>
            </w:r>
          </w:p>
        </w:tc>
        <w:tc>
          <w:tcPr>
            <w:tcW w:w="1260" w:type="dxa"/>
            <w:tcBorders>
              <w:top w:val="nil"/>
              <w:left w:val="nil"/>
              <w:bottom w:val="nil"/>
              <w:right w:val="nil"/>
            </w:tcBorders>
            <w:shd w:val="clear" w:color="auto" w:fill="auto"/>
            <w:noWrap/>
            <w:hideMark/>
          </w:tcPr>
          <w:p w14:paraId="2344D739" w14:textId="23BF8C65"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4.06E-01</w:t>
            </w:r>
          </w:p>
        </w:tc>
        <w:tc>
          <w:tcPr>
            <w:tcW w:w="1170" w:type="dxa"/>
            <w:tcBorders>
              <w:top w:val="nil"/>
              <w:left w:val="nil"/>
              <w:bottom w:val="nil"/>
              <w:right w:val="nil"/>
            </w:tcBorders>
            <w:shd w:val="clear" w:color="auto" w:fill="auto"/>
            <w:noWrap/>
            <w:hideMark/>
          </w:tcPr>
          <w:p w14:paraId="23017C8D" w14:textId="07DCD477"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1.47E-01</w:t>
            </w:r>
          </w:p>
        </w:tc>
        <w:tc>
          <w:tcPr>
            <w:tcW w:w="990" w:type="dxa"/>
            <w:tcBorders>
              <w:top w:val="nil"/>
              <w:left w:val="nil"/>
              <w:bottom w:val="nil"/>
              <w:right w:val="single" w:sz="4" w:space="0" w:color="auto"/>
            </w:tcBorders>
            <w:shd w:val="clear" w:color="auto" w:fill="auto"/>
            <w:noWrap/>
            <w:hideMark/>
          </w:tcPr>
          <w:p w14:paraId="0B13F4B5" w14:textId="606C755F"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8.83E-03</w:t>
            </w:r>
          </w:p>
        </w:tc>
        <w:tc>
          <w:tcPr>
            <w:tcW w:w="726" w:type="dxa"/>
            <w:tcBorders>
              <w:top w:val="nil"/>
              <w:left w:val="nil"/>
              <w:bottom w:val="nil"/>
              <w:right w:val="single" w:sz="4" w:space="0" w:color="auto"/>
            </w:tcBorders>
            <w:shd w:val="clear" w:color="auto" w:fill="auto"/>
            <w:noWrap/>
            <w:hideMark/>
          </w:tcPr>
          <w:p w14:paraId="179F822C" w14:textId="5FF89F1B" w:rsidR="00991538" w:rsidRPr="00991538" w:rsidRDefault="00991538" w:rsidP="00991538">
            <w:pPr>
              <w:spacing w:after="0" w:line="240" w:lineRule="auto"/>
              <w:rPr>
                <w:rFonts w:eastAsia="Times New Roman" w:cs="Times New Roman"/>
                <w:color w:val="000000"/>
                <w:sz w:val="20"/>
                <w:szCs w:val="20"/>
              </w:rPr>
            </w:pPr>
            <w:r w:rsidRPr="00991538">
              <w:rPr>
                <w:rFonts w:cs="Times New Roman"/>
                <w:sz w:val="20"/>
                <w:szCs w:val="20"/>
              </w:rPr>
              <w:t>*</w:t>
            </w:r>
            <w:r>
              <w:rPr>
                <w:rFonts w:cs="Times New Roman"/>
                <w:sz w:val="20"/>
                <w:szCs w:val="20"/>
              </w:rPr>
              <w:t>*</w:t>
            </w:r>
          </w:p>
        </w:tc>
      </w:tr>
      <w:tr w:rsidR="00991538" w:rsidRPr="00991538" w14:paraId="5F40C904" w14:textId="77777777" w:rsidTr="00B65A90">
        <w:trPr>
          <w:gridAfter w:val="1"/>
          <w:wAfter w:w="222" w:type="dxa"/>
          <w:cantSplit/>
          <w:trHeight w:val="288"/>
          <w:jc w:val="center"/>
        </w:trPr>
        <w:tc>
          <w:tcPr>
            <w:tcW w:w="2970" w:type="dxa"/>
            <w:tcBorders>
              <w:top w:val="nil"/>
              <w:left w:val="single" w:sz="4" w:space="0" w:color="auto"/>
              <w:bottom w:val="nil"/>
              <w:right w:val="single" w:sz="4" w:space="0" w:color="auto"/>
            </w:tcBorders>
            <w:shd w:val="clear" w:color="auto" w:fill="auto"/>
            <w:noWrap/>
            <w:vAlign w:val="bottom"/>
            <w:hideMark/>
          </w:tcPr>
          <w:p w14:paraId="1D3D1D3D" w14:textId="5D6505A4" w:rsidR="00991538" w:rsidRPr="00C91661" w:rsidRDefault="00991538" w:rsidP="00991538">
            <w:pPr>
              <w:spacing w:after="0" w:line="240" w:lineRule="auto"/>
              <w:rPr>
                <w:rFonts w:eastAsia="Times New Roman" w:cs="Times New Roman"/>
                <w:b/>
                <w:bCs/>
                <w:color w:val="000000"/>
                <w:sz w:val="20"/>
                <w:szCs w:val="20"/>
              </w:rPr>
            </w:pPr>
            <w:r>
              <w:rPr>
                <w:rFonts w:eastAsia="Times New Roman" w:cs="Times New Roman"/>
                <w:b/>
                <w:bCs/>
                <w:color w:val="000000"/>
                <w:sz w:val="20"/>
                <w:szCs w:val="20"/>
              </w:rPr>
              <w:t>% Asian</w:t>
            </w:r>
          </w:p>
        </w:tc>
        <w:tc>
          <w:tcPr>
            <w:tcW w:w="1260" w:type="dxa"/>
            <w:tcBorders>
              <w:top w:val="nil"/>
              <w:left w:val="nil"/>
              <w:bottom w:val="nil"/>
              <w:right w:val="nil"/>
            </w:tcBorders>
            <w:shd w:val="clear" w:color="auto" w:fill="auto"/>
            <w:noWrap/>
            <w:hideMark/>
          </w:tcPr>
          <w:p w14:paraId="4C97655B" w14:textId="0BC9A8DA"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2.35E-01</w:t>
            </w:r>
          </w:p>
        </w:tc>
        <w:tc>
          <w:tcPr>
            <w:tcW w:w="1170" w:type="dxa"/>
            <w:tcBorders>
              <w:top w:val="nil"/>
              <w:left w:val="nil"/>
              <w:bottom w:val="nil"/>
              <w:right w:val="nil"/>
            </w:tcBorders>
            <w:shd w:val="clear" w:color="auto" w:fill="auto"/>
            <w:noWrap/>
            <w:hideMark/>
          </w:tcPr>
          <w:p w14:paraId="671836BD" w14:textId="3428C12C"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3.45E-02</w:t>
            </w:r>
          </w:p>
        </w:tc>
        <w:tc>
          <w:tcPr>
            <w:tcW w:w="990" w:type="dxa"/>
            <w:tcBorders>
              <w:top w:val="nil"/>
              <w:left w:val="nil"/>
              <w:bottom w:val="nil"/>
              <w:right w:val="single" w:sz="4" w:space="0" w:color="auto"/>
            </w:tcBorders>
            <w:shd w:val="clear" w:color="auto" w:fill="auto"/>
            <w:noWrap/>
            <w:hideMark/>
          </w:tcPr>
          <w:p w14:paraId="26F8D2F8" w14:textId="594636F3"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4.99E-08</w:t>
            </w:r>
          </w:p>
        </w:tc>
        <w:tc>
          <w:tcPr>
            <w:tcW w:w="726" w:type="dxa"/>
            <w:tcBorders>
              <w:top w:val="nil"/>
              <w:left w:val="nil"/>
              <w:bottom w:val="nil"/>
              <w:right w:val="single" w:sz="4" w:space="0" w:color="auto"/>
            </w:tcBorders>
            <w:shd w:val="clear" w:color="auto" w:fill="auto"/>
            <w:noWrap/>
            <w:hideMark/>
          </w:tcPr>
          <w:p w14:paraId="32C2338F" w14:textId="10E2FB5C" w:rsidR="00991538" w:rsidRPr="00991538" w:rsidRDefault="00991538" w:rsidP="00991538">
            <w:pPr>
              <w:spacing w:after="0" w:line="240" w:lineRule="auto"/>
              <w:rPr>
                <w:rFonts w:eastAsia="Times New Roman" w:cs="Times New Roman"/>
                <w:color w:val="000000"/>
                <w:sz w:val="20"/>
                <w:szCs w:val="20"/>
              </w:rPr>
            </w:pPr>
            <w:r w:rsidRPr="00991538">
              <w:rPr>
                <w:rFonts w:cs="Times New Roman"/>
                <w:sz w:val="20"/>
                <w:szCs w:val="20"/>
              </w:rPr>
              <w:t>***</w:t>
            </w:r>
          </w:p>
        </w:tc>
      </w:tr>
      <w:tr w:rsidR="00991538" w:rsidRPr="00991538" w14:paraId="02DF8E15" w14:textId="77777777" w:rsidTr="00B65A90">
        <w:trPr>
          <w:gridAfter w:val="1"/>
          <w:wAfter w:w="222" w:type="dxa"/>
          <w:cantSplit/>
          <w:trHeight w:val="288"/>
          <w:jc w:val="center"/>
        </w:trPr>
        <w:tc>
          <w:tcPr>
            <w:tcW w:w="2970" w:type="dxa"/>
            <w:tcBorders>
              <w:top w:val="nil"/>
              <w:left w:val="single" w:sz="4" w:space="0" w:color="auto"/>
              <w:bottom w:val="nil"/>
              <w:right w:val="single" w:sz="4" w:space="0" w:color="auto"/>
            </w:tcBorders>
            <w:shd w:val="clear" w:color="auto" w:fill="auto"/>
            <w:noWrap/>
            <w:vAlign w:val="bottom"/>
            <w:hideMark/>
          </w:tcPr>
          <w:p w14:paraId="536C9703" w14:textId="251B4C56" w:rsidR="00991538" w:rsidRPr="00C91661" w:rsidRDefault="00991538" w:rsidP="00991538">
            <w:pPr>
              <w:spacing w:after="0" w:line="240" w:lineRule="auto"/>
              <w:rPr>
                <w:rFonts w:eastAsia="Times New Roman" w:cs="Times New Roman"/>
                <w:b/>
                <w:bCs/>
                <w:color w:val="000000"/>
                <w:sz w:val="20"/>
                <w:szCs w:val="20"/>
              </w:rPr>
            </w:pPr>
            <w:r>
              <w:rPr>
                <w:rFonts w:eastAsia="Times New Roman" w:cs="Times New Roman"/>
                <w:b/>
                <w:bCs/>
                <w:color w:val="000000"/>
                <w:sz w:val="20"/>
                <w:szCs w:val="20"/>
              </w:rPr>
              <w:t xml:space="preserve">% Black African </w:t>
            </w:r>
          </w:p>
        </w:tc>
        <w:tc>
          <w:tcPr>
            <w:tcW w:w="1260" w:type="dxa"/>
            <w:tcBorders>
              <w:top w:val="nil"/>
              <w:left w:val="nil"/>
              <w:bottom w:val="nil"/>
              <w:right w:val="nil"/>
            </w:tcBorders>
            <w:shd w:val="clear" w:color="auto" w:fill="auto"/>
            <w:noWrap/>
            <w:hideMark/>
          </w:tcPr>
          <w:p w14:paraId="07EA31E6" w14:textId="063B117C"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-6.98E-02</w:t>
            </w:r>
          </w:p>
        </w:tc>
        <w:tc>
          <w:tcPr>
            <w:tcW w:w="1170" w:type="dxa"/>
            <w:tcBorders>
              <w:top w:val="nil"/>
              <w:left w:val="nil"/>
              <w:bottom w:val="nil"/>
              <w:right w:val="nil"/>
            </w:tcBorders>
            <w:shd w:val="clear" w:color="auto" w:fill="auto"/>
            <w:noWrap/>
            <w:hideMark/>
          </w:tcPr>
          <w:p w14:paraId="3E88F5EF" w14:textId="49F5DD86"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4.33E-02</w:t>
            </w:r>
          </w:p>
        </w:tc>
        <w:tc>
          <w:tcPr>
            <w:tcW w:w="990" w:type="dxa"/>
            <w:tcBorders>
              <w:top w:val="nil"/>
              <w:left w:val="nil"/>
              <w:bottom w:val="nil"/>
              <w:right w:val="single" w:sz="4" w:space="0" w:color="auto"/>
            </w:tcBorders>
            <w:shd w:val="clear" w:color="auto" w:fill="auto"/>
            <w:noWrap/>
            <w:hideMark/>
          </w:tcPr>
          <w:p w14:paraId="274FA033" w14:textId="4BAADA0F" w:rsidR="00991538" w:rsidRPr="00991538" w:rsidRDefault="00991538" w:rsidP="00991538">
            <w:pPr>
              <w:spacing w:after="0" w:line="240" w:lineRule="auto"/>
              <w:jc w:val="right"/>
              <w:rPr>
                <w:rFonts w:eastAsia="Times New Roman" w:cs="Times New Roman"/>
                <w:color w:val="000000"/>
                <w:sz w:val="20"/>
                <w:szCs w:val="20"/>
              </w:rPr>
            </w:pPr>
            <w:r>
              <w:rPr>
                <w:sz w:val="20"/>
                <w:szCs w:val="20"/>
              </w:rPr>
              <w:t>0.12</w:t>
            </w:r>
          </w:p>
        </w:tc>
        <w:tc>
          <w:tcPr>
            <w:tcW w:w="726" w:type="dxa"/>
            <w:tcBorders>
              <w:top w:val="nil"/>
              <w:left w:val="nil"/>
              <w:bottom w:val="nil"/>
              <w:right w:val="single" w:sz="4" w:space="0" w:color="auto"/>
            </w:tcBorders>
            <w:shd w:val="clear" w:color="auto" w:fill="auto"/>
            <w:noWrap/>
            <w:hideMark/>
          </w:tcPr>
          <w:p w14:paraId="34C19E38" w14:textId="5FFCBE60" w:rsidR="00991538" w:rsidRPr="00991538" w:rsidRDefault="00991538" w:rsidP="00991538">
            <w:pPr>
              <w:spacing w:after="0" w:line="240" w:lineRule="auto"/>
              <w:rPr>
                <w:rFonts w:eastAsia="Times New Roman" w:cs="Times New Roman"/>
                <w:color w:val="000000"/>
                <w:sz w:val="20"/>
                <w:szCs w:val="20"/>
              </w:rPr>
            </w:pPr>
          </w:p>
        </w:tc>
      </w:tr>
      <w:tr w:rsidR="00991538" w:rsidRPr="00991538" w14:paraId="09160186" w14:textId="77777777" w:rsidTr="00B65A90">
        <w:trPr>
          <w:gridAfter w:val="1"/>
          <w:wAfter w:w="222" w:type="dxa"/>
          <w:cantSplit/>
          <w:trHeight w:val="288"/>
          <w:jc w:val="center"/>
        </w:trPr>
        <w:tc>
          <w:tcPr>
            <w:tcW w:w="2970" w:type="dxa"/>
            <w:tcBorders>
              <w:top w:val="nil"/>
              <w:left w:val="single" w:sz="4" w:space="0" w:color="auto"/>
              <w:bottom w:val="nil"/>
              <w:right w:val="single" w:sz="4" w:space="0" w:color="auto"/>
            </w:tcBorders>
            <w:shd w:val="clear" w:color="auto" w:fill="auto"/>
            <w:noWrap/>
            <w:vAlign w:val="bottom"/>
            <w:hideMark/>
          </w:tcPr>
          <w:p w14:paraId="555A76E5" w14:textId="6364A98D" w:rsidR="00991538" w:rsidRPr="00C91661" w:rsidRDefault="00991538" w:rsidP="00991538">
            <w:pPr>
              <w:spacing w:after="0" w:line="240" w:lineRule="auto"/>
              <w:rPr>
                <w:rFonts w:eastAsia="Times New Roman" w:cs="Times New Roman"/>
                <w:b/>
                <w:bCs/>
                <w:color w:val="000000"/>
                <w:sz w:val="20"/>
                <w:szCs w:val="20"/>
              </w:rPr>
            </w:pPr>
            <w:r>
              <w:rPr>
                <w:rFonts w:eastAsia="Times New Roman" w:cs="Times New Roman"/>
                <w:b/>
                <w:bCs/>
                <w:color w:val="000000"/>
                <w:sz w:val="20"/>
                <w:szCs w:val="20"/>
              </w:rPr>
              <w:t>Population density</w:t>
            </w:r>
          </w:p>
        </w:tc>
        <w:tc>
          <w:tcPr>
            <w:tcW w:w="1260" w:type="dxa"/>
            <w:tcBorders>
              <w:top w:val="nil"/>
              <w:left w:val="nil"/>
              <w:bottom w:val="nil"/>
              <w:right w:val="nil"/>
            </w:tcBorders>
            <w:shd w:val="clear" w:color="auto" w:fill="auto"/>
            <w:noWrap/>
            <w:hideMark/>
          </w:tcPr>
          <w:p w14:paraId="0A902309" w14:textId="309906F3"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-4.68E-05</w:t>
            </w:r>
          </w:p>
        </w:tc>
        <w:tc>
          <w:tcPr>
            <w:tcW w:w="1170" w:type="dxa"/>
            <w:tcBorders>
              <w:top w:val="nil"/>
              <w:left w:val="nil"/>
              <w:bottom w:val="nil"/>
              <w:right w:val="nil"/>
            </w:tcBorders>
            <w:shd w:val="clear" w:color="auto" w:fill="auto"/>
            <w:noWrap/>
            <w:hideMark/>
          </w:tcPr>
          <w:p w14:paraId="569CD3B4" w14:textId="6707818D"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1.08E-05</w:t>
            </w:r>
          </w:p>
        </w:tc>
        <w:tc>
          <w:tcPr>
            <w:tcW w:w="990" w:type="dxa"/>
            <w:tcBorders>
              <w:top w:val="nil"/>
              <w:left w:val="nil"/>
              <w:bottom w:val="nil"/>
              <w:right w:val="single" w:sz="4" w:space="0" w:color="auto"/>
            </w:tcBorders>
            <w:shd w:val="clear" w:color="auto" w:fill="auto"/>
            <w:noWrap/>
            <w:hideMark/>
          </w:tcPr>
          <w:p w14:paraId="59728C83" w14:textId="3453FB3D"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1.10E-04</w:t>
            </w:r>
          </w:p>
        </w:tc>
        <w:tc>
          <w:tcPr>
            <w:tcW w:w="726" w:type="dxa"/>
            <w:tcBorders>
              <w:top w:val="nil"/>
              <w:left w:val="nil"/>
              <w:bottom w:val="nil"/>
              <w:right w:val="single" w:sz="4" w:space="0" w:color="auto"/>
            </w:tcBorders>
            <w:shd w:val="clear" w:color="auto" w:fill="auto"/>
            <w:noWrap/>
            <w:hideMark/>
          </w:tcPr>
          <w:p w14:paraId="1A855B8D" w14:textId="238FC1BA" w:rsidR="00991538" w:rsidRPr="00991538" w:rsidRDefault="00991538" w:rsidP="00991538">
            <w:pPr>
              <w:spacing w:after="0" w:line="240" w:lineRule="auto"/>
              <w:rPr>
                <w:rFonts w:eastAsia="Times New Roman" w:cs="Times New Roman"/>
                <w:color w:val="000000"/>
                <w:sz w:val="20"/>
                <w:szCs w:val="20"/>
              </w:rPr>
            </w:pPr>
            <w:r w:rsidRPr="00991538">
              <w:rPr>
                <w:rFonts w:cs="Times New Roman"/>
                <w:sz w:val="20"/>
                <w:szCs w:val="20"/>
              </w:rPr>
              <w:t>***</w:t>
            </w:r>
          </w:p>
        </w:tc>
      </w:tr>
      <w:tr w:rsidR="00991538" w:rsidRPr="00991538" w14:paraId="7EC645FA" w14:textId="77777777" w:rsidTr="00B65A90">
        <w:trPr>
          <w:gridAfter w:val="1"/>
          <w:wAfter w:w="222" w:type="dxa"/>
          <w:cantSplit/>
          <w:trHeight w:val="288"/>
          <w:jc w:val="center"/>
        </w:trPr>
        <w:tc>
          <w:tcPr>
            <w:tcW w:w="2970" w:type="dxa"/>
            <w:tcBorders>
              <w:top w:val="nil"/>
              <w:left w:val="single" w:sz="4" w:space="0" w:color="auto"/>
              <w:bottom w:val="nil"/>
              <w:right w:val="single" w:sz="4" w:space="0" w:color="auto"/>
            </w:tcBorders>
            <w:shd w:val="clear" w:color="auto" w:fill="auto"/>
            <w:noWrap/>
            <w:vAlign w:val="bottom"/>
            <w:hideMark/>
          </w:tcPr>
          <w:p w14:paraId="2C45283B" w14:textId="77777777" w:rsidR="00991538" w:rsidRPr="00C91661" w:rsidRDefault="00991538" w:rsidP="00991538">
            <w:pPr>
              <w:spacing w:after="0" w:line="240" w:lineRule="auto"/>
              <w:rPr>
                <w:rFonts w:eastAsia="Times New Roman" w:cs="Times New Roman"/>
                <w:b/>
                <w:bCs/>
                <w:color w:val="000000"/>
                <w:sz w:val="20"/>
                <w:szCs w:val="20"/>
              </w:rPr>
            </w:pPr>
            <w:r w:rsidRPr="00C91661">
              <w:rPr>
                <w:rFonts w:eastAsia="Times New Roman" w:cs="Times New Roman"/>
                <w:b/>
                <w:bCs/>
                <w:color w:val="000000"/>
                <w:sz w:val="20"/>
                <w:szCs w:val="20"/>
              </w:rPr>
              <w:t>Republican leading 2020</w:t>
            </w:r>
          </w:p>
        </w:tc>
        <w:tc>
          <w:tcPr>
            <w:tcW w:w="1260" w:type="dxa"/>
            <w:tcBorders>
              <w:top w:val="nil"/>
              <w:left w:val="nil"/>
              <w:bottom w:val="nil"/>
              <w:right w:val="nil"/>
            </w:tcBorders>
            <w:shd w:val="clear" w:color="auto" w:fill="auto"/>
            <w:noWrap/>
            <w:hideMark/>
          </w:tcPr>
          <w:p w14:paraId="74251BE6" w14:textId="0EA185D5"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3.96E-02</w:t>
            </w:r>
          </w:p>
        </w:tc>
        <w:tc>
          <w:tcPr>
            <w:tcW w:w="1170" w:type="dxa"/>
            <w:tcBorders>
              <w:top w:val="nil"/>
              <w:left w:val="nil"/>
              <w:bottom w:val="nil"/>
              <w:right w:val="nil"/>
            </w:tcBorders>
            <w:shd w:val="clear" w:color="auto" w:fill="auto"/>
            <w:noWrap/>
            <w:hideMark/>
          </w:tcPr>
          <w:p w14:paraId="4EAC36CC" w14:textId="13FE5206"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1.05E-02</w:t>
            </w:r>
          </w:p>
        </w:tc>
        <w:tc>
          <w:tcPr>
            <w:tcW w:w="990" w:type="dxa"/>
            <w:tcBorders>
              <w:top w:val="nil"/>
              <w:left w:val="nil"/>
              <w:bottom w:val="nil"/>
              <w:right w:val="single" w:sz="4" w:space="0" w:color="auto"/>
            </w:tcBorders>
            <w:shd w:val="clear" w:color="auto" w:fill="auto"/>
            <w:noWrap/>
            <w:hideMark/>
          </w:tcPr>
          <w:p w14:paraId="3FBF0DD8" w14:textId="1680BBA8"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5.85E-04</w:t>
            </w:r>
          </w:p>
        </w:tc>
        <w:tc>
          <w:tcPr>
            <w:tcW w:w="726" w:type="dxa"/>
            <w:tcBorders>
              <w:top w:val="nil"/>
              <w:left w:val="nil"/>
              <w:bottom w:val="nil"/>
              <w:right w:val="single" w:sz="4" w:space="0" w:color="auto"/>
            </w:tcBorders>
            <w:shd w:val="clear" w:color="auto" w:fill="auto"/>
            <w:noWrap/>
            <w:hideMark/>
          </w:tcPr>
          <w:p w14:paraId="1F82FA3A" w14:textId="55825F51" w:rsidR="00991538" w:rsidRPr="00991538" w:rsidRDefault="00991538" w:rsidP="00991538">
            <w:pPr>
              <w:spacing w:after="0" w:line="240" w:lineRule="auto"/>
              <w:rPr>
                <w:rFonts w:eastAsia="Times New Roman" w:cs="Times New Roman"/>
                <w:color w:val="000000"/>
                <w:sz w:val="20"/>
                <w:szCs w:val="20"/>
              </w:rPr>
            </w:pPr>
            <w:r w:rsidRPr="00991538">
              <w:rPr>
                <w:rFonts w:cs="Times New Roman"/>
                <w:sz w:val="20"/>
                <w:szCs w:val="20"/>
              </w:rPr>
              <w:t>***</w:t>
            </w:r>
          </w:p>
        </w:tc>
      </w:tr>
      <w:tr w:rsidR="00991538" w:rsidRPr="00991538" w14:paraId="0AEEBBBD" w14:textId="77777777" w:rsidTr="00B65A90">
        <w:trPr>
          <w:gridAfter w:val="1"/>
          <w:wAfter w:w="222" w:type="dxa"/>
          <w:cantSplit/>
          <w:trHeight w:val="288"/>
          <w:jc w:val="center"/>
        </w:trPr>
        <w:tc>
          <w:tcPr>
            <w:tcW w:w="2970" w:type="dxa"/>
            <w:tcBorders>
              <w:top w:val="nil"/>
              <w:left w:val="single" w:sz="4" w:space="0" w:color="auto"/>
              <w:bottom w:val="nil"/>
              <w:right w:val="single" w:sz="4" w:space="0" w:color="auto"/>
            </w:tcBorders>
            <w:shd w:val="clear" w:color="auto" w:fill="auto"/>
            <w:noWrap/>
            <w:vAlign w:val="bottom"/>
            <w:hideMark/>
          </w:tcPr>
          <w:p w14:paraId="17778FE5" w14:textId="576C22FF" w:rsidR="00991538" w:rsidRPr="00C91661" w:rsidRDefault="00991538" w:rsidP="00991538">
            <w:pPr>
              <w:spacing w:after="0" w:line="240" w:lineRule="auto"/>
              <w:rPr>
                <w:rFonts w:eastAsia="Times New Roman" w:cs="Times New Roman"/>
                <w:b/>
                <w:bCs/>
                <w:color w:val="000000"/>
                <w:sz w:val="20"/>
                <w:szCs w:val="20"/>
              </w:rPr>
            </w:pPr>
            <w:r>
              <w:rPr>
                <w:rFonts w:eastAsia="Times New Roman" w:cs="Times New Roman"/>
                <w:b/>
                <w:bCs/>
                <w:color w:val="000000"/>
                <w:sz w:val="20"/>
                <w:szCs w:val="20"/>
              </w:rPr>
              <w:t>Total no. of death (14 days ago)</w:t>
            </w:r>
          </w:p>
        </w:tc>
        <w:tc>
          <w:tcPr>
            <w:tcW w:w="1260" w:type="dxa"/>
            <w:tcBorders>
              <w:top w:val="nil"/>
              <w:left w:val="nil"/>
              <w:bottom w:val="nil"/>
              <w:right w:val="nil"/>
            </w:tcBorders>
            <w:shd w:val="clear" w:color="auto" w:fill="auto"/>
            <w:noWrap/>
            <w:hideMark/>
          </w:tcPr>
          <w:p w14:paraId="60D7F245" w14:textId="50DD048E"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-7.02E-07</w:t>
            </w:r>
          </w:p>
        </w:tc>
        <w:tc>
          <w:tcPr>
            <w:tcW w:w="1170" w:type="dxa"/>
            <w:tcBorders>
              <w:top w:val="nil"/>
              <w:left w:val="nil"/>
              <w:bottom w:val="nil"/>
              <w:right w:val="nil"/>
            </w:tcBorders>
            <w:shd w:val="clear" w:color="auto" w:fill="auto"/>
            <w:noWrap/>
            <w:hideMark/>
          </w:tcPr>
          <w:p w14:paraId="5776361A" w14:textId="2C1091D7"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1.98E-07</w:t>
            </w:r>
          </w:p>
        </w:tc>
        <w:tc>
          <w:tcPr>
            <w:tcW w:w="990" w:type="dxa"/>
            <w:tcBorders>
              <w:top w:val="nil"/>
              <w:left w:val="nil"/>
              <w:bottom w:val="nil"/>
              <w:right w:val="single" w:sz="4" w:space="0" w:color="auto"/>
            </w:tcBorders>
            <w:shd w:val="clear" w:color="auto" w:fill="auto"/>
            <w:noWrap/>
            <w:hideMark/>
          </w:tcPr>
          <w:p w14:paraId="6D067901" w14:textId="2DC91FBA"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1.07E-03</w:t>
            </w:r>
          </w:p>
        </w:tc>
        <w:tc>
          <w:tcPr>
            <w:tcW w:w="726" w:type="dxa"/>
            <w:tcBorders>
              <w:top w:val="nil"/>
              <w:left w:val="nil"/>
              <w:bottom w:val="nil"/>
              <w:right w:val="single" w:sz="4" w:space="0" w:color="auto"/>
            </w:tcBorders>
            <w:shd w:val="clear" w:color="auto" w:fill="auto"/>
            <w:noWrap/>
            <w:hideMark/>
          </w:tcPr>
          <w:p w14:paraId="2C5D1B58" w14:textId="7E205478" w:rsidR="00991538" w:rsidRPr="00991538" w:rsidRDefault="00991538" w:rsidP="00991538">
            <w:pPr>
              <w:spacing w:after="0" w:line="240" w:lineRule="auto"/>
              <w:rPr>
                <w:rFonts w:eastAsia="Times New Roman" w:cs="Times New Roman"/>
                <w:color w:val="000000"/>
                <w:sz w:val="20"/>
                <w:szCs w:val="20"/>
              </w:rPr>
            </w:pPr>
            <w:r w:rsidRPr="00991538">
              <w:rPr>
                <w:rFonts w:cs="Times New Roman"/>
                <w:sz w:val="20"/>
                <w:szCs w:val="20"/>
              </w:rPr>
              <w:t>**</w:t>
            </w:r>
          </w:p>
        </w:tc>
      </w:tr>
      <w:tr w:rsidR="00991538" w:rsidRPr="00991538" w14:paraId="59662888" w14:textId="77777777" w:rsidTr="00B65A90">
        <w:trPr>
          <w:gridAfter w:val="1"/>
          <w:wAfter w:w="222" w:type="dxa"/>
          <w:cantSplit/>
          <w:trHeight w:val="288"/>
          <w:jc w:val="center"/>
        </w:trPr>
        <w:tc>
          <w:tcPr>
            <w:tcW w:w="2970" w:type="dxa"/>
            <w:tcBorders>
              <w:top w:val="nil"/>
              <w:left w:val="single" w:sz="4" w:space="0" w:color="auto"/>
              <w:bottom w:val="nil"/>
              <w:right w:val="single" w:sz="4" w:space="0" w:color="auto"/>
            </w:tcBorders>
            <w:shd w:val="clear" w:color="auto" w:fill="auto"/>
            <w:noWrap/>
            <w:vAlign w:val="bottom"/>
            <w:hideMark/>
          </w:tcPr>
          <w:p w14:paraId="03A5010E" w14:textId="10A9B530" w:rsidR="00991538" w:rsidRPr="00C91661" w:rsidRDefault="00991538" w:rsidP="00991538">
            <w:pPr>
              <w:spacing w:after="0" w:line="240" w:lineRule="auto"/>
              <w:rPr>
                <w:rFonts w:eastAsia="Times New Roman" w:cs="Times New Roman"/>
                <w:b/>
                <w:bCs/>
                <w:color w:val="000000"/>
                <w:sz w:val="20"/>
                <w:szCs w:val="20"/>
              </w:rPr>
            </w:pPr>
            <w:r>
              <w:rPr>
                <w:rFonts w:eastAsia="Times New Roman" w:cs="Times New Roman"/>
                <w:b/>
                <w:bCs/>
                <w:color w:val="000000"/>
                <w:sz w:val="20"/>
                <w:szCs w:val="20"/>
              </w:rPr>
              <w:t>% Fully vaccinated (7 days ago)</w:t>
            </w:r>
          </w:p>
        </w:tc>
        <w:tc>
          <w:tcPr>
            <w:tcW w:w="1260" w:type="dxa"/>
            <w:tcBorders>
              <w:top w:val="nil"/>
              <w:left w:val="nil"/>
              <w:bottom w:val="nil"/>
              <w:right w:val="nil"/>
            </w:tcBorders>
            <w:shd w:val="clear" w:color="auto" w:fill="auto"/>
            <w:noWrap/>
            <w:hideMark/>
          </w:tcPr>
          <w:p w14:paraId="6C261CD2" w14:textId="10DCFFD7"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-1.14E-01</w:t>
            </w:r>
          </w:p>
        </w:tc>
        <w:tc>
          <w:tcPr>
            <w:tcW w:w="1170" w:type="dxa"/>
            <w:tcBorders>
              <w:top w:val="nil"/>
              <w:left w:val="nil"/>
              <w:bottom w:val="nil"/>
              <w:right w:val="nil"/>
            </w:tcBorders>
            <w:shd w:val="clear" w:color="auto" w:fill="auto"/>
            <w:noWrap/>
            <w:hideMark/>
          </w:tcPr>
          <w:p w14:paraId="0D2CA0F9" w14:textId="4F651609"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6.57E-02</w:t>
            </w:r>
          </w:p>
        </w:tc>
        <w:tc>
          <w:tcPr>
            <w:tcW w:w="990" w:type="dxa"/>
            <w:tcBorders>
              <w:top w:val="nil"/>
              <w:left w:val="nil"/>
              <w:bottom w:val="nil"/>
              <w:right w:val="single" w:sz="4" w:space="0" w:color="auto"/>
            </w:tcBorders>
            <w:shd w:val="clear" w:color="auto" w:fill="auto"/>
            <w:noWrap/>
            <w:hideMark/>
          </w:tcPr>
          <w:p w14:paraId="04282D87" w14:textId="6FF9E7B7"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0.09</w:t>
            </w:r>
          </w:p>
        </w:tc>
        <w:tc>
          <w:tcPr>
            <w:tcW w:w="726" w:type="dxa"/>
            <w:tcBorders>
              <w:top w:val="nil"/>
              <w:left w:val="nil"/>
              <w:bottom w:val="nil"/>
              <w:right w:val="single" w:sz="4" w:space="0" w:color="auto"/>
            </w:tcBorders>
            <w:shd w:val="clear" w:color="auto" w:fill="auto"/>
            <w:noWrap/>
            <w:hideMark/>
          </w:tcPr>
          <w:p w14:paraId="146748F2" w14:textId="39557981" w:rsidR="00991538" w:rsidRPr="00991538" w:rsidRDefault="00991538" w:rsidP="00991538">
            <w:pPr>
              <w:spacing w:after="0" w:line="240" w:lineRule="auto"/>
              <w:rPr>
                <w:rFonts w:eastAsia="Times New Roman" w:cs="Times New Roman"/>
                <w:color w:val="000000"/>
                <w:sz w:val="20"/>
                <w:szCs w:val="20"/>
              </w:rPr>
            </w:pPr>
            <w:r>
              <w:rPr>
                <w:rFonts w:eastAsia="Times New Roman" w:cs="Times New Roman"/>
                <w:color w:val="000000"/>
                <w:sz w:val="20"/>
                <w:szCs w:val="20"/>
              </w:rPr>
              <w:t>.</w:t>
            </w:r>
          </w:p>
        </w:tc>
      </w:tr>
      <w:tr w:rsidR="00991538" w:rsidRPr="00991538" w14:paraId="0727CBBB" w14:textId="77777777" w:rsidTr="00B65A90">
        <w:trPr>
          <w:gridAfter w:val="1"/>
          <w:wAfter w:w="222" w:type="dxa"/>
          <w:cantSplit/>
          <w:trHeight w:val="288"/>
          <w:jc w:val="center"/>
        </w:trPr>
        <w:tc>
          <w:tcPr>
            <w:tcW w:w="2970" w:type="dxa"/>
            <w:tcBorders>
              <w:top w:val="nil"/>
              <w:left w:val="single" w:sz="4" w:space="0" w:color="auto"/>
              <w:bottom w:val="nil"/>
              <w:right w:val="single" w:sz="4" w:space="0" w:color="auto"/>
            </w:tcBorders>
            <w:shd w:val="clear" w:color="auto" w:fill="auto"/>
            <w:noWrap/>
            <w:vAlign w:val="bottom"/>
            <w:hideMark/>
          </w:tcPr>
          <w:p w14:paraId="3F2DC139" w14:textId="33C9FA67" w:rsidR="00991538" w:rsidRPr="00C91661" w:rsidRDefault="00991538" w:rsidP="00991538">
            <w:pPr>
              <w:spacing w:after="0" w:line="240" w:lineRule="auto"/>
              <w:rPr>
                <w:rFonts w:eastAsia="Times New Roman" w:cs="Times New Roman"/>
                <w:b/>
                <w:bCs/>
                <w:color w:val="000000"/>
                <w:sz w:val="20"/>
                <w:szCs w:val="20"/>
              </w:rPr>
            </w:pPr>
            <w:r>
              <w:rPr>
                <w:rFonts w:eastAsia="Times New Roman" w:cs="Times New Roman"/>
                <w:b/>
                <w:bCs/>
                <w:color w:val="000000"/>
                <w:sz w:val="20"/>
                <w:szCs w:val="20"/>
              </w:rPr>
              <w:t xml:space="preserve">% Mobility </w:t>
            </w:r>
            <w:proofErr w:type="gramStart"/>
            <w:r>
              <w:rPr>
                <w:rFonts w:eastAsia="Times New Roman" w:cs="Times New Roman"/>
                <w:b/>
                <w:bCs/>
                <w:color w:val="000000"/>
                <w:sz w:val="20"/>
                <w:szCs w:val="20"/>
              </w:rPr>
              <w:t>change</w:t>
            </w:r>
            <w:proofErr w:type="gramEnd"/>
            <w:r>
              <w:rPr>
                <w:rFonts w:eastAsia="Times New Roman" w:cs="Times New Roman"/>
                <w:b/>
                <w:bCs/>
                <w:color w:val="000000"/>
                <w:sz w:val="20"/>
                <w:szCs w:val="20"/>
              </w:rPr>
              <w:t xml:space="preserve"> 7 days ago (residential)</w:t>
            </w:r>
          </w:p>
        </w:tc>
        <w:tc>
          <w:tcPr>
            <w:tcW w:w="1260" w:type="dxa"/>
            <w:tcBorders>
              <w:top w:val="nil"/>
              <w:left w:val="nil"/>
              <w:bottom w:val="nil"/>
              <w:right w:val="nil"/>
            </w:tcBorders>
            <w:shd w:val="clear" w:color="auto" w:fill="auto"/>
            <w:noWrap/>
            <w:hideMark/>
          </w:tcPr>
          <w:p w14:paraId="595A7D0D" w14:textId="3BA2B1B4"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6.16E-03</w:t>
            </w:r>
          </w:p>
        </w:tc>
        <w:tc>
          <w:tcPr>
            <w:tcW w:w="1170" w:type="dxa"/>
            <w:tcBorders>
              <w:top w:val="nil"/>
              <w:left w:val="nil"/>
              <w:bottom w:val="nil"/>
              <w:right w:val="nil"/>
            </w:tcBorders>
            <w:shd w:val="clear" w:color="auto" w:fill="auto"/>
            <w:noWrap/>
            <w:hideMark/>
          </w:tcPr>
          <w:p w14:paraId="7F7C314A" w14:textId="5E1E8210"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2.41E-03</w:t>
            </w:r>
          </w:p>
        </w:tc>
        <w:tc>
          <w:tcPr>
            <w:tcW w:w="990" w:type="dxa"/>
            <w:tcBorders>
              <w:top w:val="nil"/>
              <w:left w:val="nil"/>
              <w:bottom w:val="nil"/>
              <w:right w:val="single" w:sz="4" w:space="0" w:color="auto"/>
            </w:tcBorders>
            <w:shd w:val="clear" w:color="auto" w:fill="auto"/>
            <w:noWrap/>
            <w:hideMark/>
          </w:tcPr>
          <w:p w14:paraId="5A7BCE5B" w14:textId="211F5D7E"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0.01</w:t>
            </w:r>
          </w:p>
        </w:tc>
        <w:tc>
          <w:tcPr>
            <w:tcW w:w="726" w:type="dxa"/>
            <w:tcBorders>
              <w:top w:val="nil"/>
              <w:left w:val="nil"/>
              <w:bottom w:val="nil"/>
              <w:right w:val="single" w:sz="4" w:space="0" w:color="auto"/>
            </w:tcBorders>
            <w:shd w:val="clear" w:color="auto" w:fill="auto"/>
            <w:noWrap/>
            <w:hideMark/>
          </w:tcPr>
          <w:p w14:paraId="5AA8573E" w14:textId="1F2311B9" w:rsidR="00991538" w:rsidRPr="00991538" w:rsidRDefault="00991538" w:rsidP="00991538">
            <w:pPr>
              <w:spacing w:after="0" w:line="240" w:lineRule="auto"/>
              <w:rPr>
                <w:rFonts w:eastAsia="Times New Roman" w:cs="Times New Roman"/>
                <w:color w:val="000000"/>
                <w:sz w:val="20"/>
                <w:szCs w:val="20"/>
              </w:rPr>
            </w:pPr>
            <w:r>
              <w:rPr>
                <w:rFonts w:eastAsia="Times New Roman" w:cs="Times New Roman"/>
                <w:color w:val="000000"/>
                <w:sz w:val="20"/>
                <w:szCs w:val="20"/>
              </w:rPr>
              <w:t>*</w:t>
            </w:r>
          </w:p>
        </w:tc>
      </w:tr>
      <w:tr w:rsidR="00991538" w:rsidRPr="00991538" w14:paraId="74278BB3" w14:textId="77777777" w:rsidTr="00B65A90">
        <w:trPr>
          <w:gridAfter w:val="1"/>
          <w:wAfter w:w="222" w:type="dxa"/>
          <w:cantSplit/>
          <w:trHeight w:val="288"/>
          <w:jc w:val="center"/>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1CBF6F1F" w14:textId="70277503" w:rsidR="00991538" w:rsidRPr="00C91661" w:rsidRDefault="00991538" w:rsidP="00991538">
            <w:pPr>
              <w:spacing w:after="0" w:line="240" w:lineRule="auto"/>
              <w:rPr>
                <w:rFonts w:eastAsia="Times New Roman" w:cs="Times New Roman"/>
                <w:b/>
                <w:bCs/>
                <w:color w:val="000000"/>
                <w:sz w:val="20"/>
                <w:szCs w:val="20"/>
              </w:rPr>
            </w:pPr>
            <w:r>
              <w:rPr>
                <w:rFonts w:eastAsia="Times New Roman" w:cs="Times New Roman"/>
                <w:b/>
                <w:bCs/>
                <w:color w:val="000000"/>
                <w:sz w:val="20"/>
                <w:szCs w:val="20"/>
              </w:rPr>
              <w:t xml:space="preserve">% Mobility </w:t>
            </w:r>
            <w:proofErr w:type="gramStart"/>
            <w:r>
              <w:rPr>
                <w:rFonts w:eastAsia="Times New Roman" w:cs="Times New Roman"/>
                <w:b/>
                <w:bCs/>
                <w:color w:val="000000"/>
                <w:sz w:val="20"/>
                <w:szCs w:val="20"/>
              </w:rPr>
              <w:t>change</w:t>
            </w:r>
            <w:proofErr w:type="gramEnd"/>
            <w:r>
              <w:rPr>
                <w:rFonts w:eastAsia="Times New Roman" w:cs="Times New Roman"/>
                <w:b/>
                <w:bCs/>
                <w:color w:val="000000"/>
                <w:sz w:val="20"/>
                <w:szCs w:val="20"/>
              </w:rPr>
              <w:t xml:space="preserve"> 7 days ago (workplace)</w:t>
            </w:r>
          </w:p>
        </w:tc>
        <w:tc>
          <w:tcPr>
            <w:tcW w:w="1260" w:type="dxa"/>
            <w:tcBorders>
              <w:top w:val="nil"/>
              <w:left w:val="nil"/>
              <w:bottom w:val="nil"/>
              <w:right w:val="nil"/>
            </w:tcBorders>
            <w:shd w:val="clear" w:color="auto" w:fill="auto"/>
            <w:noWrap/>
            <w:hideMark/>
          </w:tcPr>
          <w:p w14:paraId="7716B5DA" w14:textId="335AFEE3"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1.25E-02</w:t>
            </w:r>
          </w:p>
        </w:tc>
        <w:tc>
          <w:tcPr>
            <w:tcW w:w="1170" w:type="dxa"/>
            <w:tcBorders>
              <w:top w:val="nil"/>
              <w:left w:val="nil"/>
              <w:bottom w:val="nil"/>
              <w:right w:val="nil"/>
            </w:tcBorders>
            <w:shd w:val="clear" w:color="auto" w:fill="auto"/>
            <w:noWrap/>
            <w:hideMark/>
          </w:tcPr>
          <w:p w14:paraId="3D4B51E0" w14:textId="7021EBFE"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5.04E-03</w:t>
            </w:r>
          </w:p>
        </w:tc>
        <w:tc>
          <w:tcPr>
            <w:tcW w:w="990" w:type="dxa"/>
            <w:tcBorders>
              <w:top w:val="nil"/>
              <w:left w:val="nil"/>
              <w:bottom w:val="nil"/>
              <w:right w:val="single" w:sz="4" w:space="0" w:color="auto"/>
            </w:tcBorders>
            <w:shd w:val="clear" w:color="auto" w:fill="auto"/>
            <w:noWrap/>
            <w:hideMark/>
          </w:tcPr>
          <w:p w14:paraId="0D90C496" w14:textId="76DC9EBA" w:rsidR="00991538" w:rsidRPr="00991538" w:rsidRDefault="00991538" w:rsidP="00991538">
            <w:pPr>
              <w:spacing w:after="0" w:line="240" w:lineRule="auto"/>
              <w:jc w:val="right"/>
              <w:rPr>
                <w:rFonts w:eastAsia="Times New Roman" w:cs="Times New Roman"/>
                <w:color w:val="000000"/>
                <w:sz w:val="20"/>
                <w:szCs w:val="20"/>
              </w:rPr>
            </w:pPr>
            <w:r w:rsidRPr="00991538">
              <w:rPr>
                <w:sz w:val="20"/>
                <w:szCs w:val="20"/>
              </w:rPr>
              <w:t>0.02</w:t>
            </w:r>
          </w:p>
        </w:tc>
        <w:tc>
          <w:tcPr>
            <w:tcW w:w="726" w:type="dxa"/>
            <w:tcBorders>
              <w:top w:val="nil"/>
              <w:left w:val="nil"/>
              <w:bottom w:val="single" w:sz="4" w:space="0" w:color="auto"/>
              <w:right w:val="single" w:sz="4" w:space="0" w:color="auto"/>
            </w:tcBorders>
            <w:shd w:val="clear" w:color="auto" w:fill="auto"/>
            <w:noWrap/>
            <w:hideMark/>
          </w:tcPr>
          <w:p w14:paraId="05D2698A" w14:textId="1F6BA11A" w:rsidR="00991538" w:rsidRPr="00991538" w:rsidRDefault="00991538" w:rsidP="00991538">
            <w:pPr>
              <w:spacing w:after="0" w:line="240" w:lineRule="auto"/>
              <w:rPr>
                <w:rFonts w:eastAsia="Times New Roman" w:cs="Times New Roman"/>
                <w:color w:val="000000"/>
                <w:sz w:val="20"/>
                <w:szCs w:val="20"/>
              </w:rPr>
            </w:pPr>
            <w:r>
              <w:rPr>
                <w:rFonts w:eastAsia="Times New Roman" w:cs="Times New Roman"/>
                <w:color w:val="000000"/>
                <w:sz w:val="20"/>
                <w:szCs w:val="20"/>
              </w:rPr>
              <w:t>*</w:t>
            </w:r>
          </w:p>
        </w:tc>
      </w:tr>
      <w:tr w:rsidR="00C91661" w:rsidRPr="00C91661" w14:paraId="7C568A12" w14:textId="77777777" w:rsidTr="00B65A90">
        <w:trPr>
          <w:gridAfter w:val="1"/>
          <w:wAfter w:w="222" w:type="dxa"/>
          <w:cantSplit/>
          <w:trHeight w:val="458"/>
          <w:jc w:val="center"/>
        </w:trPr>
        <w:tc>
          <w:tcPr>
            <w:tcW w:w="7116" w:type="dxa"/>
            <w:gridSpan w:val="5"/>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C27578D" w14:textId="1795791A" w:rsidR="00C91661" w:rsidRPr="00C91661" w:rsidRDefault="00C91661" w:rsidP="00C91661">
            <w:pPr>
              <w:spacing w:after="0" w:line="240" w:lineRule="auto"/>
              <w:jc w:val="right"/>
              <w:rPr>
                <w:rFonts w:eastAsia="Times New Roman" w:cs="Times New Roman"/>
                <w:b/>
                <w:bCs/>
                <w:color w:val="000000"/>
                <w:sz w:val="20"/>
                <w:szCs w:val="20"/>
              </w:rPr>
            </w:pPr>
            <w:r w:rsidRPr="00C91661">
              <w:rPr>
                <w:rFonts w:eastAsia="Times New Roman" w:cs="Times New Roman"/>
                <w:b/>
                <w:bCs/>
                <w:color w:val="000000"/>
                <w:sz w:val="20"/>
                <w:szCs w:val="20"/>
              </w:rPr>
              <w:t>R-squared: 0.7</w:t>
            </w:r>
            <w:r w:rsidR="00991538">
              <w:rPr>
                <w:rFonts w:eastAsia="Times New Roman" w:cs="Times New Roman"/>
                <w:b/>
                <w:bCs/>
                <w:color w:val="000000"/>
                <w:sz w:val="20"/>
                <w:szCs w:val="20"/>
              </w:rPr>
              <w:t>5</w:t>
            </w:r>
            <w:r w:rsidRPr="00C91661">
              <w:rPr>
                <w:rFonts w:eastAsia="Times New Roman" w:cs="Times New Roman"/>
                <w:b/>
                <w:bCs/>
                <w:color w:val="000000"/>
                <w:sz w:val="20"/>
                <w:szCs w:val="20"/>
              </w:rPr>
              <w:br/>
              <w:t>Adjusted R-squared: 0.6</w:t>
            </w:r>
            <w:r w:rsidR="00991538">
              <w:rPr>
                <w:rFonts w:eastAsia="Times New Roman" w:cs="Times New Roman"/>
                <w:b/>
                <w:bCs/>
                <w:color w:val="000000"/>
                <w:sz w:val="20"/>
                <w:szCs w:val="20"/>
              </w:rPr>
              <w:t>7</w:t>
            </w:r>
          </w:p>
        </w:tc>
      </w:tr>
      <w:tr w:rsidR="00C91661" w:rsidRPr="00C91661" w14:paraId="489E4936" w14:textId="77777777" w:rsidTr="00B65A90">
        <w:trPr>
          <w:cantSplit/>
          <w:trHeight w:val="288"/>
          <w:jc w:val="center"/>
        </w:trPr>
        <w:tc>
          <w:tcPr>
            <w:tcW w:w="7116" w:type="dxa"/>
            <w:gridSpan w:val="5"/>
            <w:vMerge/>
            <w:tcBorders>
              <w:top w:val="single" w:sz="4" w:space="0" w:color="auto"/>
              <w:left w:val="single" w:sz="4" w:space="0" w:color="auto"/>
              <w:bottom w:val="single" w:sz="4" w:space="0" w:color="000000"/>
              <w:right w:val="single" w:sz="4" w:space="0" w:color="000000"/>
            </w:tcBorders>
            <w:vAlign w:val="center"/>
            <w:hideMark/>
          </w:tcPr>
          <w:p w14:paraId="1EFBCA2E" w14:textId="77777777" w:rsidR="00C91661" w:rsidRPr="00C91661" w:rsidRDefault="00C91661" w:rsidP="00C91661">
            <w:pPr>
              <w:spacing w:after="0" w:line="240" w:lineRule="auto"/>
              <w:rPr>
                <w:rFonts w:eastAsia="Times New Roman" w:cs="Times New Roman"/>
                <w:b/>
                <w:bCs/>
                <w:color w:val="000000"/>
                <w:sz w:val="20"/>
                <w:szCs w:val="20"/>
              </w:rPr>
            </w:pPr>
          </w:p>
        </w:tc>
        <w:tc>
          <w:tcPr>
            <w:tcW w:w="222" w:type="dxa"/>
            <w:tcBorders>
              <w:top w:val="nil"/>
              <w:left w:val="nil"/>
              <w:bottom w:val="nil"/>
              <w:right w:val="nil"/>
            </w:tcBorders>
            <w:shd w:val="clear" w:color="auto" w:fill="auto"/>
            <w:noWrap/>
            <w:vAlign w:val="bottom"/>
            <w:hideMark/>
          </w:tcPr>
          <w:p w14:paraId="3C880115" w14:textId="77777777" w:rsidR="00C91661" w:rsidRPr="00C91661" w:rsidRDefault="00C91661" w:rsidP="00C91661">
            <w:pPr>
              <w:spacing w:after="0" w:line="240" w:lineRule="auto"/>
              <w:jc w:val="right"/>
              <w:rPr>
                <w:rFonts w:eastAsia="Times New Roman" w:cs="Times New Roman"/>
                <w:b/>
                <w:bCs/>
                <w:color w:val="000000"/>
                <w:sz w:val="20"/>
                <w:szCs w:val="20"/>
              </w:rPr>
            </w:pPr>
          </w:p>
        </w:tc>
      </w:tr>
    </w:tbl>
    <w:p w14:paraId="0A60DC1B" w14:textId="5C539FC1" w:rsidR="00B958B4" w:rsidRDefault="006012F4" w:rsidP="003B7782">
      <w:pPr>
        <w:rPr>
          <w:sz w:val="22"/>
        </w:rPr>
      </w:pPr>
      <w:r>
        <w:fldChar w:fldCharType="begin"/>
      </w:r>
      <w:r>
        <w:instrText xml:space="preserve"> LINK </w:instrText>
      </w:r>
      <w:r w:rsidR="00B958B4">
        <w:instrText xml:space="preserve">Excel.Sheet.12 "C:\\Users\\Qianhua\\Desktop\\Courses\\2021 Fall\\STAT256 Causal Inference\\STAT256 Final project-mask mandate\\Data\\variables.xlsx" "Model result!R1C1:R13C4" </w:instrText>
      </w:r>
      <w:r>
        <w:instrText xml:space="preserve">\a \f 4 \h </w:instrText>
      </w:r>
      <w:r>
        <w:fldChar w:fldCharType="separate"/>
      </w:r>
    </w:p>
    <w:p w14:paraId="681553D0" w14:textId="77777777" w:rsidR="00525DFD" w:rsidRDefault="006012F4" w:rsidP="00B65A90">
      <w:pPr>
        <w:pStyle w:val="Heading2"/>
      </w:pPr>
      <w:r>
        <w:fldChar w:fldCharType="end"/>
      </w:r>
      <w:bookmarkStart w:id="11" w:name="_Toc90165230"/>
      <w:r w:rsidR="00525DFD" w:rsidRPr="00525DFD">
        <w:t>Propensity Score Weighting</w:t>
      </w:r>
      <w:bookmarkEnd w:id="11"/>
    </w:p>
    <w:p w14:paraId="01909FA5" w14:textId="332647DE" w:rsidR="00A921F7" w:rsidRDefault="00ED1C62" w:rsidP="007B52B4">
      <w:r>
        <w:t>The estimation of propensity score based on parametric model, such as binomial logit, suffers from model misspecifications. Random forest, averaging outcomes from many decision trees, is nonparametric in nature</w:t>
      </w:r>
      <w:r w:rsidR="00470370">
        <w:t xml:space="preserve"> and thus</w:t>
      </w:r>
      <w:r w:rsidR="00EA717D">
        <w:t xml:space="preserve"> helps </w:t>
      </w:r>
      <w:r w:rsidR="00A60546">
        <w:t>overcome the specification challenge</w:t>
      </w:r>
      <w:r w:rsidR="00470370">
        <w:t>. Therefore, f</w:t>
      </w:r>
      <w:r w:rsidR="00EA717D">
        <w:t>or this study, we use the {</w:t>
      </w:r>
      <w:proofErr w:type="spellStart"/>
      <w:r w:rsidR="00EA717D">
        <w:t>randomForest</w:t>
      </w:r>
      <w:proofErr w:type="spellEnd"/>
      <w:r w:rsidR="00EA717D">
        <w:t xml:space="preserve">} package in R for propensity score estimation. </w:t>
      </w:r>
      <w:r w:rsidR="001C2EC8">
        <w:t>For each data point, t</w:t>
      </w:r>
      <w:r w:rsidR="00DB479D">
        <w:t xml:space="preserve">he propensity </w:t>
      </w:r>
      <w:r w:rsidR="001C2EC8">
        <w:t xml:space="preserve">score </w:t>
      </w:r>
      <w:r w:rsidR="00DB479D">
        <w:t xml:space="preserve">will be estimated as the </w:t>
      </w:r>
      <w:r w:rsidR="001C2EC8">
        <w:t>fraction of OOB votes from the random forest.</w:t>
      </w:r>
      <w:r w:rsidR="00376311">
        <w:t xml:space="preserve"> </w:t>
      </w:r>
      <w:r w:rsidR="00376311" w:rsidRPr="00376311">
        <w:rPr>
          <w:b/>
          <w:bCs/>
        </w:rPr>
        <w:fldChar w:fldCharType="begin"/>
      </w:r>
      <w:r w:rsidR="00376311" w:rsidRPr="00376311">
        <w:rPr>
          <w:b/>
          <w:bCs/>
        </w:rPr>
        <w:instrText xml:space="preserve"> REF _Ref89983736 \h </w:instrText>
      </w:r>
      <w:r w:rsidR="00376311">
        <w:rPr>
          <w:b/>
          <w:bCs/>
        </w:rPr>
        <w:instrText xml:space="preserve"> \* MERGEFORMAT </w:instrText>
      </w:r>
      <w:r w:rsidR="00376311" w:rsidRPr="00376311">
        <w:rPr>
          <w:b/>
          <w:bCs/>
        </w:rPr>
      </w:r>
      <w:r w:rsidR="00376311" w:rsidRPr="00376311">
        <w:rPr>
          <w:b/>
          <w:bCs/>
        </w:rPr>
        <w:fldChar w:fldCharType="separate"/>
      </w:r>
      <w:r w:rsidR="009E02A0" w:rsidRPr="009E02A0">
        <w:rPr>
          <w:b/>
          <w:bCs/>
        </w:rPr>
        <w:t xml:space="preserve">Figure </w:t>
      </w:r>
      <w:r w:rsidR="009E02A0" w:rsidRPr="009E02A0">
        <w:rPr>
          <w:b/>
          <w:bCs/>
          <w:noProof/>
        </w:rPr>
        <w:t>1</w:t>
      </w:r>
      <w:r w:rsidR="00376311" w:rsidRPr="00376311">
        <w:rPr>
          <w:b/>
          <w:bCs/>
        </w:rPr>
        <w:fldChar w:fldCharType="end"/>
      </w:r>
      <w:r w:rsidR="00376311">
        <w:t xml:space="preserve"> shows the distribution of estimated propensity score by treatment group</w:t>
      </w:r>
      <w:r w:rsidR="00AF1877">
        <w:t xml:space="preserve"> from one random forest</w:t>
      </w:r>
      <w:r w:rsidR="00376311">
        <w:t xml:space="preserve">. We can see that the </w:t>
      </w:r>
      <w:r w:rsidR="00627634">
        <w:t xml:space="preserve">estimated </w:t>
      </w:r>
      <w:r w:rsidR="00376311">
        <w:t xml:space="preserve">propensity score </w:t>
      </w:r>
      <w:r w:rsidR="00627634">
        <w:t xml:space="preserve">for control group with no mask mandate is not </w:t>
      </w:r>
      <w:r w:rsidR="00203BBF">
        <w:t xml:space="preserve">always </w:t>
      </w:r>
      <w:r w:rsidR="00627634">
        <w:t xml:space="preserve">bounded away from zero. </w:t>
      </w:r>
      <w:r w:rsidR="00203BBF">
        <w:t>It</w:t>
      </w:r>
      <w:r w:rsidR="00DE5DE9">
        <w:t xml:space="preserve"> means that the positivity assumption </w:t>
      </w:r>
      <w:r w:rsidR="00203BBF">
        <w:t xml:space="preserve">can be </w:t>
      </w:r>
      <w:r w:rsidR="00DE5DE9">
        <w:t xml:space="preserve">violated. </w:t>
      </w:r>
    </w:p>
    <w:p w14:paraId="605EB390" w14:textId="77777777" w:rsidR="00020DA7" w:rsidRDefault="00020DA7" w:rsidP="007B52B4"/>
    <w:p w14:paraId="4497C82D" w14:textId="77777777" w:rsidR="00376311" w:rsidRDefault="00376311" w:rsidP="00376311">
      <w:pPr>
        <w:keepNext/>
        <w:jc w:val="center"/>
      </w:pPr>
      <w:r>
        <w:rPr>
          <w:noProof/>
        </w:rPr>
        <w:lastRenderedPageBreak/>
        <w:drawing>
          <wp:inline distT="0" distB="0" distL="0" distR="0" wp14:anchorId="4EA8C2C9" wp14:editId="3D60A15D">
            <wp:extent cx="4695825" cy="3143594"/>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6281"/>
                    <a:stretch/>
                  </pic:blipFill>
                  <pic:spPr bwMode="auto">
                    <a:xfrm>
                      <a:off x="0" y="0"/>
                      <a:ext cx="4705701" cy="3150206"/>
                    </a:xfrm>
                    <a:prstGeom prst="rect">
                      <a:avLst/>
                    </a:prstGeom>
                    <a:noFill/>
                    <a:ln>
                      <a:noFill/>
                    </a:ln>
                    <a:extLst>
                      <a:ext uri="{53640926-AAD7-44D8-BBD7-CCE9431645EC}">
                        <a14:shadowObscured xmlns:a14="http://schemas.microsoft.com/office/drawing/2010/main"/>
                      </a:ext>
                    </a:extLst>
                  </pic:spPr>
                </pic:pic>
              </a:graphicData>
            </a:graphic>
          </wp:inline>
        </w:drawing>
      </w:r>
    </w:p>
    <w:p w14:paraId="4FAA6194" w14:textId="73E85558" w:rsidR="00020DA7" w:rsidRDefault="00376311" w:rsidP="00B65A90">
      <w:pPr>
        <w:pStyle w:val="Caption"/>
        <w:jc w:val="center"/>
      </w:pPr>
      <w:bookmarkStart w:id="12" w:name="_Ref89983736"/>
      <w:r>
        <w:t xml:space="preserve">Figure </w:t>
      </w:r>
      <w:r w:rsidR="00426C97">
        <w:fldChar w:fldCharType="begin"/>
      </w:r>
      <w:r w:rsidR="00426C97">
        <w:instrText xml:space="preserve"> SEQ Figure \* ARABIC </w:instrText>
      </w:r>
      <w:r w:rsidR="00426C97">
        <w:fldChar w:fldCharType="separate"/>
      </w:r>
      <w:r w:rsidR="009E02A0">
        <w:rPr>
          <w:noProof/>
        </w:rPr>
        <w:t>1</w:t>
      </w:r>
      <w:r w:rsidR="00426C97">
        <w:rPr>
          <w:noProof/>
        </w:rPr>
        <w:fldChar w:fldCharType="end"/>
      </w:r>
      <w:bookmarkEnd w:id="12"/>
      <w:r>
        <w:t xml:space="preserve"> Estimated propensity score by group</w:t>
      </w:r>
    </w:p>
    <w:p w14:paraId="11D9737F" w14:textId="77777777" w:rsidR="00BE4512" w:rsidRPr="00BE4512" w:rsidRDefault="00BE4512" w:rsidP="00BE4512"/>
    <w:p w14:paraId="69A7B6CC" w14:textId="14394D80" w:rsidR="00A921F7" w:rsidRDefault="00A921F7" w:rsidP="007B52B4">
      <w:r>
        <w:t xml:space="preserve">To fix this problem, </w:t>
      </w:r>
      <w:proofErr w:type="spellStart"/>
      <w:r>
        <w:t>Kurth</w:t>
      </w:r>
      <w:proofErr w:type="spellEnd"/>
      <w:r>
        <w:t xml:space="preserve"> et al. </w:t>
      </w:r>
      <w:r>
        <w:fldChar w:fldCharType="begin" w:fldLock="1"/>
      </w:r>
      <w:r w:rsidR="003F6FA6">
        <w:instrText>ADDIN CSL_CITATION {"citationItems":[{"id":"ITEM-1","itemData":{"DOI":"10.1093/aje/kwj047","ISSN":"00029262","PMID":"16371515","abstract":"Observational studies often provide the only available information about treatment effects. Control of confounding, however, remains challenging. The authors compared five methods for evaluating the effect of tissue plasminogen activator on death among 6,269 ischemic stroke patients registered in a German stroke registry: multivariable logistic regression, propensity score-matched analysis, regression adjustment with the propensity score, and two propensity score-based weighted methods - one estimating the treatment effect in the entire study population (inverse-probability-of-treatment weights), another in the treated population (standardized-mortality-ratio weights). Between 2000 and 2001, 212 patients received tissue plasminogen activator. The crude odds ratio between tissue plasminogen activator and death was 3.35 (95% confidence interval: 2.28, 4.91). The adjusted odds ratio depended strongly on the adjustment method, ranging from 1.11 (95% confidence interval: 0.67, 1.84) for the standardized-mortality-ratio weighted to 10.77 (95% confidence interval: 2.47, 47.04) for the inverse-probability-of-treatment-weighted analysis. Fortreated patients with a low propensity score, risks of dying were high. Exclusion of patients with a propensity score of &lt;5% yielded comparable odds ratios of approximately 1 for all methods. High levels of nonuniform treatment effect render summary estimates very sensitive to the weighting system explicit or implicit in an adjustment technique. Researchers need to be clear about the population for which an overall treatment estimate is most suitable. Copyright © 2005 by the Johns Hopkins Bloomberg School of Public Health. All rights reserved.","author":[{"dropping-particle":"","family":"Kurth","given":"Tobias","non-dropping-particle":"","parse-names":false,"suffix":""},{"dropping-particle":"","family":"Walker","given":"Alexander M.","non-dropping-particle":"","parse-names":false,"suffix":""},{"dropping-particle":"","family":"Glynn","given":"Robert J.","non-dropping-particle":"","parse-names":false,"suffix":""},{"dropping-particle":"","family":"Chan","given":"K. Arnold","non-dropping-particle":"","parse-names":false,"suffix":""},{"dropping-particle":"","family":"Gaziano","given":"J. Michael","non-dropping-particle":"","parse-names":false,"suffix":""},{"dropping-particle":"","family":"Berger","given":"Klaus","non-dropping-particle":"","parse-names":false,"suffix":""},{"dropping-particle":"","family":"Robins","given":"James M.","non-dropping-particle":"","parse-names":false,"suffix":""}],"container-title":"American Journal of Epidemiology","id":"ITEM-1","issue":"3","issued":{"date-parts":[["2006"]]},"page":"262-270","title":"Results of multivariable logistic regression, propensity matching, propensity adjustment, and propensity-based weighting under conditions of nonuniform effect","type":"article-journal","volume":"163"},"uris":["http://www.mendeley.com/documents/?uuid=f1f6fa1e-8a9a-42ac-87ba-849b76d66dfa"]}],"mendeley":{"formattedCitation":"(11)","plainTextFormattedCitation":"(11)","previouslyFormattedCitation":"(11)"},"properties":{"noteIndex":0},"schema":"https://github.com/citation-style-language/schema/raw/master/csl-citation.json"}</w:instrText>
      </w:r>
      <w:r>
        <w:fldChar w:fldCharType="separate"/>
      </w:r>
      <w:r w:rsidR="0023379D" w:rsidRPr="0023379D">
        <w:rPr>
          <w:noProof/>
        </w:rPr>
        <w:t>(11)</w:t>
      </w:r>
      <w:r>
        <w:fldChar w:fldCharType="end"/>
      </w:r>
      <w:r>
        <w:t xml:space="preserve"> suggested to set the lower bound </w:t>
      </w:r>
      <m:oMath>
        <m:sSub>
          <m:sSubPr>
            <m:ctrlPr>
              <w:rPr>
                <w:rFonts w:ascii="Cambria Math" w:hAnsi="Cambria Math"/>
                <w:i/>
              </w:rPr>
            </m:ctrlPr>
          </m:sSubPr>
          <m:e>
            <m:r>
              <w:rPr>
                <w:rFonts w:ascii="Cambria Math" w:hAnsi="Cambria Math"/>
              </w:rPr>
              <m:t>α</m:t>
            </m:r>
          </m:e>
          <m:sub>
            <m:r>
              <w:rPr>
                <w:rFonts w:ascii="Cambria Math" w:hAnsi="Cambria Math"/>
              </w:rPr>
              <m:t>L</m:t>
            </m:r>
          </m:sub>
        </m:sSub>
        <m:r>
          <w:rPr>
            <w:rFonts w:ascii="Cambria Math" w:hAnsi="Cambria Math"/>
          </w:rPr>
          <m:t>=0.05</m:t>
        </m:r>
      </m:oMath>
      <w:r>
        <w:t xml:space="preserve">. However, in our study, </w:t>
      </w:r>
      <w:r w:rsidR="00AF1877">
        <w:t xml:space="preserve">on average, </w:t>
      </w:r>
      <w:r>
        <w:t xml:space="preserve">around </w:t>
      </w:r>
      <w:r w:rsidR="00AF1877">
        <w:t>3</w:t>
      </w:r>
      <w:r w:rsidR="00235806">
        <w:t>1</w:t>
      </w:r>
      <w:r>
        <w:t>% sample have a propensity score lower than 0.05</w:t>
      </w:r>
      <w:r w:rsidR="00644475">
        <w:t xml:space="preserve"> while only around </w:t>
      </w:r>
      <w:r w:rsidR="00235806">
        <w:t xml:space="preserve">3% </w:t>
      </w:r>
      <w:r w:rsidR="00644475">
        <w:t xml:space="preserve">locations will have </w:t>
      </w:r>
      <w:r w:rsidR="00235806">
        <w:t>a propensity score lower than 0.001</w:t>
      </w:r>
      <w:r>
        <w:t>. Therefore, we tried both 0.05 and 0.001 as the lower bound</w:t>
      </w:r>
      <w:r w:rsidR="00644475">
        <w:t xml:space="preserve"> to compare if different truncation will generate </w:t>
      </w:r>
      <w:r w:rsidR="00203BBF">
        <w:t>significant different result.</w:t>
      </w:r>
    </w:p>
    <w:p w14:paraId="45A67454" w14:textId="0A62E500" w:rsidR="00F76262" w:rsidRDefault="00F24102" w:rsidP="007B52B4">
      <w:r>
        <w:t xml:space="preserve">Before estimating the average causal effect, we first use the estimated propensity score with a lower bound </w:t>
      </w:r>
      <m:oMath>
        <m:sSub>
          <m:sSubPr>
            <m:ctrlPr>
              <w:rPr>
                <w:rFonts w:ascii="Cambria Math" w:hAnsi="Cambria Math"/>
                <w:i/>
              </w:rPr>
            </m:ctrlPr>
          </m:sSubPr>
          <m:e>
            <m:r>
              <w:rPr>
                <w:rFonts w:ascii="Cambria Math" w:hAnsi="Cambria Math"/>
              </w:rPr>
              <m:t>α</m:t>
            </m:r>
          </m:e>
          <m:sub>
            <m:r>
              <w:rPr>
                <w:rFonts w:ascii="Cambria Math" w:hAnsi="Cambria Math"/>
              </w:rPr>
              <m:t>L</m:t>
            </m:r>
          </m:sub>
        </m:sSub>
        <m:r>
          <w:rPr>
            <w:rFonts w:ascii="Cambria Math" w:hAnsi="Cambria Math"/>
          </w:rPr>
          <m:t>=0.05</m:t>
        </m:r>
      </m:oMath>
      <w:r>
        <w:t xml:space="preserve"> to conduct covariate balance check.</w:t>
      </w:r>
      <w:r w:rsidR="003443BE">
        <w:t xml:space="preserve"> </w:t>
      </w:r>
      <w:r w:rsidR="008D492F">
        <w:t xml:space="preserve">We view each covariate as a </w:t>
      </w:r>
      <w:r w:rsidR="00506143">
        <w:t>pseudo-outcome</w:t>
      </w:r>
      <w:r w:rsidR="008D492F">
        <w:t xml:space="preserve"> and compute the average causal effect on it using Hajek estimator. </w:t>
      </w:r>
      <w:r w:rsidR="00DE530B">
        <w:t xml:space="preserve">Overall, the covariate is not well balanced across treatment and control group, especially for political leaning, </w:t>
      </w:r>
      <w:r w:rsidR="00F76262">
        <w:t>racial composition</w:t>
      </w:r>
      <w:r w:rsidR="004653EA">
        <w:t xml:space="preserve">, </w:t>
      </w:r>
      <w:r w:rsidR="00F76262">
        <w:t>vaccinated rate</w:t>
      </w:r>
      <w:r w:rsidR="004653EA">
        <w:t xml:space="preserve"> and the first dimension of mobility change</w:t>
      </w:r>
      <w:r w:rsidR="00F76262">
        <w:t>.</w:t>
      </w:r>
      <w:r w:rsidR="004653EA">
        <w:t xml:space="preserve"> Therefore, it means that there’s still unmeasured confounders and strong </w:t>
      </w:r>
      <w:proofErr w:type="spellStart"/>
      <w:r w:rsidR="004653EA">
        <w:t>ignorability</w:t>
      </w:r>
      <w:proofErr w:type="spellEnd"/>
      <w:r w:rsidR="004653EA">
        <w:t xml:space="preserve"> does not hold. This is a limitation of our study and could be potentially </w:t>
      </w:r>
      <w:r w:rsidR="00506143">
        <w:t>addressed</w:t>
      </w:r>
      <w:r w:rsidR="004653EA">
        <w:t xml:space="preserve"> by collecting covariates with greater predictive power. Regardless, we continue to estimate the ACE based on the framework.</w:t>
      </w:r>
    </w:p>
    <w:p w14:paraId="162305E4" w14:textId="40CCE362" w:rsidR="00863768" w:rsidRDefault="004653EA" w:rsidP="004653EA">
      <w:pPr>
        <w:jc w:val="center"/>
      </w:pPr>
      <w:r>
        <w:rPr>
          <w:noProof/>
        </w:rPr>
        <w:drawing>
          <wp:inline distT="0" distB="0" distL="0" distR="0" wp14:anchorId="5A252697" wp14:editId="5E567201">
            <wp:extent cx="5829300" cy="15694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9828" b="18376"/>
                    <a:stretch/>
                  </pic:blipFill>
                  <pic:spPr bwMode="auto">
                    <a:xfrm>
                      <a:off x="0" y="0"/>
                      <a:ext cx="5872551" cy="1581071"/>
                    </a:xfrm>
                    <a:prstGeom prst="rect">
                      <a:avLst/>
                    </a:prstGeom>
                    <a:noFill/>
                    <a:ln>
                      <a:noFill/>
                    </a:ln>
                    <a:extLst>
                      <a:ext uri="{53640926-AAD7-44D8-BBD7-CCE9431645EC}">
                        <a14:shadowObscured xmlns:a14="http://schemas.microsoft.com/office/drawing/2010/main"/>
                      </a:ext>
                    </a:extLst>
                  </pic:spPr>
                </pic:pic>
              </a:graphicData>
            </a:graphic>
          </wp:inline>
        </w:drawing>
      </w:r>
    </w:p>
    <w:p w14:paraId="455A4CDD" w14:textId="106F3006" w:rsidR="003443BE" w:rsidRDefault="00EA55DA" w:rsidP="006C5282">
      <w:pPr>
        <w:keepNext/>
        <w:jc w:val="center"/>
      </w:pPr>
      <w:r>
        <w:rPr>
          <w:noProof/>
        </w:rPr>
        <w:lastRenderedPageBreak/>
        <w:drawing>
          <wp:inline distT="0" distB="0" distL="0" distR="0" wp14:anchorId="048078FE" wp14:editId="0CAFA6BB">
            <wp:extent cx="5895975" cy="2146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002" b="19195"/>
                    <a:stretch/>
                  </pic:blipFill>
                  <pic:spPr bwMode="auto">
                    <a:xfrm>
                      <a:off x="0" y="0"/>
                      <a:ext cx="5991117" cy="2180645"/>
                    </a:xfrm>
                    <a:prstGeom prst="rect">
                      <a:avLst/>
                    </a:prstGeom>
                    <a:noFill/>
                    <a:ln>
                      <a:noFill/>
                    </a:ln>
                    <a:extLst>
                      <a:ext uri="{53640926-AAD7-44D8-BBD7-CCE9431645EC}">
                        <a14:shadowObscured xmlns:a14="http://schemas.microsoft.com/office/drawing/2010/main"/>
                      </a:ext>
                    </a:extLst>
                  </pic:spPr>
                </pic:pic>
              </a:graphicData>
            </a:graphic>
          </wp:inline>
        </w:drawing>
      </w:r>
    </w:p>
    <w:p w14:paraId="022172A3" w14:textId="6A1290FF" w:rsidR="00863768" w:rsidRDefault="003443BE" w:rsidP="003443BE">
      <w:pPr>
        <w:pStyle w:val="Caption"/>
        <w:rPr>
          <w:noProof/>
        </w:rPr>
      </w:pPr>
      <w:r>
        <w:t xml:space="preserve">Figure </w:t>
      </w:r>
      <w:r w:rsidR="00426C97">
        <w:fldChar w:fldCharType="begin"/>
      </w:r>
      <w:r w:rsidR="00426C97">
        <w:instrText xml:space="preserve"> SEQ Figure \* ARABIC </w:instrText>
      </w:r>
      <w:r w:rsidR="00426C97">
        <w:fldChar w:fldCharType="separate"/>
      </w:r>
      <w:r w:rsidR="009E02A0">
        <w:rPr>
          <w:noProof/>
        </w:rPr>
        <w:t>2</w:t>
      </w:r>
      <w:r w:rsidR="00426C97">
        <w:rPr>
          <w:noProof/>
        </w:rPr>
        <w:fldChar w:fldCharType="end"/>
      </w:r>
      <w:r>
        <w:t xml:space="preserve"> Balance check: point estimates and 95% confidence intervals </w:t>
      </w:r>
      <w:r>
        <w:rPr>
          <w:noProof/>
        </w:rPr>
        <w:t>of the average causal effect on covariates</w:t>
      </w:r>
    </w:p>
    <w:p w14:paraId="32372405" w14:textId="77777777" w:rsidR="00EA55DA" w:rsidRPr="00EA55DA" w:rsidRDefault="00EA55DA" w:rsidP="00EA55DA"/>
    <w:p w14:paraId="5629FD38" w14:textId="055E5C2F" w:rsidR="00441827" w:rsidRDefault="001C2EC8" w:rsidP="007B52B4">
      <w:r>
        <w:t xml:space="preserve">The difference-in-means is calculated </w:t>
      </w:r>
      <w:r w:rsidR="00441827">
        <w:t xml:space="preserve">using Hajek </w:t>
      </w:r>
      <w:r w:rsidR="00A37170">
        <w:t>estimato</w:t>
      </w:r>
      <w:r w:rsidR="008022D4">
        <w:t xml:space="preserve">r. It’s invariant to the location transformation, and moreover, much more stable than the Horvitz-Thompson (HT) estimator in finite samples according to many numerical studies </w:t>
      </w:r>
      <w:r w:rsidR="008022D4">
        <w:fldChar w:fldCharType="begin" w:fldLock="1"/>
      </w:r>
      <w:r w:rsidR="003F6FA6">
        <w:instrText>ADDIN CSL_CITATION {"citationItems":[{"id":"ITEM-1","itemData":{"author":[{"dropping-particle":"","family":"Ding","given":"Peng","non-dropping-particle":"","parse-names":false,"suffix":""}],"id":"ITEM-1","issued":{"date-parts":[["0"]]},"title":"A First Course in Causal Inference","type":"book"},"uris":["http://www.mendeley.com/documents/?uuid=515a3500-d329-48d4-b61f-ebcf1ca041a9"]}],"mendeley":{"formattedCitation":"(12)","plainTextFormattedCitation":"(12)","previouslyFormattedCitation":"(12)"},"properties":{"noteIndex":0},"schema":"https://github.com/citation-style-language/schema/raw/master/csl-citation.json"}</w:instrText>
      </w:r>
      <w:r w:rsidR="008022D4">
        <w:fldChar w:fldCharType="separate"/>
      </w:r>
      <w:r w:rsidR="0023379D" w:rsidRPr="0023379D">
        <w:rPr>
          <w:noProof/>
        </w:rPr>
        <w:t>(12)</w:t>
      </w:r>
      <w:r w:rsidR="008022D4">
        <w:fldChar w:fldCharType="end"/>
      </w:r>
      <w:r w:rsidR="008022D4">
        <w:t>.</w:t>
      </w:r>
    </w:p>
    <w:p w14:paraId="60796906" w14:textId="77777777" w:rsidR="00A37170" w:rsidRDefault="00426C97" w:rsidP="00441827">
      <w:pPr>
        <w:jc w:val="center"/>
      </w:pPr>
      <m:oMath>
        <m:sSub>
          <m:sSubPr>
            <m:ctrlPr>
              <w:rPr>
                <w:rFonts w:ascii="Cambria Math" w:hAnsi="Cambria Math"/>
                <w:i/>
                <w:sz w:val="36"/>
                <w:szCs w:val="32"/>
              </w:rPr>
            </m:ctrlPr>
          </m:sSubPr>
          <m:e>
            <m:acc>
              <m:accPr>
                <m:ctrlPr>
                  <w:rPr>
                    <w:rFonts w:ascii="Cambria Math" w:hAnsi="Cambria Math"/>
                    <w:i/>
                    <w:sz w:val="36"/>
                    <w:szCs w:val="32"/>
                  </w:rPr>
                </m:ctrlPr>
              </m:accPr>
              <m:e>
                <m:r>
                  <w:rPr>
                    <w:rFonts w:ascii="Cambria Math" w:hAnsi="Cambria Math"/>
                    <w:sz w:val="36"/>
                    <w:szCs w:val="32"/>
                  </w:rPr>
                  <m:t>τ</m:t>
                </m:r>
              </m:e>
            </m:acc>
          </m:e>
          <m:sub>
            <m:r>
              <w:rPr>
                <w:rFonts w:ascii="Cambria Math" w:hAnsi="Cambria Math"/>
                <w:sz w:val="36"/>
                <w:szCs w:val="32"/>
              </w:rPr>
              <m:t>hajek</m:t>
            </m:r>
          </m:sub>
        </m:sSub>
        <m:r>
          <w:rPr>
            <w:rFonts w:ascii="Cambria Math" w:hAnsi="Cambria Math"/>
            <w:sz w:val="36"/>
            <w:szCs w:val="32"/>
          </w:rPr>
          <m:t>=</m:t>
        </m:r>
        <m:f>
          <m:fPr>
            <m:ctrlPr>
              <w:rPr>
                <w:rFonts w:ascii="Cambria Math" w:hAnsi="Cambria Math"/>
                <w:i/>
                <w:sz w:val="36"/>
                <w:szCs w:val="32"/>
              </w:rPr>
            </m:ctrlPr>
          </m:fPr>
          <m:num>
            <m:nary>
              <m:naryPr>
                <m:chr m:val="∑"/>
                <m:limLoc m:val="undOvr"/>
                <m:ctrlPr>
                  <w:rPr>
                    <w:rFonts w:ascii="Cambria Math" w:hAnsi="Cambria Math"/>
                    <w:i/>
                    <w:sz w:val="36"/>
                    <w:szCs w:val="32"/>
                  </w:rPr>
                </m:ctrlPr>
              </m:naryPr>
              <m:sub>
                <m:r>
                  <w:rPr>
                    <w:rFonts w:ascii="Cambria Math" w:hAnsi="Cambria Math"/>
                    <w:sz w:val="36"/>
                    <w:szCs w:val="32"/>
                  </w:rPr>
                  <m:t>i=1</m:t>
                </m:r>
              </m:sub>
              <m:sup>
                <m:r>
                  <w:rPr>
                    <w:rFonts w:ascii="Cambria Math" w:hAnsi="Cambria Math"/>
                    <w:sz w:val="36"/>
                    <w:szCs w:val="32"/>
                  </w:rPr>
                  <m:t>n</m:t>
                </m:r>
              </m:sup>
              <m:e>
                <m:f>
                  <m:fPr>
                    <m:ctrlPr>
                      <w:rPr>
                        <w:rFonts w:ascii="Cambria Math" w:hAnsi="Cambria Math"/>
                        <w:i/>
                        <w:sz w:val="36"/>
                        <w:szCs w:val="32"/>
                      </w:rPr>
                    </m:ctrlPr>
                  </m:fPr>
                  <m:num>
                    <m:sSub>
                      <m:sSubPr>
                        <m:ctrlPr>
                          <w:rPr>
                            <w:rFonts w:ascii="Cambria Math" w:hAnsi="Cambria Math"/>
                            <w:i/>
                            <w:sz w:val="36"/>
                            <w:szCs w:val="32"/>
                          </w:rPr>
                        </m:ctrlPr>
                      </m:sSubPr>
                      <m:e>
                        <m:r>
                          <w:rPr>
                            <w:rFonts w:ascii="Cambria Math" w:hAnsi="Cambria Math"/>
                            <w:sz w:val="36"/>
                            <w:szCs w:val="32"/>
                          </w:rPr>
                          <m:t>Z</m:t>
                        </m:r>
                      </m:e>
                      <m:sub>
                        <m:r>
                          <w:rPr>
                            <w:rFonts w:ascii="Cambria Math" w:hAnsi="Cambria Math"/>
                            <w:sz w:val="36"/>
                            <w:szCs w:val="32"/>
                          </w:rPr>
                          <m:t>i</m:t>
                        </m:r>
                      </m:sub>
                    </m:sSub>
                    <m:sSub>
                      <m:sSubPr>
                        <m:ctrlPr>
                          <w:rPr>
                            <w:rFonts w:ascii="Cambria Math" w:hAnsi="Cambria Math"/>
                            <w:i/>
                            <w:sz w:val="36"/>
                            <w:szCs w:val="32"/>
                          </w:rPr>
                        </m:ctrlPr>
                      </m:sSubPr>
                      <m:e>
                        <m:r>
                          <w:rPr>
                            <w:rFonts w:ascii="Cambria Math" w:hAnsi="Cambria Math"/>
                            <w:sz w:val="36"/>
                            <w:szCs w:val="32"/>
                          </w:rPr>
                          <m:t>Y</m:t>
                        </m:r>
                      </m:e>
                      <m:sub>
                        <m:r>
                          <w:rPr>
                            <w:rFonts w:ascii="Cambria Math" w:hAnsi="Cambria Math"/>
                            <w:sz w:val="36"/>
                            <w:szCs w:val="32"/>
                          </w:rPr>
                          <m:t>i</m:t>
                        </m:r>
                      </m:sub>
                    </m:sSub>
                  </m:num>
                  <m:den>
                    <m:acc>
                      <m:accPr>
                        <m:ctrlPr>
                          <w:rPr>
                            <w:rFonts w:ascii="Cambria Math" w:hAnsi="Cambria Math"/>
                            <w:i/>
                            <w:sz w:val="36"/>
                            <w:szCs w:val="32"/>
                          </w:rPr>
                        </m:ctrlPr>
                      </m:accPr>
                      <m:e>
                        <m:r>
                          <w:rPr>
                            <w:rFonts w:ascii="Cambria Math" w:hAnsi="Cambria Math"/>
                            <w:sz w:val="36"/>
                            <w:szCs w:val="32"/>
                          </w:rPr>
                          <m:t>e</m:t>
                        </m:r>
                      </m:e>
                    </m:acc>
                    <m:r>
                      <w:rPr>
                        <w:rFonts w:ascii="Cambria Math" w:hAnsi="Cambria Math"/>
                        <w:sz w:val="36"/>
                        <w:szCs w:val="32"/>
                      </w:rPr>
                      <m:t>(</m:t>
                    </m:r>
                    <m:sSub>
                      <m:sSubPr>
                        <m:ctrlPr>
                          <w:rPr>
                            <w:rFonts w:ascii="Cambria Math" w:hAnsi="Cambria Math"/>
                            <w:i/>
                            <w:sz w:val="36"/>
                            <w:szCs w:val="32"/>
                          </w:rPr>
                        </m:ctrlPr>
                      </m:sSubPr>
                      <m:e>
                        <m:r>
                          <w:rPr>
                            <w:rFonts w:ascii="Cambria Math" w:hAnsi="Cambria Math"/>
                            <w:sz w:val="36"/>
                            <w:szCs w:val="32"/>
                          </w:rPr>
                          <m:t>X</m:t>
                        </m:r>
                      </m:e>
                      <m:sub>
                        <m:r>
                          <w:rPr>
                            <w:rFonts w:ascii="Cambria Math" w:hAnsi="Cambria Math"/>
                            <w:sz w:val="36"/>
                            <w:szCs w:val="32"/>
                          </w:rPr>
                          <m:t>i</m:t>
                        </m:r>
                      </m:sub>
                    </m:sSub>
                    <m:r>
                      <w:rPr>
                        <w:rFonts w:ascii="Cambria Math" w:hAnsi="Cambria Math"/>
                        <w:sz w:val="36"/>
                        <w:szCs w:val="32"/>
                      </w:rPr>
                      <m:t>)</m:t>
                    </m:r>
                  </m:den>
                </m:f>
              </m:e>
            </m:nary>
          </m:num>
          <m:den>
            <m:nary>
              <m:naryPr>
                <m:chr m:val="∑"/>
                <m:limLoc m:val="undOvr"/>
                <m:ctrlPr>
                  <w:rPr>
                    <w:rFonts w:ascii="Cambria Math" w:hAnsi="Cambria Math"/>
                    <w:i/>
                    <w:sz w:val="36"/>
                    <w:szCs w:val="32"/>
                  </w:rPr>
                </m:ctrlPr>
              </m:naryPr>
              <m:sub>
                <m:r>
                  <w:rPr>
                    <w:rFonts w:ascii="Cambria Math" w:hAnsi="Cambria Math"/>
                    <w:sz w:val="36"/>
                    <w:szCs w:val="32"/>
                  </w:rPr>
                  <m:t>i=1</m:t>
                </m:r>
              </m:sub>
              <m:sup>
                <m:r>
                  <w:rPr>
                    <w:rFonts w:ascii="Cambria Math" w:hAnsi="Cambria Math"/>
                    <w:sz w:val="36"/>
                    <w:szCs w:val="32"/>
                  </w:rPr>
                  <m:t>n</m:t>
                </m:r>
              </m:sup>
              <m:e>
                <m:f>
                  <m:fPr>
                    <m:ctrlPr>
                      <w:rPr>
                        <w:rFonts w:ascii="Cambria Math" w:hAnsi="Cambria Math"/>
                        <w:i/>
                        <w:sz w:val="36"/>
                        <w:szCs w:val="32"/>
                      </w:rPr>
                    </m:ctrlPr>
                  </m:fPr>
                  <m:num>
                    <m:sSub>
                      <m:sSubPr>
                        <m:ctrlPr>
                          <w:rPr>
                            <w:rFonts w:ascii="Cambria Math" w:hAnsi="Cambria Math"/>
                            <w:i/>
                            <w:sz w:val="36"/>
                            <w:szCs w:val="32"/>
                          </w:rPr>
                        </m:ctrlPr>
                      </m:sSubPr>
                      <m:e>
                        <m:r>
                          <w:rPr>
                            <w:rFonts w:ascii="Cambria Math" w:hAnsi="Cambria Math"/>
                            <w:sz w:val="36"/>
                            <w:szCs w:val="32"/>
                          </w:rPr>
                          <m:t>Z</m:t>
                        </m:r>
                      </m:e>
                      <m:sub>
                        <m:r>
                          <w:rPr>
                            <w:rFonts w:ascii="Cambria Math" w:hAnsi="Cambria Math"/>
                            <w:sz w:val="36"/>
                            <w:szCs w:val="32"/>
                          </w:rPr>
                          <m:t>i</m:t>
                        </m:r>
                      </m:sub>
                    </m:sSub>
                  </m:num>
                  <m:den>
                    <m:acc>
                      <m:accPr>
                        <m:ctrlPr>
                          <w:rPr>
                            <w:rFonts w:ascii="Cambria Math" w:hAnsi="Cambria Math"/>
                            <w:i/>
                            <w:sz w:val="36"/>
                            <w:szCs w:val="32"/>
                          </w:rPr>
                        </m:ctrlPr>
                      </m:accPr>
                      <m:e>
                        <m:r>
                          <w:rPr>
                            <w:rFonts w:ascii="Cambria Math" w:hAnsi="Cambria Math"/>
                            <w:sz w:val="36"/>
                            <w:szCs w:val="32"/>
                          </w:rPr>
                          <m:t>e</m:t>
                        </m:r>
                      </m:e>
                    </m:acc>
                    <m:r>
                      <w:rPr>
                        <w:rFonts w:ascii="Cambria Math" w:hAnsi="Cambria Math"/>
                        <w:sz w:val="36"/>
                        <w:szCs w:val="32"/>
                      </w:rPr>
                      <m:t>(</m:t>
                    </m:r>
                    <m:sSub>
                      <m:sSubPr>
                        <m:ctrlPr>
                          <w:rPr>
                            <w:rFonts w:ascii="Cambria Math" w:hAnsi="Cambria Math"/>
                            <w:i/>
                            <w:sz w:val="36"/>
                            <w:szCs w:val="32"/>
                          </w:rPr>
                        </m:ctrlPr>
                      </m:sSubPr>
                      <m:e>
                        <m:r>
                          <w:rPr>
                            <w:rFonts w:ascii="Cambria Math" w:hAnsi="Cambria Math"/>
                            <w:sz w:val="36"/>
                            <w:szCs w:val="32"/>
                          </w:rPr>
                          <m:t>X</m:t>
                        </m:r>
                      </m:e>
                      <m:sub>
                        <m:r>
                          <w:rPr>
                            <w:rFonts w:ascii="Cambria Math" w:hAnsi="Cambria Math"/>
                            <w:sz w:val="36"/>
                            <w:szCs w:val="32"/>
                          </w:rPr>
                          <m:t>i</m:t>
                        </m:r>
                      </m:sub>
                    </m:sSub>
                    <m:r>
                      <w:rPr>
                        <w:rFonts w:ascii="Cambria Math" w:hAnsi="Cambria Math"/>
                        <w:sz w:val="36"/>
                        <w:szCs w:val="32"/>
                      </w:rPr>
                      <m:t>)</m:t>
                    </m:r>
                  </m:den>
                </m:f>
              </m:e>
            </m:nary>
          </m:den>
        </m:f>
        <m:r>
          <w:rPr>
            <w:rFonts w:ascii="Cambria Math" w:hAnsi="Cambria Math"/>
            <w:sz w:val="36"/>
            <w:szCs w:val="32"/>
          </w:rPr>
          <m:t>-</m:t>
        </m:r>
        <m:f>
          <m:fPr>
            <m:ctrlPr>
              <w:rPr>
                <w:rFonts w:ascii="Cambria Math" w:hAnsi="Cambria Math"/>
                <w:i/>
                <w:sz w:val="36"/>
                <w:szCs w:val="32"/>
              </w:rPr>
            </m:ctrlPr>
          </m:fPr>
          <m:num>
            <m:nary>
              <m:naryPr>
                <m:chr m:val="∑"/>
                <m:limLoc m:val="undOvr"/>
                <m:ctrlPr>
                  <w:rPr>
                    <w:rFonts w:ascii="Cambria Math" w:hAnsi="Cambria Math"/>
                    <w:i/>
                    <w:sz w:val="36"/>
                    <w:szCs w:val="32"/>
                  </w:rPr>
                </m:ctrlPr>
              </m:naryPr>
              <m:sub>
                <m:r>
                  <w:rPr>
                    <w:rFonts w:ascii="Cambria Math" w:hAnsi="Cambria Math"/>
                    <w:sz w:val="36"/>
                    <w:szCs w:val="32"/>
                  </w:rPr>
                  <m:t>i=1</m:t>
                </m:r>
              </m:sub>
              <m:sup>
                <m:r>
                  <w:rPr>
                    <w:rFonts w:ascii="Cambria Math" w:hAnsi="Cambria Math"/>
                    <w:sz w:val="36"/>
                    <w:szCs w:val="32"/>
                  </w:rPr>
                  <m:t>n</m:t>
                </m:r>
              </m:sup>
              <m:e>
                <m:f>
                  <m:fPr>
                    <m:ctrlPr>
                      <w:rPr>
                        <w:rFonts w:ascii="Cambria Math" w:hAnsi="Cambria Math"/>
                        <w:i/>
                        <w:sz w:val="36"/>
                        <w:szCs w:val="32"/>
                      </w:rPr>
                    </m:ctrlPr>
                  </m:fPr>
                  <m:num>
                    <m:sSub>
                      <m:sSubPr>
                        <m:ctrlPr>
                          <w:rPr>
                            <w:rFonts w:ascii="Cambria Math" w:hAnsi="Cambria Math"/>
                            <w:i/>
                            <w:sz w:val="36"/>
                            <w:szCs w:val="32"/>
                          </w:rPr>
                        </m:ctrlPr>
                      </m:sSubPr>
                      <m:e>
                        <m:r>
                          <w:rPr>
                            <w:rFonts w:ascii="Cambria Math" w:hAnsi="Cambria Math"/>
                            <w:sz w:val="36"/>
                            <w:szCs w:val="32"/>
                          </w:rPr>
                          <m:t>(1-Z</m:t>
                        </m:r>
                      </m:e>
                      <m:sub>
                        <m:r>
                          <w:rPr>
                            <w:rFonts w:ascii="Cambria Math" w:hAnsi="Cambria Math"/>
                            <w:sz w:val="36"/>
                            <w:szCs w:val="32"/>
                          </w:rPr>
                          <m:t>i</m:t>
                        </m:r>
                      </m:sub>
                    </m:sSub>
                    <m:r>
                      <w:rPr>
                        <w:rFonts w:ascii="Cambria Math" w:hAnsi="Cambria Math"/>
                        <w:sz w:val="36"/>
                        <w:szCs w:val="32"/>
                      </w:rPr>
                      <m:t>)</m:t>
                    </m:r>
                    <m:sSub>
                      <m:sSubPr>
                        <m:ctrlPr>
                          <w:rPr>
                            <w:rFonts w:ascii="Cambria Math" w:hAnsi="Cambria Math"/>
                            <w:i/>
                            <w:sz w:val="36"/>
                            <w:szCs w:val="32"/>
                          </w:rPr>
                        </m:ctrlPr>
                      </m:sSubPr>
                      <m:e>
                        <m:r>
                          <w:rPr>
                            <w:rFonts w:ascii="Cambria Math" w:hAnsi="Cambria Math"/>
                            <w:sz w:val="36"/>
                            <w:szCs w:val="32"/>
                          </w:rPr>
                          <m:t>Y</m:t>
                        </m:r>
                      </m:e>
                      <m:sub>
                        <m:r>
                          <w:rPr>
                            <w:rFonts w:ascii="Cambria Math" w:hAnsi="Cambria Math"/>
                            <w:sz w:val="36"/>
                            <w:szCs w:val="32"/>
                          </w:rPr>
                          <m:t>i</m:t>
                        </m:r>
                      </m:sub>
                    </m:sSub>
                  </m:num>
                  <m:den>
                    <m:r>
                      <w:rPr>
                        <w:rFonts w:ascii="Cambria Math" w:hAnsi="Cambria Math"/>
                        <w:sz w:val="36"/>
                        <w:szCs w:val="32"/>
                      </w:rPr>
                      <m:t>1-</m:t>
                    </m:r>
                    <m:acc>
                      <m:accPr>
                        <m:ctrlPr>
                          <w:rPr>
                            <w:rFonts w:ascii="Cambria Math" w:hAnsi="Cambria Math"/>
                            <w:i/>
                            <w:sz w:val="36"/>
                            <w:szCs w:val="32"/>
                          </w:rPr>
                        </m:ctrlPr>
                      </m:accPr>
                      <m:e>
                        <m:r>
                          <w:rPr>
                            <w:rFonts w:ascii="Cambria Math" w:hAnsi="Cambria Math"/>
                            <w:sz w:val="36"/>
                            <w:szCs w:val="32"/>
                          </w:rPr>
                          <m:t>e</m:t>
                        </m:r>
                      </m:e>
                    </m:acc>
                    <m:r>
                      <w:rPr>
                        <w:rFonts w:ascii="Cambria Math" w:hAnsi="Cambria Math"/>
                        <w:sz w:val="36"/>
                        <w:szCs w:val="32"/>
                      </w:rPr>
                      <m:t>(</m:t>
                    </m:r>
                    <m:sSub>
                      <m:sSubPr>
                        <m:ctrlPr>
                          <w:rPr>
                            <w:rFonts w:ascii="Cambria Math" w:hAnsi="Cambria Math"/>
                            <w:i/>
                            <w:sz w:val="36"/>
                            <w:szCs w:val="32"/>
                          </w:rPr>
                        </m:ctrlPr>
                      </m:sSubPr>
                      <m:e>
                        <m:r>
                          <w:rPr>
                            <w:rFonts w:ascii="Cambria Math" w:hAnsi="Cambria Math"/>
                            <w:sz w:val="36"/>
                            <w:szCs w:val="32"/>
                          </w:rPr>
                          <m:t>X</m:t>
                        </m:r>
                      </m:e>
                      <m:sub>
                        <m:r>
                          <w:rPr>
                            <w:rFonts w:ascii="Cambria Math" w:hAnsi="Cambria Math"/>
                            <w:sz w:val="36"/>
                            <w:szCs w:val="32"/>
                          </w:rPr>
                          <m:t>i</m:t>
                        </m:r>
                      </m:sub>
                    </m:sSub>
                    <m:r>
                      <w:rPr>
                        <w:rFonts w:ascii="Cambria Math" w:hAnsi="Cambria Math"/>
                        <w:sz w:val="36"/>
                        <w:szCs w:val="32"/>
                      </w:rPr>
                      <m:t>)</m:t>
                    </m:r>
                  </m:den>
                </m:f>
              </m:e>
            </m:nary>
          </m:num>
          <m:den>
            <m:nary>
              <m:naryPr>
                <m:chr m:val="∑"/>
                <m:limLoc m:val="undOvr"/>
                <m:ctrlPr>
                  <w:rPr>
                    <w:rFonts w:ascii="Cambria Math" w:hAnsi="Cambria Math"/>
                    <w:i/>
                    <w:sz w:val="36"/>
                    <w:szCs w:val="32"/>
                  </w:rPr>
                </m:ctrlPr>
              </m:naryPr>
              <m:sub>
                <m:r>
                  <w:rPr>
                    <w:rFonts w:ascii="Cambria Math" w:hAnsi="Cambria Math"/>
                    <w:sz w:val="36"/>
                    <w:szCs w:val="32"/>
                  </w:rPr>
                  <m:t>i=1</m:t>
                </m:r>
              </m:sub>
              <m:sup>
                <m:r>
                  <w:rPr>
                    <w:rFonts w:ascii="Cambria Math" w:hAnsi="Cambria Math"/>
                    <w:sz w:val="36"/>
                    <w:szCs w:val="32"/>
                  </w:rPr>
                  <m:t>n</m:t>
                </m:r>
              </m:sup>
              <m:e>
                <m:f>
                  <m:fPr>
                    <m:ctrlPr>
                      <w:rPr>
                        <w:rFonts w:ascii="Cambria Math" w:hAnsi="Cambria Math"/>
                        <w:i/>
                        <w:sz w:val="36"/>
                        <w:szCs w:val="32"/>
                      </w:rPr>
                    </m:ctrlPr>
                  </m:fPr>
                  <m:num>
                    <m:sSub>
                      <m:sSubPr>
                        <m:ctrlPr>
                          <w:rPr>
                            <w:rFonts w:ascii="Cambria Math" w:hAnsi="Cambria Math"/>
                            <w:i/>
                            <w:sz w:val="36"/>
                            <w:szCs w:val="32"/>
                          </w:rPr>
                        </m:ctrlPr>
                      </m:sSubPr>
                      <m:e>
                        <m:r>
                          <w:rPr>
                            <w:rFonts w:ascii="Cambria Math" w:hAnsi="Cambria Math"/>
                            <w:sz w:val="36"/>
                            <w:szCs w:val="32"/>
                          </w:rPr>
                          <m:t>1-Z</m:t>
                        </m:r>
                      </m:e>
                      <m:sub>
                        <m:r>
                          <w:rPr>
                            <w:rFonts w:ascii="Cambria Math" w:hAnsi="Cambria Math"/>
                            <w:sz w:val="36"/>
                            <w:szCs w:val="32"/>
                          </w:rPr>
                          <m:t>i</m:t>
                        </m:r>
                      </m:sub>
                    </m:sSub>
                  </m:num>
                  <m:den>
                    <m:r>
                      <w:rPr>
                        <w:rFonts w:ascii="Cambria Math" w:hAnsi="Cambria Math"/>
                        <w:sz w:val="36"/>
                        <w:szCs w:val="32"/>
                      </w:rPr>
                      <m:t>1-</m:t>
                    </m:r>
                    <m:acc>
                      <m:accPr>
                        <m:ctrlPr>
                          <w:rPr>
                            <w:rFonts w:ascii="Cambria Math" w:hAnsi="Cambria Math"/>
                            <w:i/>
                            <w:sz w:val="36"/>
                            <w:szCs w:val="32"/>
                          </w:rPr>
                        </m:ctrlPr>
                      </m:accPr>
                      <m:e>
                        <m:r>
                          <w:rPr>
                            <w:rFonts w:ascii="Cambria Math" w:hAnsi="Cambria Math"/>
                            <w:sz w:val="36"/>
                            <w:szCs w:val="32"/>
                          </w:rPr>
                          <m:t>e</m:t>
                        </m:r>
                      </m:e>
                    </m:acc>
                    <m:r>
                      <w:rPr>
                        <w:rFonts w:ascii="Cambria Math" w:hAnsi="Cambria Math"/>
                        <w:sz w:val="36"/>
                        <w:szCs w:val="32"/>
                      </w:rPr>
                      <m:t>(</m:t>
                    </m:r>
                    <m:sSub>
                      <m:sSubPr>
                        <m:ctrlPr>
                          <w:rPr>
                            <w:rFonts w:ascii="Cambria Math" w:hAnsi="Cambria Math"/>
                            <w:i/>
                            <w:sz w:val="36"/>
                            <w:szCs w:val="32"/>
                          </w:rPr>
                        </m:ctrlPr>
                      </m:sSubPr>
                      <m:e>
                        <m:r>
                          <w:rPr>
                            <w:rFonts w:ascii="Cambria Math" w:hAnsi="Cambria Math"/>
                            <w:sz w:val="36"/>
                            <w:szCs w:val="32"/>
                          </w:rPr>
                          <m:t>X</m:t>
                        </m:r>
                      </m:e>
                      <m:sub>
                        <m:r>
                          <w:rPr>
                            <w:rFonts w:ascii="Cambria Math" w:hAnsi="Cambria Math"/>
                            <w:sz w:val="36"/>
                            <w:szCs w:val="32"/>
                          </w:rPr>
                          <m:t>i</m:t>
                        </m:r>
                      </m:sub>
                    </m:sSub>
                    <m:r>
                      <w:rPr>
                        <w:rFonts w:ascii="Cambria Math" w:hAnsi="Cambria Math"/>
                        <w:sz w:val="36"/>
                        <w:szCs w:val="32"/>
                      </w:rPr>
                      <m:t>)</m:t>
                    </m:r>
                  </m:den>
                </m:f>
              </m:e>
            </m:nary>
          </m:den>
        </m:f>
      </m:oMath>
      <w:r w:rsidR="00127E56">
        <w:t xml:space="preserve"> </w:t>
      </w:r>
      <w:r w:rsidR="00EA717D">
        <w:t xml:space="preserve">  </w:t>
      </w:r>
    </w:p>
    <w:p w14:paraId="3C3CE214" w14:textId="23C436C1" w:rsidR="00B3390E" w:rsidRDefault="000C14CB" w:rsidP="00A37170">
      <w:r>
        <w:t xml:space="preserve">To account for the randomness of random forest, we run the algorithm 1000 times and report the mean </w:t>
      </w:r>
      <w:r w:rsidR="00C337A0">
        <w:t>estimated average causal effect. The results for these two different lower bounds are similar</w:t>
      </w:r>
      <w:r w:rsidR="00A5769B">
        <w:t xml:space="preserve"> as shown in </w:t>
      </w:r>
      <w:r w:rsidR="00A5769B" w:rsidRPr="00A5769B">
        <w:rPr>
          <w:b/>
          <w:bCs/>
        </w:rPr>
        <w:fldChar w:fldCharType="begin"/>
      </w:r>
      <w:r w:rsidR="00A5769B" w:rsidRPr="00A5769B">
        <w:rPr>
          <w:b/>
          <w:bCs/>
        </w:rPr>
        <w:instrText xml:space="preserve"> REF _Ref90045609 \h </w:instrText>
      </w:r>
      <w:r w:rsidR="00A5769B">
        <w:rPr>
          <w:b/>
          <w:bCs/>
        </w:rPr>
        <w:instrText xml:space="preserve"> \* MERGEFORMAT </w:instrText>
      </w:r>
      <w:r w:rsidR="00A5769B" w:rsidRPr="00A5769B">
        <w:rPr>
          <w:b/>
          <w:bCs/>
        </w:rPr>
      </w:r>
      <w:r w:rsidR="00A5769B" w:rsidRPr="00A5769B">
        <w:rPr>
          <w:b/>
          <w:bCs/>
        </w:rPr>
        <w:fldChar w:fldCharType="separate"/>
      </w:r>
      <w:r w:rsidR="009E02A0" w:rsidRPr="009E02A0">
        <w:rPr>
          <w:b/>
          <w:bCs/>
        </w:rPr>
        <w:t xml:space="preserve">Figure </w:t>
      </w:r>
      <w:r w:rsidR="009E02A0" w:rsidRPr="009E02A0">
        <w:rPr>
          <w:b/>
          <w:bCs/>
          <w:noProof/>
        </w:rPr>
        <w:t>3</w:t>
      </w:r>
      <w:r w:rsidR="00A5769B" w:rsidRPr="00A5769B">
        <w:rPr>
          <w:b/>
          <w:bCs/>
        </w:rPr>
        <w:fldChar w:fldCharType="end"/>
      </w:r>
      <w:r w:rsidR="00C337A0">
        <w:t>.</w:t>
      </w:r>
      <w:r w:rsidR="00FE5128">
        <w:t xml:space="preserve"> ACE with </w:t>
      </w:r>
      <m:oMath>
        <m:sSub>
          <m:sSubPr>
            <m:ctrlPr>
              <w:rPr>
                <w:rFonts w:ascii="Cambria Math" w:hAnsi="Cambria Math"/>
                <w:i/>
              </w:rPr>
            </m:ctrlPr>
          </m:sSubPr>
          <m:e>
            <m:r>
              <w:rPr>
                <w:rFonts w:ascii="Cambria Math" w:hAnsi="Cambria Math"/>
              </w:rPr>
              <m:t>α</m:t>
            </m:r>
          </m:e>
          <m:sub>
            <m:r>
              <w:rPr>
                <w:rFonts w:ascii="Cambria Math" w:hAnsi="Cambria Math"/>
              </w:rPr>
              <m:t>L</m:t>
            </m:r>
          </m:sub>
        </m:sSub>
        <m:r>
          <w:rPr>
            <w:rFonts w:ascii="Cambria Math" w:hAnsi="Cambria Math"/>
          </w:rPr>
          <m:t>=0.05</m:t>
        </m:r>
      </m:oMath>
      <w:r w:rsidR="00FE5128">
        <w:t xml:space="preserve"> is </w:t>
      </w:r>
      <m:oMath>
        <m:r>
          <w:rPr>
            <w:rFonts w:ascii="Cambria Math" w:hAnsi="Cambria Math" w:cs="Times New Roman"/>
          </w:rPr>
          <m:t>-1.03*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w:r w:rsidR="00FE5128">
        <w:t xml:space="preserve"> with a </w:t>
      </w:r>
      <w:r w:rsidR="006B63D7">
        <w:t xml:space="preserve">asymptotic </w:t>
      </w:r>
      <w:r w:rsidR="00FE5128">
        <w:t>95% confidence interval [</w:t>
      </w:r>
      <m:oMath>
        <m:r>
          <w:rPr>
            <w:rFonts w:ascii="Cambria Math" w:hAnsi="Cambria Math" w:cs="Times New Roman"/>
          </w:rPr>
          <m:t>-1.50*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 -5.87*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w:r w:rsidR="00FE5128">
        <w:t>]</w:t>
      </w:r>
      <w:r w:rsidR="00971926">
        <w:t xml:space="preserve">; whereas ACE with </w:t>
      </w:r>
      <m:oMath>
        <m:sSub>
          <m:sSubPr>
            <m:ctrlPr>
              <w:rPr>
                <w:rFonts w:ascii="Cambria Math" w:hAnsi="Cambria Math"/>
                <w:i/>
              </w:rPr>
            </m:ctrlPr>
          </m:sSubPr>
          <m:e>
            <m:r>
              <w:rPr>
                <w:rFonts w:ascii="Cambria Math" w:hAnsi="Cambria Math"/>
              </w:rPr>
              <m:t>α</m:t>
            </m:r>
          </m:e>
          <m:sub>
            <m:r>
              <w:rPr>
                <w:rFonts w:ascii="Cambria Math" w:hAnsi="Cambria Math"/>
              </w:rPr>
              <m:t>L</m:t>
            </m:r>
          </m:sub>
        </m:sSub>
        <m:r>
          <w:rPr>
            <w:rFonts w:ascii="Cambria Math" w:hAnsi="Cambria Math"/>
          </w:rPr>
          <m:t>=0.001</m:t>
        </m:r>
      </m:oMath>
      <w:r w:rsidR="00971926">
        <w:t xml:space="preserve"> is </w:t>
      </w:r>
      <m:oMath>
        <m:r>
          <w:rPr>
            <w:rFonts w:ascii="Cambria Math" w:hAnsi="Cambria Math" w:cs="Times New Roman"/>
          </w:rPr>
          <m:t>-1.04*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w:r w:rsidR="00971926">
        <w:t xml:space="preserve"> with a </w:t>
      </w:r>
      <w:r w:rsidR="006B63D7">
        <w:t xml:space="preserve">asymptotic </w:t>
      </w:r>
      <w:r w:rsidR="00971926">
        <w:t>95% confidence interval [</w:t>
      </w:r>
      <m:oMath>
        <m:r>
          <w:rPr>
            <w:rFonts w:ascii="Cambria Math" w:hAnsi="Cambria Math" w:cs="Times New Roman"/>
          </w:rPr>
          <m:t>-1.53*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 -5.25*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w:r w:rsidR="00971926">
        <w:t>]</w:t>
      </w:r>
      <w:r w:rsidR="00B8324A">
        <w:t>.</w:t>
      </w:r>
      <w:r w:rsidR="006B63D7">
        <w:t xml:space="preserve"> </w:t>
      </w:r>
    </w:p>
    <w:p w14:paraId="047F19BD" w14:textId="3CA9837A" w:rsidR="00A5769B" w:rsidRDefault="00A5769B" w:rsidP="007D74D5">
      <w:pPr>
        <w:keepNext/>
        <w:jc w:val="center"/>
      </w:pPr>
      <w:r>
        <w:rPr>
          <w:noProof/>
        </w:rPr>
        <w:drawing>
          <wp:inline distT="0" distB="0" distL="0" distR="0" wp14:anchorId="74850EF2" wp14:editId="40299199">
            <wp:extent cx="2942379" cy="220678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6120" cy="2232090"/>
                    </a:xfrm>
                    <a:prstGeom prst="rect">
                      <a:avLst/>
                    </a:prstGeom>
                    <a:noFill/>
                    <a:ln>
                      <a:noFill/>
                    </a:ln>
                  </pic:spPr>
                </pic:pic>
              </a:graphicData>
            </a:graphic>
          </wp:inline>
        </w:drawing>
      </w:r>
      <w:r>
        <w:rPr>
          <w:noProof/>
        </w:rPr>
        <w:drawing>
          <wp:inline distT="0" distB="0" distL="0" distR="0" wp14:anchorId="4E25AF45" wp14:editId="3E5B4527">
            <wp:extent cx="2939415" cy="2204562"/>
            <wp:effectExtent l="0" t="0" r="0" b="571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2902" cy="2237177"/>
                    </a:xfrm>
                    <a:prstGeom prst="rect">
                      <a:avLst/>
                    </a:prstGeom>
                    <a:noFill/>
                    <a:ln>
                      <a:noFill/>
                    </a:ln>
                  </pic:spPr>
                </pic:pic>
              </a:graphicData>
            </a:graphic>
          </wp:inline>
        </w:drawing>
      </w:r>
    </w:p>
    <w:p w14:paraId="1B0B1598" w14:textId="663DC8D3" w:rsidR="00A5769B" w:rsidRDefault="00A5769B" w:rsidP="00A5769B">
      <w:pPr>
        <w:pStyle w:val="Caption"/>
        <w:jc w:val="center"/>
      </w:pPr>
      <w:bookmarkStart w:id="13" w:name="_Ref90045609"/>
      <w:r>
        <w:t xml:space="preserve">Figure </w:t>
      </w:r>
      <w:r w:rsidR="00426C97">
        <w:fldChar w:fldCharType="begin"/>
      </w:r>
      <w:r w:rsidR="00426C97">
        <w:instrText xml:space="preserve"> SEQ Figure \* ARABIC </w:instrText>
      </w:r>
      <w:r w:rsidR="00426C97">
        <w:fldChar w:fldCharType="separate"/>
      </w:r>
      <w:r w:rsidR="009E02A0">
        <w:rPr>
          <w:noProof/>
        </w:rPr>
        <w:t>3</w:t>
      </w:r>
      <w:r w:rsidR="00426C97">
        <w:rPr>
          <w:noProof/>
        </w:rPr>
        <w:fldChar w:fldCharType="end"/>
      </w:r>
      <w:bookmarkEnd w:id="13"/>
      <w:r>
        <w:t xml:space="preserve"> </w:t>
      </w:r>
      <w:bookmarkStart w:id="14" w:name="_Ref90045596"/>
      <w:r>
        <w:t>Distribution of estimated treatment effect with different lower bound truncation for propensity score</w:t>
      </w:r>
      <w:bookmarkEnd w:id="14"/>
    </w:p>
    <w:p w14:paraId="7041A2AF" w14:textId="77777777" w:rsidR="00B3390E" w:rsidRPr="00B3390E" w:rsidRDefault="00B3390E" w:rsidP="00B3390E"/>
    <w:p w14:paraId="7577FABD" w14:textId="3F7D1E65" w:rsidR="00B3390E" w:rsidRDefault="00B3390E" w:rsidP="00B3390E">
      <w:r>
        <w:t>We bootstrapped the sample 500 times to generate the distribution of estimated ACE</w:t>
      </w:r>
      <w:r w:rsidR="00241837">
        <w:t xml:space="preserve"> (</w:t>
      </w:r>
      <w:r w:rsidR="00241837" w:rsidRPr="00241837">
        <w:rPr>
          <w:b/>
          <w:bCs/>
        </w:rPr>
        <w:fldChar w:fldCharType="begin"/>
      </w:r>
      <w:r w:rsidR="00241837" w:rsidRPr="00241837">
        <w:rPr>
          <w:b/>
          <w:bCs/>
        </w:rPr>
        <w:instrText xml:space="preserve"> REF _Ref90148641 \h </w:instrText>
      </w:r>
      <w:r w:rsidR="00241837">
        <w:rPr>
          <w:b/>
          <w:bCs/>
        </w:rPr>
        <w:instrText xml:space="preserve"> \* MERGEFORMAT </w:instrText>
      </w:r>
      <w:r w:rsidR="00241837" w:rsidRPr="00241837">
        <w:rPr>
          <w:b/>
          <w:bCs/>
        </w:rPr>
      </w:r>
      <w:r w:rsidR="00241837" w:rsidRPr="00241837">
        <w:rPr>
          <w:b/>
          <w:bCs/>
        </w:rPr>
        <w:fldChar w:fldCharType="separate"/>
      </w:r>
      <w:r w:rsidR="009E02A0" w:rsidRPr="009E02A0">
        <w:rPr>
          <w:b/>
          <w:bCs/>
        </w:rPr>
        <w:t xml:space="preserve">Figure </w:t>
      </w:r>
      <w:r w:rsidR="009E02A0" w:rsidRPr="009E02A0">
        <w:rPr>
          <w:b/>
          <w:bCs/>
          <w:noProof/>
        </w:rPr>
        <w:t>4</w:t>
      </w:r>
      <w:r w:rsidR="00241837" w:rsidRPr="00241837">
        <w:rPr>
          <w:b/>
          <w:bCs/>
        </w:rPr>
        <w:fldChar w:fldCharType="end"/>
      </w:r>
      <w:r w:rsidR="00241837">
        <w:t>)</w:t>
      </w:r>
      <w:r>
        <w:t>.</w:t>
      </w:r>
      <w:r w:rsidR="00241837">
        <w:t xml:space="preserve"> </w:t>
      </w:r>
      <w:r>
        <w:t xml:space="preserve">The mean ACE is </w:t>
      </w:r>
      <m:oMath>
        <m:r>
          <w:rPr>
            <w:rFonts w:ascii="Cambria Math" w:hAnsi="Cambria Math" w:cs="Times New Roman"/>
          </w:rPr>
          <m:t>-4.20*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w:r>
        <w:t xml:space="preserve"> with standard error </w:t>
      </w:r>
      <m:oMath>
        <m:r>
          <w:rPr>
            <w:rFonts w:ascii="Cambria Math" w:hAnsi="Cambria Math" w:cs="Times New Roman"/>
          </w:rPr>
          <m:t>3.79*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w:r>
        <w:t>.</w:t>
      </w:r>
    </w:p>
    <w:p w14:paraId="0BBB938A" w14:textId="77777777" w:rsidR="00B3390E" w:rsidRPr="00630AF7" w:rsidRDefault="00B3390E" w:rsidP="00B3390E"/>
    <w:p w14:paraId="7B06FB27" w14:textId="77777777" w:rsidR="007F0F20" w:rsidRDefault="00B3390E" w:rsidP="007F0F20">
      <w:pPr>
        <w:keepNext/>
        <w:jc w:val="center"/>
      </w:pPr>
      <w:r>
        <w:rPr>
          <w:noProof/>
        </w:rPr>
        <w:drawing>
          <wp:inline distT="0" distB="0" distL="0" distR="0" wp14:anchorId="0C1FD1F6" wp14:editId="3FF61E80">
            <wp:extent cx="4715086" cy="3147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6402"/>
                    <a:stretch/>
                  </pic:blipFill>
                  <pic:spPr bwMode="auto">
                    <a:xfrm>
                      <a:off x="0" y="0"/>
                      <a:ext cx="4735539" cy="3160890"/>
                    </a:xfrm>
                    <a:prstGeom prst="rect">
                      <a:avLst/>
                    </a:prstGeom>
                    <a:noFill/>
                    <a:ln>
                      <a:noFill/>
                    </a:ln>
                    <a:extLst>
                      <a:ext uri="{53640926-AAD7-44D8-BBD7-CCE9431645EC}">
                        <a14:shadowObscured xmlns:a14="http://schemas.microsoft.com/office/drawing/2010/main"/>
                      </a:ext>
                    </a:extLst>
                  </pic:spPr>
                </pic:pic>
              </a:graphicData>
            </a:graphic>
          </wp:inline>
        </w:drawing>
      </w:r>
    </w:p>
    <w:p w14:paraId="55DE0C04" w14:textId="1DC09780" w:rsidR="007F0F20" w:rsidRDefault="007F0F20" w:rsidP="007F0F20">
      <w:pPr>
        <w:pStyle w:val="Caption"/>
        <w:jc w:val="center"/>
      </w:pPr>
      <w:bookmarkStart w:id="15" w:name="_Ref90148641"/>
      <w:r>
        <w:t xml:space="preserve">Figure </w:t>
      </w:r>
      <w:r w:rsidR="00426C97">
        <w:fldChar w:fldCharType="begin"/>
      </w:r>
      <w:r w:rsidR="00426C97">
        <w:instrText xml:space="preserve"> SEQ Figure \* ARABIC </w:instrText>
      </w:r>
      <w:r w:rsidR="00426C97">
        <w:fldChar w:fldCharType="separate"/>
      </w:r>
      <w:r w:rsidR="009E02A0">
        <w:rPr>
          <w:noProof/>
        </w:rPr>
        <w:t>4</w:t>
      </w:r>
      <w:r w:rsidR="00426C97">
        <w:rPr>
          <w:noProof/>
        </w:rPr>
        <w:fldChar w:fldCharType="end"/>
      </w:r>
      <w:bookmarkEnd w:id="15"/>
      <w:r>
        <w:t xml:space="preserve"> Distribution of ACE with bootstrap N = 500</w:t>
      </w:r>
    </w:p>
    <w:p w14:paraId="01E39F53" w14:textId="1463D2B3" w:rsidR="000B1C15" w:rsidRDefault="000B1C15" w:rsidP="000B1C15"/>
    <w:p w14:paraId="5496E290" w14:textId="77777777" w:rsidR="000B1C15" w:rsidRPr="000B1C15" w:rsidRDefault="000B1C15" w:rsidP="000B1C15"/>
    <w:p w14:paraId="08B8C298" w14:textId="77777777" w:rsidR="007D74D5" w:rsidRDefault="007D74D5">
      <w:pPr>
        <w:rPr>
          <w:rFonts w:eastAsiaTheme="majorEastAsia" w:cs="Times New Roman"/>
          <w:b/>
          <w:bCs/>
          <w:i/>
          <w:iCs/>
          <w:color w:val="2F5496" w:themeColor="accent1" w:themeShade="BF"/>
          <w:sz w:val="26"/>
          <w:szCs w:val="26"/>
        </w:rPr>
      </w:pPr>
      <w:bookmarkStart w:id="16" w:name="_Toc90165231"/>
      <w:r>
        <w:br w:type="page"/>
      </w:r>
    </w:p>
    <w:p w14:paraId="0ECC7F79" w14:textId="4E78BB5D" w:rsidR="006012F4" w:rsidRPr="00525DFD" w:rsidRDefault="00525DFD" w:rsidP="00B65A90">
      <w:pPr>
        <w:pStyle w:val="Heading2"/>
      </w:pPr>
      <w:r w:rsidRPr="00525DFD">
        <w:lastRenderedPageBreak/>
        <w:t xml:space="preserve">Doubly </w:t>
      </w:r>
      <w:r w:rsidRPr="00B65A90">
        <w:t>Robust</w:t>
      </w:r>
      <w:r w:rsidRPr="00525DFD">
        <w:t xml:space="preserve"> Estimator</w:t>
      </w:r>
      <w:bookmarkEnd w:id="16"/>
    </w:p>
    <w:p w14:paraId="48A081A3" w14:textId="4F3002EA" w:rsidR="003B7782" w:rsidRDefault="00C94CB2" w:rsidP="003B7782">
      <w:r>
        <w:t xml:space="preserve">Here we combine the outcome and propensity score model mentioned above to construct a doubly robust estimator for ACE. The combination is consistent if either the propensity score or the outcome model is correctly specified. </w:t>
      </w:r>
      <w:r w:rsidR="00630AF7">
        <w:t xml:space="preserve">The </w:t>
      </w:r>
      <w:r w:rsidR="00D93A71">
        <w:t>ACE is estimated as below,</w:t>
      </w:r>
    </w:p>
    <w:p w14:paraId="18F1E48C" w14:textId="27865955" w:rsidR="00630AF7" w:rsidRPr="00D93A71" w:rsidRDefault="00426C97" w:rsidP="00630AF7">
      <m:oMathPara>
        <m:oMath>
          <m:acc>
            <m:accPr>
              <m:ctrlPr>
                <w:rPr>
                  <w:rFonts w:ascii="Cambria Math" w:hAnsi="Cambria Math"/>
                  <w:i/>
                </w:rPr>
              </m:ctrlPr>
            </m:accPr>
            <m:e>
              <m:r>
                <w:rPr>
                  <w:rFonts w:ascii="Cambria Math" w:hAnsi="Cambria Math"/>
                </w:rPr>
                <m:t>τ</m:t>
              </m:r>
            </m:e>
          </m:acc>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μ</m:t>
                  </m:r>
                </m:e>
              </m:acc>
            </m:e>
            <m:sub>
              <m:r>
                <w:rPr>
                  <w:rFonts w:ascii="Cambria Math" w:hAnsi="Cambria Math"/>
                </w:rPr>
                <m:t>1</m:t>
              </m:r>
            </m:sub>
            <m:sup>
              <m:r>
                <w:rPr>
                  <w:rFonts w:ascii="Cambria Math" w:hAnsi="Cambria Math"/>
                </w:rPr>
                <m:t>dr</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μ</m:t>
                  </m:r>
                </m:e>
              </m:acc>
            </m:e>
            <m:sub>
              <m:r>
                <w:rPr>
                  <w:rFonts w:ascii="Cambria Math" w:hAnsi="Cambria Math"/>
                </w:rPr>
                <m:t>0</m:t>
              </m:r>
            </m:sub>
            <m:sup>
              <m:r>
                <w:rPr>
                  <w:rFonts w:ascii="Cambria Math" w:hAnsi="Cambria Math"/>
                </w:rPr>
                <m:t>dr</m:t>
              </m:r>
            </m:sup>
          </m:sSubSup>
          <m:r>
            <w:rPr>
              <w:rFonts w:ascii="Cambria Math" w:hAnsi="Cambria Math"/>
            </w:rPr>
            <m:t xml:space="preserve"> </m:t>
          </m:r>
        </m:oMath>
      </m:oMathPara>
    </w:p>
    <w:p w14:paraId="5E2B0C0D" w14:textId="77777777" w:rsidR="00D93A71" w:rsidRPr="00630AF7" w:rsidRDefault="00426C97" w:rsidP="00D93A71">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μ</m:t>
                  </m:r>
                </m:e>
              </m:acc>
            </m:e>
            <m:sub>
              <m:r>
                <w:rPr>
                  <w:rFonts w:ascii="Cambria Math" w:hAnsi="Cambria Math"/>
                </w:rPr>
                <m:t>1</m:t>
              </m:r>
            </m:sub>
            <m:sup>
              <m:r>
                <w:rPr>
                  <w:rFonts w:ascii="Cambria Math" w:hAnsi="Cambria Math"/>
                </w:rPr>
                <m:t>dr</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e>
                  </m:d>
                </m:num>
                <m:den>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e>
          </m:nary>
        </m:oMath>
      </m:oMathPara>
    </w:p>
    <w:p w14:paraId="347A2B8F" w14:textId="7EE12768" w:rsidR="00D93A71" w:rsidRPr="003E6B3B" w:rsidRDefault="00426C97" w:rsidP="00D93A71">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μ</m:t>
                  </m:r>
                </m:e>
              </m:acc>
            </m:e>
            <m:sub>
              <m:r>
                <w:rPr>
                  <w:rFonts w:ascii="Cambria Math" w:hAnsi="Cambria Math"/>
                </w:rPr>
                <m:t>0</m:t>
              </m:r>
            </m:sub>
            <m:sup>
              <m:r>
                <w:rPr>
                  <w:rFonts w:ascii="Cambria Math" w:hAnsi="Cambria Math"/>
                </w:rPr>
                <m:t>dr</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(1-Z</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e>
                  </m:d>
                </m:num>
                <m:den>
                  <m:r>
                    <w:rPr>
                      <w:rFonts w:ascii="Cambria Math" w:hAnsi="Cambria Math"/>
                    </w:rPr>
                    <m:t>1-e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e>
          </m:nary>
        </m:oMath>
      </m:oMathPara>
    </w:p>
    <w:p w14:paraId="36C02233" w14:textId="6BCEFAB1" w:rsidR="004E78F6" w:rsidRDefault="003E6B3B" w:rsidP="00497BC2">
      <w:r>
        <w:t>For outcome model, we continue to use the linear model estimated in the first session and assume no differences in outcome model between treatment and control group (</w:t>
      </w:r>
      <w:proofErr w:type="gramStart"/>
      <w:r>
        <w:t>i.e.</w:t>
      </w:r>
      <w:proofErr w:type="gramEnd"/>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w:t>
      </w:r>
      <w:r w:rsidR="009A022A">
        <w:t>. The propensity score for each data points is estimated by running random forest 1000 times and taking average of the estimated score</w:t>
      </w:r>
      <w:r w:rsidR="00E66A95">
        <w:t xml:space="preserve"> (with lower bound 0.05)</w:t>
      </w:r>
      <w:r w:rsidR="009A022A">
        <w:t xml:space="preserve"> across all the runs. </w:t>
      </w:r>
      <w:r w:rsidR="00497BC2">
        <w:t xml:space="preserve">We bootstrapped the sample 500 times to generate the distribution of estimated ACE. The mean ACE is </w:t>
      </w:r>
      <m:oMath>
        <m:r>
          <w:rPr>
            <w:rFonts w:ascii="Cambria Math" w:hAnsi="Cambria Math" w:cs="Times New Roman"/>
          </w:rPr>
          <m:t>-3.27*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w:r w:rsidR="00497BC2">
        <w:t xml:space="preserve"> with standard error </w:t>
      </w:r>
      <m:oMath>
        <m:r>
          <w:rPr>
            <w:rFonts w:ascii="Cambria Math" w:hAnsi="Cambria Math" w:cs="Times New Roman"/>
          </w:rPr>
          <m:t>-1.28*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oMath>
      <w:r w:rsidR="00497BC2">
        <w:t>.</w:t>
      </w:r>
    </w:p>
    <w:p w14:paraId="7E743A87" w14:textId="77777777" w:rsidR="0057540A" w:rsidRPr="00630AF7" w:rsidRDefault="0057540A" w:rsidP="00497BC2"/>
    <w:p w14:paraId="366D1920" w14:textId="77777777" w:rsidR="00FE23DE" w:rsidRDefault="004E78F6" w:rsidP="00497BC2">
      <w:pPr>
        <w:keepNext/>
        <w:jc w:val="center"/>
      </w:pPr>
      <w:r>
        <w:rPr>
          <w:noProof/>
        </w:rPr>
        <w:drawing>
          <wp:inline distT="0" distB="0" distL="0" distR="0" wp14:anchorId="06E4AC89" wp14:editId="7913A040">
            <wp:extent cx="4725931" cy="31366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6933"/>
                    <a:stretch/>
                  </pic:blipFill>
                  <pic:spPr bwMode="auto">
                    <a:xfrm>
                      <a:off x="0" y="0"/>
                      <a:ext cx="4738837" cy="3145170"/>
                    </a:xfrm>
                    <a:prstGeom prst="rect">
                      <a:avLst/>
                    </a:prstGeom>
                    <a:noFill/>
                    <a:ln>
                      <a:noFill/>
                    </a:ln>
                    <a:extLst>
                      <a:ext uri="{53640926-AAD7-44D8-BBD7-CCE9431645EC}">
                        <a14:shadowObscured xmlns:a14="http://schemas.microsoft.com/office/drawing/2010/main"/>
                      </a:ext>
                    </a:extLst>
                  </pic:spPr>
                </pic:pic>
              </a:graphicData>
            </a:graphic>
          </wp:inline>
        </w:drawing>
      </w:r>
    </w:p>
    <w:p w14:paraId="681DE6C5" w14:textId="7A2DAA66" w:rsidR="00D93A71" w:rsidRPr="00D93A71" w:rsidRDefault="00FE23DE" w:rsidP="00497BC2">
      <w:pPr>
        <w:pStyle w:val="Caption"/>
        <w:jc w:val="center"/>
      </w:pPr>
      <w:bookmarkStart w:id="17" w:name="_Ref90150579"/>
      <w:r>
        <w:t xml:space="preserve">Figure </w:t>
      </w:r>
      <w:r w:rsidR="00426C97">
        <w:fldChar w:fldCharType="begin"/>
      </w:r>
      <w:r w:rsidR="00426C97">
        <w:instrText xml:space="preserve"> SEQ Figure \* ARABIC </w:instrText>
      </w:r>
      <w:r w:rsidR="00426C97">
        <w:fldChar w:fldCharType="separate"/>
      </w:r>
      <w:r w:rsidR="009E02A0">
        <w:rPr>
          <w:noProof/>
        </w:rPr>
        <w:t>5</w:t>
      </w:r>
      <w:r w:rsidR="00426C97">
        <w:rPr>
          <w:noProof/>
        </w:rPr>
        <w:fldChar w:fldCharType="end"/>
      </w:r>
      <w:bookmarkEnd w:id="17"/>
      <w:r>
        <w:t xml:space="preserve"> Distribution of ACE with bootstrap</w:t>
      </w:r>
      <w:r w:rsidR="007F0F20">
        <w:t xml:space="preserve"> N = 500</w:t>
      </w:r>
    </w:p>
    <w:p w14:paraId="69C16FD7" w14:textId="72E0BDF2" w:rsidR="00D93A71" w:rsidRPr="00630AF7" w:rsidRDefault="00D93A71" w:rsidP="00630AF7"/>
    <w:p w14:paraId="75E7D4E9" w14:textId="77777777" w:rsidR="000B1C15" w:rsidRDefault="000B1C15">
      <w:pPr>
        <w:rPr>
          <w:rFonts w:eastAsiaTheme="majorEastAsia" w:cs="Times New Roman"/>
          <w:b/>
          <w:bCs/>
          <w:i/>
          <w:iCs/>
          <w:color w:val="2F5496" w:themeColor="accent1" w:themeShade="BF"/>
          <w:sz w:val="26"/>
          <w:szCs w:val="26"/>
        </w:rPr>
      </w:pPr>
      <w:r>
        <w:br w:type="page"/>
      </w:r>
    </w:p>
    <w:p w14:paraId="74280524" w14:textId="765D5737" w:rsidR="00630AF7" w:rsidRDefault="00B65A90" w:rsidP="00B65A90">
      <w:pPr>
        <w:pStyle w:val="Heading2"/>
      </w:pPr>
      <w:bookmarkStart w:id="18" w:name="_Toc90165232"/>
      <w:r>
        <w:lastRenderedPageBreak/>
        <w:t>Comparison of Results</w:t>
      </w:r>
      <w:bookmarkEnd w:id="18"/>
    </w:p>
    <w:p w14:paraId="6264B4B0" w14:textId="2FA9E06D" w:rsidR="006035A6" w:rsidRPr="008E2928" w:rsidRDefault="008E2928" w:rsidP="00FC3456">
      <w:r w:rsidRPr="008E2928">
        <w:rPr>
          <w:b/>
          <w:bCs/>
        </w:rPr>
        <w:fldChar w:fldCharType="begin"/>
      </w:r>
      <w:r w:rsidRPr="008E2928">
        <w:rPr>
          <w:b/>
          <w:bCs/>
        </w:rPr>
        <w:instrText xml:space="preserve"> REF _Ref90150587 \h </w:instrText>
      </w:r>
      <w:r>
        <w:rPr>
          <w:b/>
          <w:bCs/>
        </w:rPr>
        <w:instrText xml:space="preserve"> \* MERGEFORMAT </w:instrText>
      </w:r>
      <w:r w:rsidRPr="008E2928">
        <w:rPr>
          <w:b/>
          <w:bCs/>
        </w:rPr>
      </w:r>
      <w:r w:rsidRPr="008E2928">
        <w:rPr>
          <w:b/>
          <w:bCs/>
        </w:rPr>
        <w:fldChar w:fldCharType="separate"/>
      </w:r>
      <w:r w:rsidR="009E02A0" w:rsidRPr="009E02A0">
        <w:rPr>
          <w:b/>
          <w:bCs/>
        </w:rPr>
        <w:t xml:space="preserve">Table </w:t>
      </w:r>
      <w:r w:rsidR="009E02A0" w:rsidRPr="009E02A0">
        <w:rPr>
          <w:b/>
          <w:bCs/>
          <w:noProof/>
        </w:rPr>
        <w:t>4</w:t>
      </w:r>
      <w:r w:rsidRPr="008E2928">
        <w:rPr>
          <w:b/>
          <w:bCs/>
        </w:rPr>
        <w:fldChar w:fldCharType="end"/>
      </w:r>
      <w:r>
        <w:rPr>
          <w:b/>
          <w:bCs/>
        </w:rPr>
        <w:t xml:space="preserve"> </w:t>
      </w:r>
      <w:r>
        <w:t xml:space="preserve">compares the results across three approaches. </w:t>
      </w:r>
      <w:r w:rsidR="0099413D">
        <w:t xml:space="preserve">The estimated average causal effect is consistently negative </w:t>
      </w:r>
      <w:r w:rsidR="00634B06">
        <w:t xml:space="preserve">for all three methods. </w:t>
      </w:r>
      <w:r w:rsidR="00CE319D">
        <w:t xml:space="preserve">Linear regression produced the greatest reduction of 0.987% reduction in </w:t>
      </w:r>
      <w:r w:rsidR="00F84592">
        <w:t xml:space="preserve">confirmed case growth rate 14 days after the target day whereas Hajek estimates produced the lowest reduction of </w:t>
      </w:r>
      <w:r w:rsidR="00DA4791">
        <w:t>0.</w:t>
      </w:r>
      <w:r w:rsidR="00F84592">
        <w:t>42</w:t>
      </w:r>
      <w:r w:rsidR="00DA4791">
        <w:t>0</w:t>
      </w:r>
      <w:r w:rsidR="00F84592">
        <w:t>%</w:t>
      </w:r>
      <w:r w:rsidR="00DA4791">
        <w:t xml:space="preserve"> while that for doubly robust estimate is 0.537%</w:t>
      </w:r>
      <w:r w:rsidR="00F84592">
        <w:t xml:space="preserve">. </w:t>
      </w:r>
      <w:r w:rsidR="00DA4791">
        <w:t xml:space="preserve">Assuming gaussian distribution, the estimated ACE from outcome regression and Hajek are both not significantly less than zero at p &lt; 0.1. Whereas doubly robust </w:t>
      </w:r>
      <w:r w:rsidR="008B39D6">
        <w:t>estimate shows an over 90% chance that implementing mask mandate at least for the non-vaccinated will reduce the CIVD-19 confirmed case growth rate 14 days after the target date.</w:t>
      </w:r>
    </w:p>
    <w:p w14:paraId="77CCC698" w14:textId="2516DC2C" w:rsidR="00FC3456" w:rsidRDefault="00FC3456" w:rsidP="00BE4512">
      <w:pPr>
        <w:pStyle w:val="Caption"/>
        <w:keepNext/>
        <w:jc w:val="center"/>
      </w:pPr>
      <w:bookmarkStart w:id="19" w:name="_Ref90150587"/>
      <w:r>
        <w:t xml:space="preserve">Table </w:t>
      </w:r>
      <w:r w:rsidR="00426C97">
        <w:fldChar w:fldCharType="begin"/>
      </w:r>
      <w:r w:rsidR="00426C97">
        <w:instrText xml:space="preserve"> SEQ Table \* ARABIC </w:instrText>
      </w:r>
      <w:r w:rsidR="00426C97">
        <w:fldChar w:fldCharType="separate"/>
      </w:r>
      <w:r w:rsidR="009E02A0">
        <w:rPr>
          <w:noProof/>
        </w:rPr>
        <w:t>4</w:t>
      </w:r>
      <w:r w:rsidR="00426C97">
        <w:rPr>
          <w:noProof/>
        </w:rPr>
        <w:fldChar w:fldCharType="end"/>
      </w:r>
      <w:bookmarkEnd w:id="19"/>
      <w:r>
        <w:t xml:space="preserve"> ACE and standard error </w:t>
      </w:r>
      <w:r w:rsidR="008E2928">
        <w:t>by approach</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890"/>
        <w:gridCol w:w="1890"/>
        <w:gridCol w:w="1800"/>
      </w:tblGrid>
      <w:tr w:rsidR="008B68F2" w:rsidRPr="00FC3456" w14:paraId="5622761A" w14:textId="77777777" w:rsidTr="008B39D6">
        <w:trPr>
          <w:trHeight w:val="350"/>
          <w:jc w:val="center"/>
        </w:trPr>
        <w:tc>
          <w:tcPr>
            <w:tcW w:w="1440" w:type="dxa"/>
            <w:shd w:val="clear" w:color="auto" w:fill="auto"/>
            <w:noWrap/>
            <w:vAlign w:val="bottom"/>
            <w:hideMark/>
          </w:tcPr>
          <w:p w14:paraId="5EADEB7B" w14:textId="77777777" w:rsidR="00FC3456" w:rsidRPr="00FC3456" w:rsidRDefault="00FC3456" w:rsidP="00FC3456">
            <w:pPr>
              <w:spacing w:after="0" w:line="240" w:lineRule="auto"/>
              <w:rPr>
                <w:rFonts w:eastAsia="Times New Roman" w:cs="Times New Roman"/>
                <w:sz w:val="20"/>
                <w:szCs w:val="24"/>
              </w:rPr>
            </w:pPr>
          </w:p>
        </w:tc>
        <w:tc>
          <w:tcPr>
            <w:tcW w:w="1890" w:type="dxa"/>
            <w:shd w:val="clear" w:color="auto" w:fill="auto"/>
            <w:noWrap/>
            <w:vAlign w:val="bottom"/>
            <w:hideMark/>
          </w:tcPr>
          <w:p w14:paraId="512FAF3D" w14:textId="77777777" w:rsidR="00FC3456" w:rsidRPr="00FC3456" w:rsidRDefault="00FC3456" w:rsidP="00FC3456">
            <w:pPr>
              <w:spacing w:after="0" w:line="240" w:lineRule="auto"/>
              <w:rPr>
                <w:rFonts w:eastAsia="Times New Roman" w:cs="Times New Roman"/>
                <w:b/>
                <w:bCs/>
                <w:color w:val="000000"/>
                <w:sz w:val="22"/>
              </w:rPr>
            </w:pPr>
            <w:r w:rsidRPr="00FC3456">
              <w:rPr>
                <w:rFonts w:eastAsia="Times New Roman" w:cs="Times New Roman"/>
                <w:b/>
                <w:bCs/>
                <w:color w:val="000000"/>
                <w:sz w:val="22"/>
              </w:rPr>
              <w:t>Linear</w:t>
            </w:r>
          </w:p>
        </w:tc>
        <w:tc>
          <w:tcPr>
            <w:tcW w:w="1890" w:type="dxa"/>
            <w:shd w:val="clear" w:color="auto" w:fill="auto"/>
            <w:noWrap/>
            <w:vAlign w:val="bottom"/>
            <w:hideMark/>
          </w:tcPr>
          <w:p w14:paraId="2D62A408" w14:textId="77777777" w:rsidR="00FC3456" w:rsidRPr="00FC3456" w:rsidRDefault="00FC3456" w:rsidP="00FC3456">
            <w:pPr>
              <w:spacing w:after="0" w:line="240" w:lineRule="auto"/>
              <w:rPr>
                <w:rFonts w:eastAsia="Times New Roman" w:cs="Times New Roman"/>
                <w:b/>
                <w:bCs/>
                <w:color w:val="000000"/>
                <w:sz w:val="22"/>
              </w:rPr>
            </w:pPr>
            <w:r w:rsidRPr="00FC3456">
              <w:rPr>
                <w:rFonts w:eastAsia="Times New Roman" w:cs="Times New Roman"/>
                <w:b/>
                <w:bCs/>
                <w:color w:val="000000"/>
                <w:sz w:val="22"/>
              </w:rPr>
              <w:t>Hajek</w:t>
            </w:r>
          </w:p>
        </w:tc>
        <w:tc>
          <w:tcPr>
            <w:tcW w:w="1800" w:type="dxa"/>
            <w:shd w:val="clear" w:color="auto" w:fill="auto"/>
            <w:noWrap/>
            <w:vAlign w:val="bottom"/>
            <w:hideMark/>
          </w:tcPr>
          <w:p w14:paraId="3C3B9DD3" w14:textId="0452727D" w:rsidR="00FC3456" w:rsidRPr="00FC3456" w:rsidRDefault="00FC3456" w:rsidP="00FC3456">
            <w:pPr>
              <w:spacing w:after="0" w:line="240" w:lineRule="auto"/>
              <w:rPr>
                <w:rFonts w:eastAsia="Times New Roman" w:cs="Times New Roman"/>
                <w:b/>
                <w:bCs/>
                <w:color w:val="000000"/>
                <w:sz w:val="22"/>
              </w:rPr>
            </w:pPr>
            <w:r w:rsidRPr="00FC3456">
              <w:rPr>
                <w:rFonts w:eastAsia="Times New Roman" w:cs="Times New Roman"/>
                <w:b/>
                <w:bCs/>
                <w:color w:val="000000"/>
                <w:sz w:val="22"/>
              </w:rPr>
              <w:t xml:space="preserve">Doubly </w:t>
            </w:r>
            <w:r>
              <w:rPr>
                <w:rFonts w:eastAsia="Times New Roman" w:cs="Times New Roman"/>
                <w:b/>
                <w:bCs/>
                <w:color w:val="000000"/>
                <w:sz w:val="22"/>
              </w:rPr>
              <w:t>R</w:t>
            </w:r>
            <w:r w:rsidRPr="00FC3456">
              <w:rPr>
                <w:rFonts w:eastAsia="Times New Roman" w:cs="Times New Roman"/>
                <w:b/>
                <w:bCs/>
                <w:color w:val="000000"/>
                <w:sz w:val="22"/>
              </w:rPr>
              <w:t>obust</w:t>
            </w:r>
          </w:p>
        </w:tc>
      </w:tr>
      <w:tr w:rsidR="008B68F2" w:rsidRPr="00FC3456" w14:paraId="7AC4C131" w14:textId="77777777" w:rsidTr="00CC0F67">
        <w:trPr>
          <w:trHeight w:val="288"/>
          <w:jc w:val="center"/>
        </w:trPr>
        <w:tc>
          <w:tcPr>
            <w:tcW w:w="1440" w:type="dxa"/>
            <w:shd w:val="clear" w:color="auto" w:fill="auto"/>
            <w:noWrap/>
            <w:vAlign w:val="bottom"/>
            <w:hideMark/>
          </w:tcPr>
          <w:p w14:paraId="0319A41B" w14:textId="77777777" w:rsidR="00FC3456" w:rsidRPr="00FC3456" w:rsidRDefault="00FC3456" w:rsidP="00FC3456">
            <w:pPr>
              <w:spacing w:after="0" w:line="240" w:lineRule="auto"/>
              <w:rPr>
                <w:rFonts w:eastAsia="Times New Roman" w:cs="Times New Roman"/>
                <w:b/>
                <w:bCs/>
                <w:color w:val="000000"/>
                <w:sz w:val="22"/>
              </w:rPr>
            </w:pPr>
            <w:r w:rsidRPr="00FC3456">
              <w:rPr>
                <w:rFonts w:eastAsia="Times New Roman" w:cs="Times New Roman"/>
                <w:b/>
                <w:bCs/>
                <w:color w:val="000000"/>
                <w:sz w:val="22"/>
              </w:rPr>
              <w:t>Est.</w:t>
            </w:r>
          </w:p>
        </w:tc>
        <w:tc>
          <w:tcPr>
            <w:tcW w:w="1890" w:type="dxa"/>
            <w:shd w:val="clear" w:color="auto" w:fill="auto"/>
            <w:noWrap/>
            <w:vAlign w:val="center"/>
            <w:hideMark/>
          </w:tcPr>
          <w:p w14:paraId="09B95F6D" w14:textId="77777777" w:rsidR="00FC3456" w:rsidRPr="00FC3456" w:rsidRDefault="00FC3456" w:rsidP="00FC3456">
            <w:pPr>
              <w:spacing w:after="0" w:line="240" w:lineRule="auto"/>
              <w:rPr>
                <w:rFonts w:eastAsia="Times New Roman" w:cs="Times New Roman"/>
                <w:color w:val="000000"/>
                <w:sz w:val="22"/>
              </w:rPr>
            </w:pPr>
            <w:r w:rsidRPr="00FC3456">
              <w:rPr>
                <w:rFonts w:eastAsia="Times New Roman" w:cs="Times New Roman"/>
                <w:color w:val="000000"/>
                <w:sz w:val="22"/>
              </w:rPr>
              <w:t>-0.00987</w:t>
            </w:r>
          </w:p>
        </w:tc>
        <w:tc>
          <w:tcPr>
            <w:tcW w:w="1890" w:type="dxa"/>
            <w:shd w:val="clear" w:color="auto" w:fill="auto"/>
            <w:noWrap/>
            <w:vAlign w:val="center"/>
            <w:hideMark/>
          </w:tcPr>
          <w:p w14:paraId="278E943F" w14:textId="77777777" w:rsidR="00FC3456" w:rsidRPr="00FC3456" w:rsidRDefault="00FC3456" w:rsidP="00FC3456">
            <w:pPr>
              <w:spacing w:after="0" w:line="240" w:lineRule="auto"/>
              <w:rPr>
                <w:rFonts w:eastAsia="Times New Roman" w:cs="Times New Roman"/>
                <w:color w:val="000000"/>
                <w:sz w:val="22"/>
              </w:rPr>
            </w:pPr>
            <w:r w:rsidRPr="00FC3456">
              <w:rPr>
                <w:rFonts w:eastAsia="Times New Roman" w:cs="Times New Roman"/>
                <w:color w:val="000000"/>
                <w:sz w:val="22"/>
              </w:rPr>
              <w:t>-0.00420</w:t>
            </w:r>
          </w:p>
        </w:tc>
        <w:tc>
          <w:tcPr>
            <w:tcW w:w="1800" w:type="dxa"/>
            <w:shd w:val="clear" w:color="auto" w:fill="auto"/>
            <w:noWrap/>
            <w:vAlign w:val="center"/>
            <w:hideMark/>
          </w:tcPr>
          <w:p w14:paraId="23D9EF79" w14:textId="139310C5" w:rsidR="00FC3456" w:rsidRPr="00FC3456" w:rsidRDefault="00FC3456" w:rsidP="00FC3456">
            <w:pPr>
              <w:spacing w:after="0" w:line="240" w:lineRule="auto"/>
              <w:rPr>
                <w:rFonts w:eastAsia="Times New Roman" w:cs="Times New Roman"/>
                <w:color w:val="000000"/>
                <w:sz w:val="22"/>
              </w:rPr>
            </w:pPr>
            <w:r w:rsidRPr="00FC3456">
              <w:rPr>
                <w:rFonts w:eastAsia="Times New Roman" w:cs="Times New Roman"/>
                <w:color w:val="000000"/>
                <w:sz w:val="22"/>
              </w:rPr>
              <w:t>-0.00</w:t>
            </w:r>
            <w:r w:rsidR="00CC0F67">
              <w:rPr>
                <w:rFonts w:eastAsia="Times New Roman" w:cs="Times New Roman"/>
                <w:color w:val="000000"/>
                <w:sz w:val="22"/>
              </w:rPr>
              <w:t>537</w:t>
            </w:r>
          </w:p>
        </w:tc>
      </w:tr>
      <w:tr w:rsidR="008B68F2" w:rsidRPr="00FC3456" w14:paraId="588740A6" w14:textId="77777777" w:rsidTr="00CC0F67">
        <w:trPr>
          <w:trHeight w:val="288"/>
          <w:jc w:val="center"/>
        </w:trPr>
        <w:tc>
          <w:tcPr>
            <w:tcW w:w="1440" w:type="dxa"/>
            <w:shd w:val="clear" w:color="auto" w:fill="auto"/>
            <w:noWrap/>
            <w:vAlign w:val="bottom"/>
            <w:hideMark/>
          </w:tcPr>
          <w:p w14:paraId="69348140" w14:textId="77777777" w:rsidR="00FC3456" w:rsidRPr="00FC3456" w:rsidRDefault="00FC3456" w:rsidP="00FC3456">
            <w:pPr>
              <w:spacing w:after="0" w:line="240" w:lineRule="auto"/>
              <w:rPr>
                <w:rFonts w:eastAsia="Times New Roman" w:cs="Times New Roman"/>
                <w:b/>
                <w:bCs/>
                <w:color w:val="000000"/>
                <w:sz w:val="22"/>
              </w:rPr>
            </w:pPr>
            <w:proofErr w:type="spellStart"/>
            <w:r w:rsidRPr="00FC3456">
              <w:rPr>
                <w:rFonts w:eastAsia="Times New Roman" w:cs="Times New Roman"/>
                <w:b/>
                <w:bCs/>
                <w:color w:val="000000"/>
                <w:sz w:val="22"/>
              </w:rPr>
              <w:t>s.e.</w:t>
            </w:r>
            <w:proofErr w:type="spellEnd"/>
          </w:p>
        </w:tc>
        <w:tc>
          <w:tcPr>
            <w:tcW w:w="1890" w:type="dxa"/>
            <w:shd w:val="clear" w:color="auto" w:fill="auto"/>
            <w:noWrap/>
            <w:vAlign w:val="center"/>
            <w:hideMark/>
          </w:tcPr>
          <w:p w14:paraId="1E4F7401" w14:textId="77777777" w:rsidR="00FC3456" w:rsidRPr="00FC3456" w:rsidRDefault="00FC3456" w:rsidP="00FC3456">
            <w:pPr>
              <w:spacing w:after="0" w:line="240" w:lineRule="auto"/>
              <w:rPr>
                <w:rFonts w:eastAsia="Times New Roman" w:cs="Times New Roman"/>
                <w:color w:val="000000"/>
                <w:sz w:val="22"/>
              </w:rPr>
            </w:pPr>
            <w:r w:rsidRPr="00FC3456">
              <w:rPr>
                <w:rFonts w:eastAsia="Times New Roman" w:cs="Times New Roman"/>
                <w:color w:val="000000"/>
                <w:sz w:val="22"/>
              </w:rPr>
              <w:t>0.00972</w:t>
            </w:r>
          </w:p>
        </w:tc>
        <w:tc>
          <w:tcPr>
            <w:tcW w:w="1890" w:type="dxa"/>
            <w:shd w:val="clear" w:color="auto" w:fill="auto"/>
            <w:noWrap/>
            <w:vAlign w:val="center"/>
            <w:hideMark/>
          </w:tcPr>
          <w:p w14:paraId="69221896" w14:textId="77777777" w:rsidR="00FC3456" w:rsidRPr="00FC3456" w:rsidRDefault="00FC3456" w:rsidP="00FC3456">
            <w:pPr>
              <w:spacing w:after="0" w:line="240" w:lineRule="auto"/>
              <w:rPr>
                <w:rFonts w:eastAsia="Times New Roman" w:cs="Times New Roman"/>
                <w:color w:val="000000"/>
                <w:sz w:val="22"/>
              </w:rPr>
            </w:pPr>
            <w:r w:rsidRPr="00FC3456">
              <w:rPr>
                <w:rFonts w:eastAsia="Times New Roman" w:cs="Times New Roman"/>
                <w:color w:val="000000"/>
                <w:sz w:val="22"/>
              </w:rPr>
              <w:t>0.00379</w:t>
            </w:r>
          </w:p>
        </w:tc>
        <w:tc>
          <w:tcPr>
            <w:tcW w:w="1800" w:type="dxa"/>
            <w:shd w:val="clear" w:color="auto" w:fill="auto"/>
            <w:noWrap/>
            <w:vAlign w:val="center"/>
            <w:hideMark/>
          </w:tcPr>
          <w:p w14:paraId="5C16249B" w14:textId="7CA625A7" w:rsidR="00FC3456" w:rsidRPr="00FC3456" w:rsidRDefault="00FC3456" w:rsidP="00FC3456">
            <w:pPr>
              <w:spacing w:after="0" w:line="240" w:lineRule="auto"/>
              <w:rPr>
                <w:rFonts w:eastAsia="Times New Roman" w:cs="Times New Roman"/>
                <w:color w:val="000000"/>
                <w:sz w:val="22"/>
              </w:rPr>
            </w:pPr>
            <w:r w:rsidRPr="00FC3456">
              <w:rPr>
                <w:rFonts w:eastAsia="Times New Roman" w:cs="Times New Roman"/>
                <w:color w:val="000000"/>
                <w:sz w:val="22"/>
              </w:rPr>
              <w:t>0.0</w:t>
            </w:r>
            <w:r w:rsidR="00CC0F67">
              <w:rPr>
                <w:rFonts w:eastAsia="Times New Roman" w:cs="Times New Roman"/>
                <w:color w:val="000000"/>
                <w:sz w:val="22"/>
              </w:rPr>
              <w:t>0406</w:t>
            </w:r>
          </w:p>
        </w:tc>
      </w:tr>
      <w:tr w:rsidR="00634B06" w:rsidRPr="00FC3456" w14:paraId="097498C8" w14:textId="77777777" w:rsidTr="00CC0F67">
        <w:trPr>
          <w:trHeight w:val="288"/>
          <w:jc w:val="center"/>
        </w:trPr>
        <w:tc>
          <w:tcPr>
            <w:tcW w:w="1440" w:type="dxa"/>
            <w:shd w:val="clear" w:color="auto" w:fill="auto"/>
            <w:noWrap/>
            <w:vAlign w:val="bottom"/>
          </w:tcPr>
          <w:p w14:paraId="63050D25" w14:textId="3AEB4424" w:rsidR="00634B06" w:rsidRPr="00FC3456" w:rsidRDefault="008B68F2" w:rsidP="00FC3456">
            <w:pPr>
              <w:spacing w:after="0" w:line="240" w:lineRule="auto"/>
              <w:rPr>
                <w:rFonts w:eastAsia="Times New Roman" w:cs="Times New Roman"/>
                <w:b/>
                <w:bCs/>
                <w:color w:val="000000"/>
                <w:sz w:val="22"/>
              </w:rPr>
            </w:pPr>
            <w:r>
              <w:rPr>
                <w:rFonts w:eastAsia="Times New Roman" w:cs="Times New Roman"/>
                <w:b/>
                <w:bCs/>
                <w:color w:val="000000"/>
                <w:sz w:val="22"/>
              </w:rPr>
              <w:t>95% CI</w:t>
            </w:r>
          </w:p>
        </w:tc>
        <w:tc>
          <w:tcPr>
            <w:tcW w:w="1890" w:type="dxa"/>
            <w:shd w:val="clear" w:color="auto" w:fill="auto"/>
            <w:noWrap/>
            <w:vAlign w:val="center"/>
          </w:tcPr>
          <w:p w14:paraId="53D63DF9" w14:textId="06A009AB" w:rsidR="00634B06" w:rsidRPr="00FC3456" w:rsidRDefault="008B68F2" w:rsidP="00FC3456">
            <w:pPr>
              <w:spacing w:after="0" w:line="240" w:lineRule="auto"/>
              <w:rPr>
                <w:rFonts w:eastAsia="Times New Roman" w:cs="Times New Roman"/>
                <w:color w:val="000000"/>
                <w:sz w:val="22"/>
              </w:rPr>
            </w:pPr>
            <w:r>
              <w:rPr>
                <w:rFonts w:eastAsia="Times New Roman" w:cs="Times New Roman"/>
                <w:color w:val="000000"/>
                <w:sz w:val="22"/>
              </w:rPr>
              <w:t>[-0.0289,0.00918]</w:t>
            </w:r>
          </w:p>
        </w:tc>
        <w:tc>
          <w:tcPr>
            <w:tcW w:w="1890" w:type="dxa"/>
            <w:shd w:val="clear" w:color="auto" w:fill="auto"/>
            <w:noWrap/>
            <w:vAlign w:val="center"/>
          </w:tcPr>
          <w:p w14:paraId="5D146B1F" w14:textId="3E526183" w:rsidR="00634B06" w:rsidRPr="00FC3456" w:rsidRDefault="008B68F2" w:rsidP="00FC3456">
            <w:pPr>
              <w:spacing w:after="0" w:line="240" w:lineRule="auto"/>
              <w:rPr>
                <w:rFonts w:eastAsia="Times New Roman" w:cs="Times New Roman"/>
                <w:color w:val="000000"/>
                <w:sz w:val="22"/>
              </w:rPr>
            </w:pPr>
            <w:r>
              <w:rPr>
                <w:rFonts w:eastAsia="Times New Roman" w:cs="Times New Roman"/>
                <w:color w:val="000000"/>
                <w:sz w:val="22"/>
              </w:rPr>
              <w:t>[-0.0116, 0.00323]</w:t>
            </w:r>
          </w:p>
        </w:tc>
        <w:tc>
          <w:tcPr>
            <w:tcW w:w="1800" w:type="dxa"/>
            <w:shd w:val="clear" w:color="auto" w:fill="auto"/>
            <w:noWrap/>
            <w:vAlign w:val="center"/>
          </w:tcPr>
          <w:p w14:paraId="735E7327" w14:textId="0E5B776B" w:rsidR="00634B06" w:rsidRPr="00FC3456" w:rsidRDefault="008B68F2" w:rsidP="00FC3456">
            <w:pPr>
              <w:spacing w:after="0" w:line="240" w:lineRule="auto"/>
              <w:rPr>
                <w:rFonts w:eastAsia="Times New Roman" w:cs="Times New Roman"/>
                <w:color w:val="000000"/>
                <w:sz w:val="22"/>
              </w:rPr>
            </w:pPr>
            <w:r>
              <w:rPr>
                <w:rFonts w:eastAsia="Times New Roman" w:cs="Times New Roman"/>
                <w:color w:val="000000"/>
                <w:sz w:val="22"/>
              </w:rPr>
              <w:t>[-0.02</w:t>
            </w:r>
            <w:r w:rsidR="00CE319D">
              <w:rPr>
                <w:rFonts w:eastAsia="Times New Roman" w:cs="Times New Roman"/>
                <w:color w:val="000000"/>
                <w:sz w:val="22"/>
              </w:rPr>
              <w:t>98</w:t>
            </w:r>
            <w:r>
              <w:rPr>
                <w:rFonts w:eastAsia="Times New Roman" w:cs="Times New Roman"/>
                <w:color w:val="000000"/>
                <w:sz w:val="22"/>
              </w:rPr>
              <w:t>, 0.02</w:t>
            </w:r>
            <w:r w:rsidR="00CE319D">
              <w:rPr>
                <w:rFonts w:eastAsia="Times New Roman" w:cs="Times New Roman"/>
                <w:color w:val="000000"/>
                <w:sz w:val="22"/>
              </w:rPr>
              <w:t>04</w:t>
            </w:r>
            <w:r>
              <w:rPr>
                <w:rFonts w:eastAsia="Times New Roman" w:cs="Times New Roman"/>
                <w:color w:val="000000"/>
                <w:sz w:val="22"/>
              </w:rPr>
              <w:t>]</w:t>
            </w:r>
          </w:p>
        </w:tc>
      </w:tr>
      <w:tr w:rsidR="00CC0F67" w:rsidRPr="00FC3456" w14:paraId="24B92A83" w14:textId="77777777" w:rsidTr="00CC0F67">
        <w:trPr>
          <w:trHeight w:val="288"/>
          <w:jc w:val="center"/>
        </w:trPr>
        <w:tc>
          <w:tcPr>
            <w:tcW w:w="1440" w:type="dxa"/>
            <w:shd w:val="clear" w:color="auto" w:fill="auto"/>
            <w:noWrap/>
            <w:vAlign w:val="bottom"/>
          </w:tcPr>
          <w:p w14:paraId="7F34ECFA" w14:textId="7F554813" w:rsidR="00CC0F67" w:rsidRDefault="00CC0F67" w:rsidP="00FC3456">
            <w:pPr>
              <w:spacing w:after="0" w:line="240" w:lineRule="auto"/>
              <w:rPr>
                <w:rFonts w:eastAsia="Times New Roman" w:cs="Times New Roman"/>
                <w:b/>
                <w:bCs/>
                <w:color w:val="000000"/>
                <w:sz w:val="22"/>
              </w:rPr>
            </w:pPr>
            <w:r>
              <w:rPr>
                <w:rFonts w:eastAsia="Times New Roman" w:cs="Times New Roman"/>
                <w:b/>
                <w:bCs/>
                <w:color w:val="000000"/>
                <w:sz w:val="22"/>
              </w:rPr>
              <w:t>One-tailed P-Value</w:t>
            </w:r>
          </w:p>
        </w:tc>
        <w:tc>
          <w:tcPr>
            <w:tcW w:w="1890" w:type="dxa"/>
            <w:shd w:val="clear" w:color="auto" w:fill="auto"/>
            <w:noWrap/>
            <w:vAlign w:val="center"/>
          </w:tcPr>
          <w:p w14:paraId="2C743B1E" w14:textId="573F378B" w:rsidR="00CC0F67" w:rsidRDefault="00CC0F67" w:rsidP="00FC3456">
            <w:pPr>
              <w:spacing w:after="0" w:line="240" w:lineRule="auto"/>
              <w:rPr>
                <w:rFonts w:eastAsia="Times New Roman" w:cs="Times New Roman"/>
                <w:color w:val="000000"/>
                <w:sz w:val="22"/>
              </w:rPr>
            </w:pPr>
            <w:r>
              <w:rPr>
                <w:rFonts w:eastAsia="Times New Roman" w:cs="Times New Roman"/>
                <w:color w:val="000000"/>
                <w:sz w:val="22"/>
              </w:rPr>
              <w:t>0.155</w:t>
            </w:r>
          </w:p>
        </w:tc>
        <w:tc>
          <w:tcPr>
            <w:tcW w:w="1890" w:type="dxa"/>
            <w:shd w:val="clear" w:color="auto" w:fill="auto"/>
            <w:noWrap/>
            <w:vAlign w:val="center"/>
          </w:tcPr>
          <w:p w14:paraId="020CB0F7" w14:textId="49B04D4A" w:rsidR="00CC0F67" w:rsidRDefault="00CC0F67" w:rsidP="00FC3456">
            <w:pPr>
              <w:spacing w:after="0" w:line="240" w:lineRule="auto"/>
              <w:rPr>
                <w:rFonts w:eastAsia="Times New Roman" w:cs="Times New Roman"/>
                <w:color w:val="000000"/>
                <w:sz w:val="22"/>
              </w:rPr>
            </w:pPr>
            <w:r>
              <w:rPr>
                <w:rFonts w:eastAsia="Times New Roman" w:cs="Times New Roman"/>
                <w:color w:val="000000"/>
                <w:sz w:val="22"/>
              </w:rPr>
              <w:t>0.134</w:t>
            </w:r>
          </w:p>
        </w:tc>
        <w:tc>
          <w:tcPr>
            <w:tcW w:w="1800" w:type="dxa"/>
            <w:shd w:val="clear" w:color="auto" w:fill="auto"/>
            <w:noWrap/>
            <w:vAlign w:val="center"/>
          </w:tcPr>
          <w:p w14:paraId="3BED96A6" w14:textId="42254A06" w:rsidR="00CC0F67" w:rsidRDefault="00CC0F67" w:rsidP="00FC3456">
            <w:pPr>
              <w:spacing w:after="0" w:line="240" w:lineRule="auto"/>
              <w:rPr>
                <w:rFonts w:eastAsia="Times New Roman" w:cs="Times New Roman"/>
                <w:color w:val="000000"/>
                <w:sz w:val="22"/>
              </w:rPr>
            </w:pPr>
            <w:r>
              <w:rPr>
                <w:rFonts w:eastAsia="Times New Roman" w:cs="Times New Roman"/>
                <w:color w:val="000000"/>
                <w:sz w:val="22"/>
              </w:rPr>
              <w:t>0.093</w:t>
            </w:r>
          </w:p>
        </w:tc>
      </w:tr>
    </w:tbl>
    <w:p w14:paraId="14A7258E" w14:textId="77777777" w:rsidR="006035A6" w:rsidRDefault="006035A6" w:rsidP="00B65A90"/>
    <w:p w14:paraId="4702D007" w14:textId="0F74057D" w:rsidR="00CD6DFC" w:rsidRDefault="00B57E12" w:rsidP="00F84592">
      <w:pPr>
        <w:keepNext/>
        <w:jc w:val="center"/>
      </w:pPr>
      <w:r>
        <w:rPr>
          <w:noProof/>
        </w:rPr>
        <w:drawing>
          <wp:inline distT="0" distB="0" distL="0" distR="0" wp14:anchorId="6B0805C3" wp14:editId="1221BBA2">
            <wp:extent cx="5400675" cy="233683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7051" b="6410"/>
                    <a:stretch/>
                  </pic:blipFill>
                  <pic:spPr bwMode="auto">
                    <a:xfrm>
                      <a:off x="0" y="0"/>
                      <a:ext cx="5413920" cy="2342561"/>
                    </a:xfrm>
                    <a:prstGeom prst="rect">
                      <a:avLst/>
                    </a:prstGeom>
                    <a:noFill/>
                    <a:ln>
                      <a:noFill/>
                    </a:ln>
                    <a:extLst>
                      <a:ext uri="{53640926-AAD7-44D8-BBD7-CCE9431645EC}">
                        <a14:shadowObscured xmlns:a14="http://schemas.microsoft.com/office/drawing/2010/main"/>
                      </a:ext>
                    </a:extLst>
                  </pic:spPr>
                </pic:pic>
              </a:graphicData>
            </a:graphic>
          </wp:inline>
        </w:drawing>
      </w:r>
    </w:p>
    <w:p w14:paraId="29E45F7F" w14:textId="68D4E5B0" w:rsidR="00ED16E7" w:rsidRDefault="00CD6DFC" w:rsidP="00CD6DFC">
      <w:pPr>
        <w:pStyle w:val="Caption"/>
        <w:jc w:val="center"/>
      </w:pPr>
      <w:r>
        <w:t xml:space="preserve">Figure </w:t>
      </w:r>
      <w:r w:rsidR="00426C97">
        <w:fldChar w:fldCharType="begin"/>
      </w:r>
      <w:r w:rsidR="00426C97">
        <w:instrText xml:space="preserve"> SEQ Figure \* ARABIC </w:instrText>
      </w:r>
      <w:r w:rsidR="00426C97">
        <w:fldChar w:fldCharType="separate"/>
      </w:r>
      <w:r w:rsidR="009E02A0">
        <w:rPr>
          <w:noProof/>
        </w:rPr>
        <w:t>6</w:t>
      </w:r>
      <w:r w:rsidR="00426C97">
        <w:rPr>
          <w:noProof/>
        </w:rPr>
        <w:fldChar w:fldCharType="end"/>
      </w:r>
      <w:r>
        <w:t xml:space="preserve"> Estimated effect on growth rate 14 days after by approach</w:t>
      </w:r>
    </w:p>
    <w:p w14:paraId="73C272C3" w14:textId="77777777" w:rsidR="00E814CF" w:rsidRDefault="00E814CF" w:rsidP="00F84592"/>
    <w:p w14:paraId="124CF9AB" w14:textId="136F3D99" w:rsidR="008B39D6" w:rsidRDefault="008B39D6" w:rsidP="006341DF">
      <w:r>
        <w:t xml:space="preserve">We also try to examine the effect of mask mandate implementation as time goes by. </w:t>
      </w:r>
      <w:r w:rsidR="006860D2">
        <w:t xml:space="preserve">As </w:t>
      </w:r>
      <w:r w:rsidR="000323B3">
        <w:t>doubly robust approach is more resistant to model misspecification, we apply it to estimate the impact mask mandate on the growth rate {7, 14, 30} days after September 1, 2021.</w:t>
      </w:r>
      <w:r w:rsidR="00CD376E">
        <w:t xml:space="preserve"> </w:t>
      </w:r>
      <w:r w:rsidR="0072274D">
        <w:t xml:space="preserve">The difference between treatment and control group growth as time goes by. </w:t>
      </w:r>
      <w:r w:rsidR="00E814CF">
        <w:t xml:space="preserve">7 days after the target date, a state with mask mandate is expected to have growth rate of 1.026 while a state without mask mandate is expected to have a growth rate of 1.029, though the difference is not significant </w:t>
      </w:r>
      <w:r w:rsidR="006341DF">
        <w:t xml:space="preserve">with p &lt; 0.1. Two weeks after the target date, the expected growth rate for treatment group 1.054 while that for control group is 1.060 and they are significantly different with p &lt; 0.1. After 30 days, </w:t>
      </w:r>
      <w:r w:rsidR="006341DF">
        <w:t>the expected growth rate for treatment group 1.</w:t>
      </w:r>
      <w:r w:rsidR="006341DF">
        <w:t>11</w:t>
      </w:r>
      <w:r w:rsidR="006341DF">
        <w:t>4 while that for control group is 1.</w:t>
      </w:r>
      <w:r w:rsidR="006341DF">
        <w:t>124</w:t>
      </w:r>
      <w:r w:rsidR="0037307A">
        <w:t>. The</w:t>
      </w:r>
      <w:r w:rsidR="007A4E6A">
        <w:t xml:space="preserve"> </w:t>
      </w:r>
      <w:r w:rsidR="0037307A">
        <w:lastRenderedPageBreak/>
        <w:t xml:space="preserve">outcome is not </w:t>
      </w:r>
      <w:r w:rsidR="006341DF">
        <w:t xml:space="preserve">significantly different with p &lt; 0.1. </w:t>
      </w:r>
      <w:r w:rsidR="000D09ED">
        <w:rPr>
          <w:noProof/>
        </w:rPr>
        <w:drawing>
          <wp:inline distT="0" distB="0" distL="0" distR="0" wp14:anchorId="0DA36F89" wp14:editId="0C907891">
            <wp:extent cx="5686425" cy="24422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6731" b="7371"/>
                    <a:stretch/>
                  </pic:blipFill>
                  <pic:spPr bwMode="auto">
                    <a:xfrm>
                      <a:off x="0" y="0"/>
                      <a:ext cx="5703122" cy="2449417"/>
                    </a:xfrm>
                    <a:prstGeom prst="rect">
                      <a:avLst/>
                    </a:prstGeom>
                    <a:noFill/>
                    <a:ln>
                      <a:noFill/>
                    </a:ln>
                    <a:extLst>
                      <a:ext uri="{53640926-AAD7-44D8-BBD7-CCE9431645EC}">
                        <a14:shadowObscured xmlns:a14="http://schemas.microsoft.com/office/drawing/2010/main"/>
                      </a:ext>
                    </a:extLst>
                  </pic:spPr>
                </pic:pic>
              </a:graphicData>
            </a:graphic>
          </wp:inline>
        </w:drawing>
      </w:r>
    </w:p>
    <w:p w14:paraId="41F18869" w14:textId="73DBF4E0" w:rsidR="000D09ED" w:rsidRDefault="008B39D6" w:rsidP="008B39D6">
      <w:pPr>
        <w:pStyle w:val="Caption"/>
        <w:jc w:val="center"/>
      </w:pPr>
      <w:r>
        <w:t xml:space="preserve">Figure </w:t>
      </w:r>
      <w:r>
        <w:fldChar w:fldCharType="begin"/>
      </w:r>
      <w:r>
        <w:instrText xml:space="preserve"> SEQ Figure \* ARABIC </w:instrText>
      </w:r>
      <w:r>
        <w:fldChar w:fldCharType="separate"/>
      </w:r>
      <w:r w:rsidR="009E02A0">
        <w:rPr>
          <w:noProof/>
        </w:rPr>
        <w:t>7</w:t>
      </w:r>
      <w:r>
        <w:fldChar w:fldCharType="end"/>
      </w:r>
      <w:r>
        <w:t xml:space="preserve"> Confirmed case growth rate N days after by treatment</w:t>
      </w:r>
    </w:p>
    <w:p w14:paraId="7F84D884" w14:textId="77777777" w:rsidR="0072274D" w:rsidRPr="0072274D" w:rsidRDefault="0072274D" w:rsidP="0072274D"/>
    <w:p w14:paraId="423FED32" w14:textId="2E293396" w:rsidR="000D09ED" w:rsidRDefault="0072274D" w:rsidP="00F84592">
      <w:r>
        <w:rPr>
          <w:noProof/>
        </w:rPr>
        <w:drawing>
          <wp:inline distT="0" distB="0" distL="0" distR="0" wp14:anchorId="65F805E7" wp14:editId="6B35C218">
            <wp:extent cx="5429250" cy="2323093"/>
            <wp:effectExtent l="0" t="0" r="0"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7692" b="6731"/>
                    <a:stretch/>
                  </pic:blipFill>
                  <pic:spPr bwMode="auto">
                    <a:xfrm>
                      <a:off x="0" y="0"/>
                      <a:ext cx="5441477" cy="2328325"/>
                    </a:xfrm>
                    <a:prstGeom prst="rect">
                      <a:avLst/>
                    </a:prstGeom>
                    <a:noFill/>
                    <a:ln>
                      <a:noFill/>
                    </a:ln>
                    <a:extLst>
                      <a:ext uri="{53640926-AAD7-44D8-BBD7-CCE9431645EC}">
                        <a14:shadowObscured xmlns:a14="http://schemas.microsoft.com/office/drawing/2010/main"/>
                      </a:ext>
                    </a:extLst>
                  </pic:spPr>
                </pic:pic>
              </a:graphicData>
            </a:graphic>
          </wp:inline>
        </w:drawing>
      </w:r>
    </w:p>
    <w:p w14:paraId="2FCFE0E2" w14:textId="5B122C1C" w:rsidR="0072274D" w:rsidRPr="00B65A90" w:rsidRDefault="0072274D" w:rsidP="0072274D">
      <w:pPr>
        <w:pStyle w:val="Caption"/>
        <w:jc w:val="center"/>
      </w:pPr>
      <w:r>
        <w:t xml:space="preserve">Figure </w:t>
      </w:r>
      <w:r>
        <w:fldChar w:fldCharType="begin"/>
      </w:r>
      <w:r>
        <w:instrText xml:space="preserve"> SEQ Figure \* ARABIC </w:instrText>
      </w:r>
      <w:r>
        <w:fldChar w:fldCharType="separate"/>
      </w:r>
      <w:r w:rsidR="009E02A0">
        <w:rPr>
          <w:noProof/>
        </w:rPr>
        <w:t>8</w:t>
      </w:r>
      <w:r>
        <w:rPr>
          <w:noProof/>
        </w:rPr>
        <w:fldChar w:fldCharType="end"/>
      </w:r>
      <w:r>
        <w:t xml:space="preserve"> Estimated effect on growth rate </w:t>
      </w:r>
      <w:proofErr w:type="gramStart"/>
      <w:r>
        <w:t>N day</w:t>
      </w:r>
      <w:proofErr w:type="gramEnd"/>
      <w:r>
        <w:t xml:space="preserve"> after September 1, 2021</w:t>
      </w:r>
    </w:p>
    <w:p w14:paraId="7DACDCC0" w14:textId="77777777" w:rsidR="0072274D" w:rsidRDefault="0072274D" w:rsidP="00F84592"/>
    <w:p w14:paraId="5C18FCB6" w14:textId="14606EB4" w:rsidR="006035A6" w:rsidRDefault="006035A6" w:rsidP="006035A6">
      <w:pPr>
        <w:pStyle w:val="Caption"/>
        <w:keepNext/>
        <w:jc w:val="center"/>
      </w:pPr>
      <w:r>
        <w:t xml:space="preserve">Table </w:t>
      </w:r>
      <w:r>
        <w:fldChar w:fldCharType="begin"/>
      </w:r>
      <w:r>
        <w:instrText xml:space="preserve"> SEQ Table \* ARABIC </w:instrText>
      </w:r>
      <w:r>
        <w:fldChar w:fldCharType="separate"/>
      </w:r>
      <w:r w:rsidR="009E02A0">
        <w:rPr>
          <w:noProof/>
        </w:rPr>
        <w:t>5</w:t>
      </w:r>
      <w:r>
        <w:fldChar w:fldCharType="end"/>
      </w:r>
      <w:r>
        <w:t xml:space="preserve"> Difference in confirmed case growth rate</w:t>
      </w:r>
    </w:p>
    <w:tbl>
      <w:tblPr>
        <w:tblW w:w="8995" w:type="dxa"/>
        <w:jc w:val="center"/>
        <w:tblLook w:val="04A0" w:firstRow="1" w:lastRow="0" w:firstColumn="1" w:lastColumn="0" w:noHBand="0" w:noVBand="1"/>
      </w:tblPr>
      <w:tblGrid>
        <w:gridCol w:w="960"/>
        <w:gridCol w:w="2120"/>
        <w:gridCol w:w="2040"/>
        <w:gridCol w:w="2255"/>
        <w:gridCol w:w="1620"/>
      </w:tblGrid>
      <w:tr w:rsidR="0047413A" w:rsidRPr="0047413A" w14:paraId="52964691" w14:textId="77777777" w:rsidTr="003A3C4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E6F6E" w14:textId="77777777" w:rsidR="0047413A" w:rsidRPr="0047413A" w:rsidRDefault="0047413A" w:rsidP="0047413A">
            <w:pPr>
              <w:spacing w:after="0" w:line="240" w:lineRule="auto"/>
              <w:rPr>
                <w:rFonts w:eastAsia="Times New Roman" w:cs="Times New Roman"/>
                <w:b/>
                <w:bCs/>
                <w:color w:val="000000"/>
                <w:sz w:val="22"/>
              </w:rPr>
            </w:pPr>
            <w:r w:rsidRPr="0047413A">
              <w:rPr>
                <w:rFonts w:eastAsia="Times New Roman" w:cs="Times New Roman"/>
                <w:b/>
                <w:bCs/>
                <w:color w:val="000000"/>
                <w:sz w:val="22"/>
              </w:rPr>
              <w:t>Delay</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45459159" w14:textId="77777777" w:rsidR="0047413A" w:rsidRPr="0047413A" w:rsidRDefault="0047413A" w:rsidP="0047413A">
            <w:pPr>
              <w:spacing w:after="0" w:line="240" w:lineRule="auto"/>
              <w:rPr>
                <w:rFonts w:eastAsia="Times New Roman" w:cs="Times New Roman"/>
                <w:b/>
                <w:bCs/>
                <w:color w:val="000000"/>
                <w:sz w:val="22"/>
              </w:rPr>
            </w:pPr>
            <w:r w:rsidRPr="0047413A">
              <w:rPr>
                <w:rFonts w:eastAsia="Times New Roman" w:cs="Times New Roman"/>
                <w:b/>
                <w:bCs/>
                <w:color w:val="000000"/>
                <w:sz w:val="22"/>
              </w:rPr>
              <w:t>Treatment (95%CI)</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18E5DAA0" w14:textId="77777777" w:rsidR="0047413A" w:rsidRPr="0047413A" w:rsidRDefault="0047413A" w:rsidP="0047413A">
            <w:pPr>
              <w:spacing w:after="0" w:line="240" w:lineRule="auto"/>
              <w:rPr>
                <w:rFonts w:eastAsia="Times New Roman" w:cs="Times New Roman"/>
                <w:b/>
                <w:bCs/>
                <w:color w:val="000000"/>
                <w:sz w:val="22"/>
              </w:rPr>
            </w:pPr>
            <w:r w:rsidRPr="0047413A">
              <w:rPr>
                <w:rFonts w:eastAsia="Times New Roman" w:cs="Times New Roman"/>
                <w:b/>
                <w:bCs/>
                <w:color w:val="000000"/>
                <w:sz w:val="22"/>
              </w:rPr>
              <w:t>Control (95% CI)</w:t>
            </w:r>
          </w:p>
        </w:tc>
        <w:tc>
          <w:tcPr>
            <w:tcW w:w="2255" w:type="dxa"/>
            <w:tcBorders>
              <w:top w:val="single" w:sz="4" w:space="0" w:color="auto"/>
              <w:left w:val="nil"/>
              <w:bottom w:val="single" w:sz="4" w:space="0" w:color="auto"/>
              <w:right w:val="single" w:sz="4" w:space="0" w:color="auto"/>
            </w:tcBorders>
            <w:shd w:val="clear" w:color="auto" w:fill="auto"/>
            <w:noWrap/>
            <w:vAlign w:val="bottom"/>
            <w:hideMark/>
          </w:tcPr>
          <w:p w14:paraId="4500F70E" w14:textId="77777777" w:rsidR="0047413A" w:rsidRPr="0047413A" w:rsidRDefault="0047413A" w:rsidP="0047413A">
            <w:pPr>
              <w:spacing w:after="0" w:line="240" w:lineRule="auto"/>
              <w:rPr>
                <w:rFonts w:eastAsia="Times New Roman" w:cs="Times New Roman"/>
                <w:b/>
                <w:bCs/>
                <w:color w:val="000000"/>
                <w:sz w:val="22"/>
              </w:rPr>
            </w:pPr>
            <w:r w:rsidRPr="0047413A">
              <w:rPr>
                <w:rFonts w:eastAsia="Times New Roman" w:cs="Times New Roman"/>
                <w:b/>
                <w:bCs/>
                <w:color w:val="000000"/>
                <w:sz w:val="22"/>
              </w:rPr>
              <w:t>ACE (95% CI)</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112A023" w14:textId="002F1F07" w:rsidR="0047413A" w:rsidRPr="0047413A" w:rsidRDefault="0047413A" w:rsidP="0047413A">
            <w:pPr>
              <w:spacing w:after="0" w:line="240" w:lineRule="auto"/>
              <w:rPr>
                <w:rFonts w:eastAsia="Times New Roman" w:cs="Times New Roman"/>
                <w:b/>
                <w:bCs/>
                <w:color w:val="000000"/>
                <w:sz w:val="22"/>
              </w:rPr>
            </w:pPr>
            <w:r w:rsidRPr="0047413A">
              <w:rPr>
                <w:rFonts w:eastAsia="Times New Roman" w:cs="Times New Roman"/>
                <w:b/>
                <w:bCs/>
                <w:color w:val="000000"/>
                <w:sz w:val="22"/>
              </w:rPr>
              <w:t xml:space="preserve">ACE </w:t>
            </w:r>
            <w:r w:rsidR="003A3C44">
              <w:rPr>
                <w:rFonts w:eastAsia="Times New Roman" w:cs="Times New Roman"/>
                <w:b/>
                <w:bCs/>
                <w:color w:val="000000"/>
                <w:sz w:val="22"/>
              </w:rPr>
              <w:t xml:space="preserve">One -tailed </w:t>
            </w:r>
            <w:r w:rsidRPr="0047413A">
              <w:rPr>
                <w:rFonts w:eastAsia="Times New Roman" w:cs="Times New Roman"/>
                <w:b/>
                <w:bCs/>
                <w:color w:val="000000"/>
                <w:sz w:val="22"/>
              </w:rPr>
              <w:t>P-value</w:t>
            </w:r>
          </w:p>
        </w:tc>
      </w:tr>
      <w:tr w:rsidR="0047413A" w:rsidRPr="0047413A" w14:paraId="3C660AD0" w14:textId="77777777" w:rsidTr="003A3C4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A1DF912" w14:textId="77777777" w:rsidR="0047413A" w:rsidRPr="0047413A" w:rsidRDefault="0047413A" w:rsidP="0047413A">
            <w:pPr>
              <w:spacing w:after="0" w:line="240" w:lineRule="auto"/>
              <w:rPr>
                <w:rFonts w:eastAsia="Times New Roman" w:cs="Times New Roman"/>
                <w:b/>
                <w:bCs/>
                <w:color w:val="000000"/>
                <w:sz w:val="22"/>
              </w:rPr>
            </w:pPr>
            <w:r w:rsidRPr="0047413A">
              <w:rPr>
                <w:rFonts w:eastAsia="Times New Roman" w:cs="Times New Roman"/>
                <w:b/>
                <w:bCs/>
                <w:color w:val="000000"/>
                <w:sz w:val="22"/>
              </w:rPr>
              <w:t>7 days</w:t>
            </w:r>
          </w:p>
        </w:tc>
        <w:tc>
          <w:tcPr>
            <w:tcW w:w="2120" w:type="dxa"/>
            <w:tcBorders>
              <w:top w:val="nil"/>
              <w:left w:val="nil"/>
              <w:bottom w:val="single" w:sz="4" w:space="0" w:color="auto"/>
              <w:right w:val="single" w:sz="4" w:space="0" w:color="auto"/>
            </w:tcBorders>
            <w:shd w:val="clear" w:color="auto" w:fill="auto"/>
            <w:noWrap/>
            <w:vAlign w:val="bottom"/>
            <w:hideMark/>
          </w:tcPr>
          <w:p w14:paraId="1AE923EC" w14:textId="77777777" w:rsidR="0047413A" w:rsidRPr="0047413A" w:rsidRDefault="0047413A" w:rsidP="0047413A">
            <w:pPr>
              <w:spacing w:after="0" w:line="240" w:lineRule="auto"/>
              <w:rPr>
                <w:rFonts w:eastAsia="Times New Roman" w:cs="Times New Roman"/>
                <w:color w:val="000000"/>
                <w:sz w:val="22"/>
              </w:rPr>
            </w:pPr>
            <w:r w:rsidRPr="0047413A">
              <w:rPr>
                <w:rFonts w:eastAsia="Times New Roman" w:cs="Times New Roman"/>
                <w:color w:val="000000"/>
                <w:sz w:val="22"/>
              </w:rPr>
              <w:t>1.026 (1.021, 1.032)</w:t>
            </w:r>
          </w:p>
        </w:tc>
        <w:tc>
          <w:tcPr>
            <w:tcW w:w="2040" w:type="dxa"/>
            <w:tcBorders>
              <w:top w:val="nil"/>
              <w:left w:val="nil"/>
              <w:bottom w:val="single" w:sz="4" w:space="0" w:color="auto"/>
              <w:right w:val="single" w:sz="4" w:space="0" w:color="auto"/>
            </w:tcBorders>
            <w:shd w:val="clear" w:color="auto" w:fill="auto"/>
            <w:noWrap/>
            <w:vAlign w:val="bottom"/>
            <w:hideMark/>
          </w:tcPr>
          <w:p w14:paraId="7D13DC4A" w14:textId="77777777" w:rsidR="0047413A" w:rsidRPr="0047413A" w:rsidRDefault="0047413A" w:rsidP="0047413A">
            <w:pPr>
              <w:spacing w:after="0" w:line="240" w:lineRule="auto"/>
              <w:rPr>
                <w:rFonts w:eastAsia="Times New Roman" w:cs="Times New Roman"/>
                <w:color w:val="000000"/>
                <w:sz w:val="22"/>
              </w:rPr>
            </w:pPr>
            <w:r w:rsidRPr="0047413A">
              <w:rPr>
                <w:rFonts w:eastAsia="Times New Roman" w:cs="Times New Roman"/>
                <w:color w:val="000000"/>
                <w:sz w:val="22"/>
              </w:rPr>
              <w:t>1.029 (1.205, 1.032)</w:t>
            </w:r>
          </w:p>
        </w:tc>
        <w:tc>
          <w:tcPr>
            <w:tcW w:w="2255" w:type="dxa"/>
            <w:tcBorders>
              <w:top w:val="nil"/>
              <w:left w:val="nil"/>
              <w:bottom w:val="single" w:sz="4" w:space="0" w:color="auto"/>
              <w:right w:val="single" w:sz="4" w:space="0" w:color="auto"/>
            </w:tcBorders>
            <w:shd w:val="clear" w:color="auto" w:fill="auto"/>
            <w:noWrap/>
            <w:vAlign w:val="bottom"/>
            <w:hideMark/>
          </w:tcPr>
          <w:p w14:paraId="7DF6EEA0" w14:textId="77777777" w:rsidR="0047413A" w:rsidRPr="0047413A" w:rsidRDefault="0047413A" w:rsidP="0047413A">
            <w:pPr>
              <w:spacing w:after="0" w:line="240" w:lineRule="auto"/>
              <w:rPr>
                <w:rFonts w:eastAsia="Times New Roman" w:cs="Times New Roman"/>
                <w:color w:val="000000"/>
                <w:sz w:val="22"/>
              </w:rPr>
            </w:pPr>
            <w:r w:rsidRPr="0047413A">
              <w:rPr>
                <w:rFonts w:eastAsia="Times New Roman" w:cs="Times New Roman"/>
                <w:color w:val="000000"/>
                <w:sz w:val="22"/>
              </w:rPr>
              <w:t>-0.002 (-0.007, 0.002)</w:t>
            </w:r>
          </w:p>
        </w:tc>
        <w:tc>
          <w:tcPr>
            <w:tcW w:w="1620" w:type="dxa"/>
            <w:tcBorders>
              <w:top w:val="nil"/>
              <w:left w:val="nil"/>
              <w:bottom w:val="single" w:sz="4" w:space="0" w:color="auto"/>
              <w:right w:val="single" w:sz="4" w:space="0" w:color="auto"/>
            </w:tcBorders>
            <w:shd w:val="clear" w:color="auto" w:fill="auto"/>
            <w:noWrap/>
            <w:vAlign w:val="bottom"/>
            <w:hideMark/>
          </w:tcPr>
          <w:p w14:paraId="052D7820" w14:textId="77777777" w:rsidR="0047413A" w:rsidRPr="0047413A" w:rsidRDefault="0047413A" w:rsidP="0047413A">
            <w:pPr>
              <w:spacing w:after="0" w:line="240" w:lineRule="auto"/>
              <w:rPr>
                <w:rFonts w:eastAsia="Times New Roman" w:cs="Times New Roman"/>
                <w:color w:val="000000"/>
                <w:sz w:val="22"/>
              </w:rPr>
            </w:pPr>
            <w:r w:rsidRPr="0047413A">
              <w:rPr>
                <w:rFonts w:eastAsia="Times New Roman" w:cs="Times New Roman"/>
                <w:color w:val="000000"/>
                <w:sz w:val="22"/>
              </w:rPr>
              <w:t>0.138</w:t>
            </w:r>
          </w:p>
        </w:tc>
      </w:tr>
      <w:tr w:rsidR="0047413A" w:rsidRPr="0047413A" w14:paraId="63CA3053" w14:textId="77777777" w:rsidTr="003A3C4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B9A754" w14:textId="77777777" w:rsidR="0047413A" w:rsidRPr="0047413A" w:rsidRDefault="0047413A" w:rsidP="0047413A">
            <w:pPr>
              <w:spacing w:after="0" w:line="240" w:lineRule="auto"/>
              <w:rPr>
                <w:rFonts w:eastAsia="Times New Roman" w:cs="Times New Roman"/>
                <w:b/>
                <w:bCs/>
                <w:color w:val="000000"/>
                <w:sz w:val="22"/>
              </w:rPr>
            </w:pPr>
            <w:r w:rsidRPr="0047413A">
              <w:rPr>
                <w:rFonts w:eastAsia="Times New Roman" w:cs="Times New Roman"/>
                <w:b/>
                <w:bCs/>
                <w:color w:val="000000"/>
                <w:sz w:val="22"/>
              </w:rPr>
              <w:t>14 days</w:t>
            </w:r>
          </w:p>
        </w:tc>
        <w:tc>
          <w:tcPr>
            <w:tcW w:w="2120" w:type="dxa"/>
            <w:tcBorders>
              <w:top w:val="nil"/>
              <w:left w:val="nil"/>
              <w:bottom w:val="single" w:sz="4" w:space="0" w:color="auto"/>
              <w:right w:val="single" w:sz="4" w:space="0" w:color="auto"/>
            </w:tcBorders>
            <w:shd w:val="clear" w:color="auto" w:fill="auto"/>
            <w:noWrap/>
            <w:vAlign w:val="bottom"/>
            <w:hideMark/>
          </w:tcPr>
          <w:p w14:paraId="3A550C38" w14:textId="77777777" w:rsidR="0047413A" w:rsidRPr="0047413A" w:rsidRDefault="0047413A" w:rsidP="0047413A">
            <w:pPr>
              <w:spacing w:after="0" w:line="240" w:lineRule="auto"/>
              <w:rPr>
                <w:rFonts w:eastAsia="Times New Roman" w:cs="Times New Roman"/>
                <w:color w:val="000000"/>
                <w:sz w:val="22"/>
              </w:rPr>
            </w:pPr>
            <w:r w:rsidRPr="0047413A">
              <w:rPr>
                <w:rFonts w:eastAsia="Times New Roman" w:cs="Times New Roman"/>
                <w:color w:val="000000"/>
                <w:sz w:val="22"/>
              </w:rPr>
              <w:t>1.054 (1.044, 1.065)</w:t>
            </w:r>
          </w:p>
        </w:tc>
        <w:tc>
          <w:tcPr>
            <w:tcW w:w="2040" w:type="dxa"/>
            <w:tcBorders>
              <w:top w:val="nil"/>
              <w:left w:val="nil"/>
              <w:bottom w:val="single" w:sz="4" w:space="0" w:color="auto"/>
              <w:right w:val="single" w:sz="4" w:space="0" w:color="auto"/>
            </w:tcBorders>
            <w:shd w:val="clear" w:color="auto" w:fill="auto"/>
            <w:noWrap/>
            <w:vAlign w:val="bottom"/>
            <w:hideMark/>
          </w:tcPr>
          <w:p w14:paraId="6BC29DDA" w14:textId="77777777" w:rsidR="0047413A" w:rsidRPr="0047413A" w:rsidRDefault="0047413A" w:rsidP="0047413A">
            <w:pPr>
              <w:spacing w:after="0" w:line="240" w:lineRule="auto"/>
              <w:rPr>
                <w:rFonts w:eastAsia="Times New Roman" w:cs="Times New Roman"/>
                <w:color w:val="000000"/>
                <w:sz w:val="22"/>
              </w:rPr>
            </w:pPr>
            <w:r w:rsidRPr="0047413A">
              <w:rPr>
                <w:rFonts w:eastAsia="Times New Roman" w:cs="Times New Roman"/>
                <w:color w:val="000000"/>
                <w:sz w:val="22"/>
              </w:rPr>
              <w:t>1.060 (1.052, 1.067)</w:t>
            </w:r>
          </w:p>
        </w:tc>
        <w:tc>
          <w:tcPr>
            <w:tcW w:w="2255" w:type="dxa"/>
            <w:tcBorders>
              <w:top w:val="nil"/>
              <w:left w:val="nil"/>
              <w:bottom w:val="single" w:sz="4" w:space="0" w:color="auto"/>
              <w:right w:val="single" w:sz="4" w:space="0" w:color="auto"/>
            </w:tcBorders>
            <w:shd w:val="clear" w:color="auto" w:fill="auto"/>
            <w:noWrap/>
            <w:vAlign w:val="bottom"/>
            <w:hideMark/>
          </w:tcPr>
          <w:p w14:paraId="242EA869" w14:textId="77777777" w:rsidR="0047413A" w:rsidRPr="0047413A" w:rsidRDefault="0047413A" w:rsidP="0047413A">
            <w:pPr>
              <w:spacing w:after="0" w:line="240" w:lineRule="auto"/>
              <w:rPr>
                <w:rFonts w:eastAsia="Times New Roman" w:cs="Times New Roman"/>
                <w:color w:val="000000"/>
                <w:sz w:val="22"/>
              </w:rPr>
            </w:pPr>
            <w:r w:rsidRPr="0047413A">
              <w:rPr>
                <w:rFonts w:eastAsia="Times New Roman" w:cs="Times New Roman"/>
                <w:color w:val="000000"/>
                <w:sz w:val="22"/>
              </w:rPr>
              <w:t>-0.005 (-0.013, 0.003)</w:t>
            </w:r>
          </w:p>
        </w:tc>
        <w:tc>
          <w:tcPr>
            <w:tcW w:w="1620" w:type="dxa"/>
            <w:tcBorders>
              <w:top w:val="nil"/>
              <w:left w:val="nil"/>
              <w:bottom w:val="single" w:sz="4" w:space="0" w:color="auto"/>
              <w:right w:val="single" w:sz="4" w:space="0" w:color="auto"/>
            </w:tcBorders>
            <w:shd w:val="clear" w:color="auto" w:fill="auto"/>
            <w:noWrap/>
            <w:vAlign w:val="bottom"/>
            <w:hideMark/>
          </w:tcPr>
          <w:p w14:paraId="2CFF937F" w14:textId="77777777" w:rsidR="0047413A" w:rsidRPr="0047413A" w:rsidRDefault="0047413A" w:rsidP="0047413A">
            <w:pPr>
              <w:spacing w:after="0" w:line="240" w:lineRule="auto"/>
              <w:rPr>
                <w:rFonts w:eastAsia="Times New Roman" w:cs="Times New Roman"/>
                <w:color w:val="000000"/>
                <w:sz w:val="22"/>
              </w:rPr>
            </w:pPr>
            <w:r w:rsidRPr="0047413A">
              <w:rPr>
                <w:rFonts w:eastAsia="Times New Roman" w:cs="Times New Roman"/>
                <w:color w:val="000000"/>
                <w:sz w:val="22"/>
              </w:rPr>
              <w:t>0.093</w:t>
            </w:r>
          </w:p>
        </w:tc>
      </w:tr>
      <w:tr w:rsidR="0047413A" w:rsidRPr="0047413A" w14:paraId="3A1C1596" w14:textId="77777777" w:rsidTr="003A3C4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ACBB0A" w14:textId="77777777" w:rsidR="0047413A" w:rsidRPr="0047413A" w:rsidRDefault="0047413A" w:rsidP="0047413A">
            <w:pPr>
              <w:spacing w:after="0" w:line="240" w:lineRule="auto"/>
              <w:rPr>
                <w:rFonts w:eastAsia="Times New Roman" w:cs="Times New Roman"/>
                <w:b/>
                <w:bCs/>
                <w:color w:val="000000"/>
                <w:sz w:val="22"/>
              </w:rPr>
            </w:pPr>
            <w:r w:rsidRPr="0047413A">
              <w:rPr>
                <w:rFonts w:eastAsia="Times New Roman" w:cs="Times New Roman"/>
                <w:b/>
                <w:bCs/>
                <w:color w:val="000000"/>
                <w:sz w:val="22"/>
              </w:rPr>
              <w:t>30 days</w:t>
            </w:r>
          </w:p>
        </w:tc>
        <w:tc>
          <w:tcPr>
            <w:tcW w:w="2120" w:type="dxa"/>
            <w:tcBorders>
              <w:top w:val="nil"/>
              <w:left w:val="nil"/>
              <w:bottom w:val="single" w:sz="4" w:space="0" w:color="auto"/>
              <w:right w:val="single" w:sz="4" w:space="0" w:color="auto"/>
            </w:tcBorders>
            <w:shd w:val="clear" w:color="auto" w:fill="auto"/>
            <w:noWrap/>
            <w:vAlign w:val="center"/>
            <w:hideMark/>
          </w:tcPr>
          <w:p w14:paraId="23905523" w14:textId="77777777" w:rsidR="0047413A" w:rsidRPr="0047413A" w:rsidRDefault="0047413A" w:rsidP="0047413A">
            <w:pPr>
              <w:spacing w:after="0" w:line="240" w:lineRule="auto"/>
              <w:rPr>
                <w:rFonts w:eastAsia="Times New Roman" w:cs="Times New Roman"/>
                <w:color w:val="000000"/>
                <w:sz w:val="22"/>
              </w:rPr>
            </w:pPr>
            <w:r w:rsidRPr="0047413A">
              <w:rPr>
                <w:rFonts w:eastAsia="Times New Roman" w:cs="Times New Roman"/>
                <w:color w:val="000000"/>
                <w:sz w:val="22"/>
              </w:rPr>
              <w:t>1.114 (1.095, 1.134)</w:t>
            </w:r>
          </w:p>
        </w:tc>
        <w:tc>
          <w:tcPr>
            <w:tcW w:w="2040" w:type="dxa"/>
            <w:tcBorders>
              <w:top w:val="nil"/>
              <w:left w:val="nil"/>
              <w:bottom w:val="single" w:sz="4" w:space="0" w:color="auto"/>
              <w:right w:val="single" w:sz="4" w:space="0" w:color="auto"/>
            </w:tcBorders>
            <w:shd w:val="clear" w:color="auto" w:fill="auto"/>
            <w:noWrap/>
            <w:vAlign w:val="center"/>
            <w:hideMark/>
          </w:tcPr>
          <w:p w14:paraId="731EE5C5" w14:textId="77777777" w:rsidR="0047413A" w:rsidRPr="0047413A" w:rsidRDefault="0047413A" w:rsidP="0047413A">
            <w:pPr>
              <w:spacing w:after="0" w:line="240" w:lineRule="auto"/>
              <w:rPr>
                <w:rFonts w:eastAsia="Times New Roman" w:cs="Times New Roman"/>
                <w:color w:val="000000"/>
                <w:sz w:val="22"/>
              </w:rPr>
            </w:pPr>
            <w:r w:rsidRPr="0047413A">
              <w:rPr>
                <w:rFonts w:eastAsia="Times New Roman" w:cs="Times New Roman"/>
                <w:color w:val="000000"/>
                <w:sz w:val="22"/>
              </w:rPr>
              <w:t>1.124 (1.108, 1.139)</w:t>
            </w:r>
          </w:p>
        </w:tc>
        <w:tc>
          <w:tcPr>
            <w:tcW w:w="2255" w:type="dxa"/>
            <w:tcBorders>
              <w:top w:val="nil"/>
              <w:left w:val="nil"/>
              <w:bottom w:val="single" w:sz="4" w:space="0" w:color="auto"/>
              <w:right w:val="single" w:sz="4" w:space="0" w:color="auto"/>
            </w:tcBorders>
            <w:shd w:val="clear" w:color="auto" w:fill="auto"/>
            <w:noWrap/>
            <w:vAlign w:val="center"/>
            <w:hideMark/>
          </w:tcPr>
          <w:p w14:paraId="0361B067" w14:textId="77777777" w:rsidR="0047413A" w:rsidRPr="0047413A" w:rsidRDefault="0047413A" w:rsidP="0047413A">
            <w:pPr>
              <w:spacing w:after="0" w:line="240" w:lineRule="auto"/>
              <w:rPr>
                <w:rFonts w:eastAsia="Times New Roman" w:cs="Times New Roman"/>
                <w:color w:val="000000"/>
                <w:sz w:val="22"/>
              </w:rPr>
            </w:pPr>
            <w:r w:rsidRPr="0047413A">
              <w:rPr>
                <w:rFonts w:eastAsia="Times New Roman" w:cs="Times New Roman"/>
                <w:color w:val="000000"/>
                <w:sz w:val="22"/>
              </w:rPr>
              <w:t>-0.009 (-0.024, 0.005)</w:t>
            </w:r>
          </w:p>
        </w:tc>
        <w:tc>
          <w:tcPr>
            <w:tcW w:w="1620" w:type="dxa"/>
            <w:tcBorders>
              <w:top w:val="nil"/>
              <w:left w:val="nil"/>
              <w:bottom w:val="single" w:sz="4" w:space="0" w:color="auto"/>
              <w:right w:val="single" w:sz="4" w:space="0" w:color="auto"/>
            </w:tcBorders>
            <w:shd w:val="clear" w:color="auto" w:fill="auto"/>
            <w:noWrap/>
            <w:vAlign w:val="bottom"/>
            <w:hideMark/>
          </w:tcPr>
          <w:p w14:paraId="55B92061" w14:textId="77777777" w:rsidR="0047413A" w:rsidRPr="0047413A" w:rsidRDefault="0047413A" w:rsidP="0047413A">
            <w:pPr>
              <w:spacing w:after="0" w:line="240" w:lineRule="auto"/>
              <w:rPr>
                <w:rFonts w:eastAsia="Times New Roman" w:cs="Times New Roman"/>
                <w:color w:val="000000"/>
                <w:sz w:val="22"/>
              </w:rPr>
            </w:pPr>
            <w:r w:rsidRPr="0047413A">
              <w:rPr>
                <w:rFonts w:eastAsia="Times New Roman" w:cs="Times New Roman"/>
                <w:color w:val="000000"/>
                <w:sz w:val="22"/>
              </w:rPr>
              <w:t>0.105</w:t>
            </w:r>
          </w:p>
        </w:tc>
      </w:tr>
    </w:tbl>
    <w:p w14:paraId="6D421D52" w14:textId="29EE676D" w:rsidR="0047413A" w:rsidRDefault="0047413A" w:rsidP="00CD6DFC"/>
    <w:p w14:paraId="6792611A" w14:textId="5F257AA9" w:rsidR="00CD6DFC" w:rsidRDefault="00CD6DFC" w:rsidP="00F84592">
      <w:pPr>
        <w:keepNext/>
        <w:jc w:val="center"/>
      </w:pPr>
    </w:p>
    <w:p w14:paraId="3C04A096" w14:textId="66704763" w:rsidR="000B1C15" w:rsidRDefault="000B1C15">
      <w:r>
        <w:br w:type="page"/>
      </w:r>
    </w:p>
    <w:p w14:paraId="77A2F596" w14:textId="6EAFCF7A" w:rsidR="00A95793" w:rsidRDefault="00463058" w:rsidP="00A95793">
      <w:pPr>
        <w:pStyle w:val="Heading1"/>
      </w:pPr>
      <w:bookmarkStart w:id="20" w:name="_Toc90165233"/>
      <w:r>
        <w:lastRenderedPageBreak/>
        <w:t>DISCUSSION</w:t>
      </w:r>
      <w:bookmarkEnd w:id="20"/>
    </w:p>
    <w:p w14:paraId="5B303A93" w14:textId="2AC36393" w:rsidR="00506143" w:rsidRDefault="00B01DC1" w:rsidP="0064527E">
      <w:r>
        <w:t xml:space="preserve">As students started to return to campus, daily travel and activity frequency </w:t>
      </w:r>
      <w:r w:rsidR="00733DEC">
        <w:t>gets higher and closer to the level before the pandemic</w:t>
      </w:r>
      <w:r w:rsidR="00CE530A">
        <w:t xml:space="preserve">. </w:t>
      </w:r>
      <w:r w:rsidR="00733DEC">
        <w:t>Increased exposure risk and transmission probability, c</w:t>
      </w:r>
      <w:r w:rsidR="00CE530A">
        <w:t xml:space="preserve">oupled with </w:t>
      </w:r>
      <w:r w:rsidR="00733DEC">
        <w:t xml:space="preserve">the </w:t>
      </w:r>
      <w:r w:rsidR="00CE530A">
        <w:t xml:space="preserve">enhanced spread ability of new virus variant, </w:t>
      </w:r>
      <w:r w:rsidR="00733DEC">
        <w:t>again pose great threat to public health</w:t>
      </w:r>
      <w:r w:rsidR="00201C8E">
        <w:t xml:space="preserve">. The </w:t>
      </w:r>
      <w:r w:rsidR="00733DEC">
        <w:t xml:space="preserve">loosened </w:t>
      </w:r>
      <w:r w:rsidR="00485A19">
        <w:t>statewide pandemic restrictions like indoor capacity limits and mask mandate</w:t>
      </w:r>
      <w:r w:rsidR="00201C8E">
        <w:t xml:space="preserve"> might not be able to accommodate current situation</w:t>
      </w:r>
      <w:r w:rsidR="00485A19">
        <w:t xml:space="preserve">. </w:t>
      </w:r>
      <w:r w:rsidR="00201C8E">
        <w:t>Reevaluat</w:t>
      </w:r>
      <w:r w:rsidR="001D6CD0">
        <w:t>ion of public health policy is critical to see whether the previous relaxation is still valid at a point when schools reopen, and a statewide mobility change is observed.</w:t>
      </w:r>
    </w:p>
    <w:p w14:paraId="1AAF8DE3" w14:textId="2A1B3F7A" w:rsidR="001D6CD0" w:rsidRDefault="007A4E6A" w:rsidP="0064527E">
      <w:pPr>
        <w:rPr>
          <w:rFonts w:hint="eastAsia"/>
        </w:rPr>
      </w:pPr>
      <w:r>
        <w:t>The study aims to exam the effectiveness of mask mandate on public health outcomes. Specifically, we want to see if having a public mask mandate implemented at least for the non-vaccinated can suppress the COVID confirmed case growth rate</w:t>
      </w:r>
      <w:r w:rsidR="003C59BB">
        <w:t xml:space="preserve">. </w:t>
      </w:r>
      <w:r w:rsidR="008E781B">
        <w:t>The analysis is conducted at the state level with the development of a</w:t>
      </w:r>
      <w:r w:rsidR="003C59BB">
        <w:t xml:space="preserve"> causal inference framework</w:t>
      </w:r>
      <w:r w:rsidR="008E781B">
        <w:t xml:space="preserve">. Here, the treatment is whether a state have implemented a mask mandate at least for the non-vaccinated by September 1, 2021, when most of the students have returned to campus; the outcome is the confirmed case growth rate 7, 14, 30 days after the target date. Confounders including population demographic, population density, political leading, </w:t>
      </w:r>
      <w:r w:rsidR="000071C2">
        <w:t xml:space="preserve">previous COVID status and </w:t>
      </w:r>
      <w:r w:rsidR="008E781B">
        <w:t>mobility change</w:t>
      </w:r>
      <w:r w:rsidR="000071C2">
        <w:t xml:space="preserve"> are considered. Three approaches including outcome regression, propensity score weighting and doubly robust are adopted to estimate the average causal effect. All three methods show a negative ACE and thus a reduction effect of mask mandate on confirmed case growth rate</w:t>
      </w:r>
      <w:r w:rsidR="00FB6285">
        <w:t xml:space="preserve"> 14 days after the target date,</w:t>
      </w:r>
      <w:r w:rsidR="000071C2">
        <w:t xml:space="preserve"> </w:t>
      </w:r>
      <w:r w:rsidR="00FB6285">
        <w:t xml:space="preserve">among which, doubly robust estimates a significant reduction impact with p &lt; 0.1. We further apply doubly robust estimates to see the effect of mask mandate as time goes by. </w:t>
      </w:r>
      <w:r w:rsidR="00581559">
        <w:t>A long-term impact of mask mandate implementation is found that the difference in expected confirmed case growth rate between treatment and control group increase. The result further confirms the critical role of mask mandate in the battle with pandemic.</w:t>
      </w:r>
    </w:p>
    <w:p w14:paraId="596E9953" w14:textId="3002ECCC" w:rsidR="0064527E" w:rsidRDefault="00DE5B42" w:rsidP="00C951E8">
      <w:r>
        <w:t xml:space="preserve">However, there are some limitations in this study that can be further addressed. First, as the covariate balance check shows, the covariates are not well balanced across treatment and control group, which means the violation of </w:t>
      </w:r>
      <w:proofErr w:type="spellStart"/>
      <w:r>
        <w:t>ignorability</w:t>
      </w:r>
      <w:proofErr w:type="spellEnd"/>
      <w:r>
        <w:t xml:space="preserve"> assumption and thus </w:t>
      </w:r>
      <w:r w:rsidR="00143D8F">
        <w:t xml:space="preserve">the biasedness of our estimates. Future study can collect other variables </w:t>
      </w:r>
      <w:proofErr w:type="gramStart"/>
      <w:r w:rsidR="00393F08">
        <w:t>in order to</w:t>
      </w:r>
      <w:proofErr w:type="gramEnd"/>
      <w:r w:rsidR="00393F08">
        <w:t xml:space="preserve"> capture those unmeasured confounders. Sensitivity analysis can also be conducted </w:t>
      </w:r>
      <w:r w:rsidR="003F6FA6">
        <w:t xml:space="preserve">to assess the influence of unmeasured confounders on causal conclusions </w:t>
      </w:r>
      <w:r w:rsidR="003F6FA6">
        <w:fldChar w:fldCharType="begin" w:fldLock="1"/>
      </w:r>
      <w:r w:rsidR="003F6FA6">
        <w:instrText>ADDIN CSL_CITATION {"citationItems":[{"id":"ITEM-1","itemData":{"DOI":"10.1097/eDe.0000000000000457","ISBN":"0000000000000","ISSN":"15315487","PMID":"26841057","abstract":"Unmeasured confounding may undermine the validity of causal inference with observational studies. Sensitivity analysis provides an attractive way to partially circumvent this issue by assessing the potential influence of unmeasured confounding on causal conclusions. However, previous sensitivity analysis approaches often make strong and untestable assumptions such as having an unmeasured confounder that is binary, or having no interaction between the effects of the exposure and the confounder on the outcome, or having only one unmeasured confounder. Without imposing any assumptions on the unmeasured confounder or confounders, we derive a bounding factor and a sharp inequality such that the sensitivity analysis parameters must satisfy the inequality if an unmeasured confounder is to explain away the observed effect estimate or reduce it to a particular level. Our approach is easy to implement and involves only two sensitivity parameters. Surprisingly, our bounding factor, which makes no simplifying assumptions, is no more conservative than a number of previous sensitivity analysis techniques that do make assumptions. Our new bounding factor implies not only the traditional cornfield conditions that both the relative risk of the exposure on the confounder and that of the confounder on the outcome must satisfy but also a high threshold that the maximum of these relative risks must satisfy. Furthermore, this new bounding factor can be viewed as a measure of the strength of confounding between the exposure and the outcome induced by a confounder.","author":[{"dropping-particle":"","family":"Dinga","given":"Peng","non-dropping-particle":"","parse-names":false,"suffix":""},{"dropping-particle":"","family":"VanderWeele","given":"Tyler J.","non-dropping-particle":"","parse-names":false,"suffix":""}],"container-title":"Epidemiology","id":"ITEM-1","issue":"3","issued":{"date-parts":[["2016"]]},"page":"368-377","title":"Sensitivity analysis without assumptions","type":"article-journal","volume":"27"},"uris":["http://www.mendeley.com/documents/?uuid=a560ae0d-7fb3-4d7c-bb50-0fbf453b9947"]}],"mendeley":{"formattedCitation":"(13)","plainTextFormattedCitation":"(13)"},"properties":{"noteIndex":0},"schema":"https://github.com/citation-style-language/schema/raw/master/csl-citation.json"}</w:instrText>
      </w:r>
      <w:r w:rsidR="003F6FA6">
        <w:fldChar w:fldCharType="separate"/>
      </w:r>
      <w:r w:rsidR="003F6FA6" w:rsidRPr="003F6FA6">
        <w:rPr>
          <w:noProof/>
        </w:rPr>
        <w:t>(13)</w:t>
      </w:r>
      <w:r w:rsidR="003F6FA6">
        <w:fldChar w:fldCharType="end"/>
      </w:r>
      <w:r w:rsidR="003F6FA6">
        <w:t xml:space="preserve">. </w:t>
      </w:r>
      <w:r w:rsidR="000E6336">
        <w:t xml:space="preserve">Second, </w:t>
      </w:r>
      <w:r w:rsidR="00C951E8">
        <w:t>we only focus on two levels of treatment in this study (</w:t>
      </w:r>
      <w:proofErr w:type="spellStart"/>
      <w:r w:rsidR="00C951E8">
        <w:t>ie</w:t>
      </w:r>
      <w:proofErr w:type="spellEnd"/>
      <w:r w:rsidR="00C951E8">
        <w:t xml:space="preserve">. </w:t>
      </w:r>
      <w:r w:rsidR="00746DFF">
        <w:t>w</w:t>
      </w:r>
      <w:r w:rsidR="00C951E8">
        <w:t xml:space="preserve">hether </w:t>
      </w:r>
      <w:r w:rsidR="00746DFF">
        <w:t>implement a mask mandate at least for the non-vaccinated or not</w:t>
      </w:r>
      <w:r w:rsidR="00C951E8">
        <w:t>)</w:t>
      </w:r>
      <w:r w:rsidR="00746DFF">
        <w:t xml:space="preserve">. However, the strictness of mask mandate policy is multilevel instead of a binary treatment. In between of mandate versus no mandate, there are states recommend but not require masking in public space. </w:t>
      </w:r>
      <w:r w:rsidR="005C0B11">
        <w:t>Further, under the umbrella of statewide policy, there’re also county variations. As the belief of whether government should interfere personal freedom of ma</w:t>
      </w:r>
      <w:r w:rsidR="00914EB3">
        <w:t>sk wearing varies, a relative strict policy might lead to defiance and thus actually less effective than a soft recommendation. Th</w:t>
      </w:r>
      <w:r w:rsidR="00624EEE">
        <w:t>erefore</w:t>
      </w:r>
      <w:r w:rsidR="00914EB3">
        <w:t>, t</w:t>
      </w:r>
      <w:r w:rsidR="005C0B11">
        <w:t>he effectiveness of mask policy with different strictness level is also worth examining</w:t>
      </w:r>
      <w:r w:rsidR="001D2216">
        <w:t xml:space="preserve"> and could provide valuable insight for future policy decision making.</w:t>
      </w:r>
      <w:r w:rsidR="005C0B11">
        <w:t xml:space="preserve"> </w:t>
      </w:r>
    </w:p>
    <w:p w14:paraId="4D00C96F" w14:textId="323C8AC1" w:rsidR="000B1C15" w:rsidRDefault="000B1C15" w:rsidP="0064527E"/>
    <w:p w14:paraId="2A0AAB60" w14:textId="77777777" w:rsidR="000B1C15" w:rsidRDefault="000B1C15">
      <w:pPr>
        <w:rPr>
          <w:rFonts w:eastAsiaTheme="majorEastAsia" w:cstheme="majorBidi"/>
          <w:b/>
          <w:color w:val="2F5496" w:themeColor="accent1" w:themeShade="BF"/>
          <w:szCs w:val="32"/>
        </w:rPr>
      </w:pPr>
      <w:r>
        <w:br w:type="page"/>
      </w:r>
    </w:p>
    <w:p w14:paraId="6D01494F" w14:textId="463CEADB" w:rsidR="00A95793" w:rsidRDefault="00A95793" w:rsidP="00A95793">
      <w:pPr>
        <w:pStyle w:val="Heading1"/>
      </w:pPr>
      <w:bookmarkStart w:id="21" w:name="_Toc90165234"/>
      <w:r>
        <w:lastRenderedPageBreak/>
        <w:t>R</w:t>
      </w:r>
      <w:r w:rsidR="00463058">
        <w:t>EFERENCE</w:t>
      </w:r>
      <w:bookmarkEnd w:id="21"/>
    </w:p>
    <w:p w14:paraId="3998D05E" w14:textId="560DA3BD" w:rsidR="003F6FA6" w:rsidRPr="003F6FA6" w:rsidRDefault="00D14735" w:rsidP="003F6FA6">
      <w:pPr>
        <w:widowControl w:val="0"/>
        <w:autoSpaceDE w:val="0"/>
        <w:autoSpaceDN w:val="0"/>
        <w:adjustRightInd w:val="0"/>
        <w:spacing w:line="240" w:lineRule="auto"/>
        <w:ind w:left="640" w:hanging="640"/>
        <w:rPr>
          <w:rFonts w:cs="Times New Roman"/>
          <w:noProof/>
          <w:szCs w:val="24"/>
        </w:rPr>
      </w:pPr>
      <w:r w:rsidRPr="00594C11">
        <w:rPr>
          <w:rFonts w:cs="Times New Roman"/>
        </w:rPr>
        <w:fldChar w:fldCharType="begin" w:fldLock="1"/>
      </w:r>
      <w:r w:rsidRPr="00594C11">
        <w:rPr>
          <w:rFonts w:cs="Times New Roman"/>
        </w:rPr>
        <w:instrText xml:space="preserve">ADDIN Mendeley Bibliography CSL_BIBLIOGRAPHY </w:instrText>
      </w:r>
      <w:r w:rsidRPr="00594C11">
        <w:rPr>
          <w:rFonts w:cs="Times New Roman"/>
        </w:rPr>
        <w:fldChar w:fldCharType="separate"/>
      </w:r>
      <w:r w:rsidR="003F6FA6" w:rsidRPr="003F6FA6">
        <w:rPr>
          <w:rFonts w:cs="Times New Roman"/>
          <w:noProof/>
          <w:szCs w:val="24"/>
        </w:rPr>
        <w:t xml:space="preserve">1. </w:t>
      </w:r>
      <w:r w:rsidR="003F6FA6" w:rsidRPr="003F6FA6">
        <w:rPr>
          <w:rFonts w:cs="Times New Roman"/>
          <w:noProof/>
          <w:szCs w:val="24"/>
        </w:rPr>
        <w:tab/>
        <w:t>first-and-second-waves-of-coronavirus @ www.hopkinsmedicine.org [Internet]. Available from: https://www.hopkinsmedicine.org/health/conditions-and-diseases/coronavirus/first-and-second-waves-of-coronavirus</w:t>
      </w:r>
    </w:p>
    <w:p w14:paraId="367E6D55" w14:textId="77777777" w:rsidR="003F6FA6" w:rsidRPr="003F6FA6" w:rsidRDefault="003F6FA6" w:rsidP="003F6FA6">
      <w:pPr>
        <w:widowControl w:val="0"/>
        <w:autoSpaceDE w:val="0"/>
        <w:autoSpaceDN w:val="0"/>
        <w:adjustRightInd w:val="0"/>
        <w:spacing w:line="240" w:lineRule="auto"/>
        <w:ind w:left="640" w:hanging="640"/>
        <w:rPr>
          <w:rFonts w:cs="Times New Roman"/>
          <w:noProof/>
          <w:szCs w:val="24"/>
        </w:rPr>
      </w:pPr>
      <w:r w:rsidRPr="003F6FA6">
        <w:rPr>
          <w:rFonts w:cs="Times New Roman"/>
          <w:noProof/>
          <w:szCs w:val="24"/>
        </w:rPr>
        <w:t xml:space="preserve">2. </w:t>
      </w:r>
      <w:r w:rsidRPr="003F6FA6">
        <w:rPr>
          <w:rFonts w:cs="Times New Roman"/>
          <w:noProof/>
          <w:szCs w:val="24"/>
        </w:rPr>
        <w:tab/>
        <w:t xml:space="preserve">Brainard J, Jones NR, Lake IR, Hooper L, Hunter PR. Community use of face masks and similar barriers to prevent respiratory illness such as COVID-19: A rapid scoping review. Eurosurveillance. 2020;25(49). </w:t>
      </w:r>
    </w:p>
    <w:p w14:paraId="2B351EC9" w14:textId="77777777" w:rsidR="003F6FA6" w:rsidRPr="003F6FA6" w:rsidRDefault="003F6FA6" w:rsidP="003F6FA6">
      <w:pPr>
        <w:widowControl w:val="0"/>
        <w:autoSpaceDE w:val="0"/>
        <w:autoSpaceDN w:val="0"/>
        <w:adjustRightInd w:val="0"/>
        <w:spacing w:line="240" w:lineRule="auto"/>
        <w:ind w:left="640" w:hanging="640"/>
        <w:rPr>
          <w:rFonts w:cs="Times New Roman"/>
          <w:noProof/>
          <w:szCs w:val="24"/>
        </w:rPr>
      </w:pPr>
      <w:r w:rsidRPr="003F6FA6">
        <w:rPr>
          <w:rFonts w:cs="Times New Roman"/>
          <w:noProof/>
          <w:szCs w:val="24"/>
        </w:rPr>
        <w:t xml:space="preserve">3. </w:t>
      </w:r>
      <w:r w:rsidRPr="003F6FA6">
        <w:rPr>
          <w:rFonts w:cs="Times New Roman"/>
          <w:noProof/>
          <w:szCs w:val="24"/>
        </w:rPr>
        <w:tab/>
        <w:t>Chernozhukov V, Kasahara H, Schrimpf P. Causal impact of masks, policies, behavior on early covid-19 pandemic in the U.S. J Econom [Internet]. 2021;220(1):23–62. Available from: https://doi.org/10.1016/j.jeconom.2020.09.003</w:t>
      </w:r>
    </w:p>
    <w:p w14:paraId="2FEAD4BF" w14:textId="77777777" w:rsidR="003F6FA6" w:rsidRPr="003F6FA6" w:rsidRDefault="003F6FA6" w:rsidP="003F6FA6">
      <w:pPr>
        <w:widowControl w:val="0"/>
        <w:autoSpaceDE w:val="0"/>
        <w:autoSpaceDN w:val="0"/>
        <w:adjustRightInd w:val="0"/>
        <w:spacing w:line="240" w:lineRule="auto"/>
        <w:ind w:left="640" w:hanging="640"/>
        <w:rPr>
          <w:rFonts w:cs="Times New Roman"/>
          <w:noProof/>
          <w:szCs w:val="24"/>
        </w:rPr>
      </w:pPr>
      <w:r w:rsidRPr="003F6FA6">
        <w:rPr>
          <w:rFonts w:cs="Times New Roman"/>
          <w:noProof/>
          <w:szCs w:val="24"/>
        </w:rPr>
        <w:t xml:space="preserve">4. </w:t>
      </w:r>
      <w:r w:rsidRPr="003F6FA6">
        <w:rPr>
          <w:rFonts w:cs="Times New Roman"/>
          <w:noProof/>
          <w:szCs w:val="24"/>
        </w:rPr>
        <w:tab/>
        <w:t xml:space="preserve">Wong AK. Evaluating Public Masking Mandates on COVID-19 Growth Rates in U . S . States. 2021. </w:t>
      </w:r>
    </w:p>
    <w:p w14:paraId="5EF0610D" w14:textId="77777777" w:rsidR="003F6FA6" w:rsidRPr="003F6FA6" w:rsidRDefault="003F6FA6" w:rsidP="003F6FA6">
      <w:pPr>
        <w:widowControl w:val="0"/>
        <w:autoSpaceDE w:val="0"/>
        <w:autoSpaceDN w:val="0"/>
        <w:adjustRightInd w:val="0"/>
        <w:spacing w:line="240" w:lineRule="auto"/>
        <w:ind w:left="640" w:hanging="640"/>
        <w:rPr>
          <w:rFonts w:cs="Times New Roman"/>
          <w:noProof/>
          <w:szCs w:val="24"/>
        </w:rPr>
      </w:pPr>
      <w:r w:rsidRPr="003F6FA6">
        <w:rPr>
          <w:rFonts w:cs="Times New Roman"/>
          <w:noProof/>
          <w:szCs w:val="24"/>
        </w:rPr>
        <w:t xml:space="preserve">5. </w:t>
      </w:r>
      <w:r w:rsidRPr="003F6FA6">
        <w:rPr>
          <w:rFonts w:cs="Times New Roman"/>
          <w:noProof/>
          <w:szCs w:val="24"/>
        </w:rPr>
        <w:tab/>
        <w:t>COVID-19 Recommendations for Older Adults [Internet]. Available from: https://www.cdc.gov/aging/covid19/covid19-older-adults.html</w:t>
      </w:r>
    </w:p>
    <w:p w14:paraId="46C81C5E" w14:textId="77777777" w:rsidR="003F6FA6" w:rsidRPr="003F6FA6" w:rsidRDefault="003F6FA6" w:rsidP="003F6FA6">
      <w:pPr>
        <w:widowControl w:val="0"/>
        <w:autoSpaceDE w:val="0"/>
        <w:autoSpaceDN w:val="0"/>
        <w:adjustRightInd w:val="0"/>
        <w:spacing w:line="240" w:lineRule="auto"/>
        <w:ind w:left="640" w:hanging="640"/>
        <w:rPr>
          <w:rFonts w:cs="Times New Roman"/>
          <w:noProof/>
          <w:szCs w:val="24"/>
        </w:rPr>
      </w:pPr>
      <w:r w:rsidRPr="003F6FA6">
        <w:rPr>
          <w:rFonts w:cs="Times New Roman"/>
          <w:noProof/>
          <w:szCs w:val="24"/>
        </w:rPr>
        <w:t xml:space="preserve">6. </w:t>
      </w:r>
      <w:r w:rsidRPr="003F6FA6">
        <w:rPr>
          <w:rFonts w:cs="Times New Roman"/>
          <w:noProof/>
          <w:szCs w:val="24"/>
        </w:rPr>
        <w:tab/>
        <w:t>COVID-19 Cases and Deaths by Race/Ethnicity: Current Data and Changes Over Time [Internet]. Available from: https://www.kff.org/racial-equity-and-health-policy/issue-brief/covid-19-cases-and-deaths-by-race-ethnicity-current-data-and-changes-over-time/</w:t>
      </w:r>
    </w:p>
    <w:p w14:paraId="05F52A87" w14:textId="77777777" w:rsidR="003F6FA6" w:rsidRPr="003F6FA6" w:rsidRDefault="003F6FA6" w:rsidP="003F6FA6">
      <w:pPr>
        <w:widowControl w:val="0"/>
        <w:autoSpaceDE w:val="0"/>
        <w:autoSpaceDN w:val="0"/>
        <w:adjustRightInd w:val="0"/>
        <w:spacing w:line="240" w:lineRule="auto"/>
        <w:ind w:left="640" w:hanging="640"/>
        <w:rPr>
          <w:rFonts w:cs="Times New Roman"/>
          <w:noProof/>
          <w:szCs w:val="24"/>
        </w:rPr>
      </w:pPr>
      <w:r w:rsidRPr="003F6FA6">
        <w:rPr>
          <w:rFonts w:cs="Times New Roman"/>
          <w:noProof/>
          <w:szCs w:val="24"/>
        </w:rPr>
        <w:t xml:space="preserve">7. </w:t>
      </w:r>
      <w:r w:rsidRPr="003F6FA6">
        <w:rPr>
          <w:rFonts w:cs="Times New Roman"/>
          <w:noProof/>
          <w:szCs w:val="24"/>
        </w:rPr>
        <w:tab/>
        <w:t>Hopkins J. coronavirus resource center [Internet]. Available from: https://coronavirus.jhu.edu/about/how-to-use-our-data</w:t>
      </w:r>
    </w:p>
    <w:p w14:paraId="296D317F" w14:textId="77777777" w:rsidR="003F6FA6" w:rsidRPr="003F6FA6" w:rsidRDefault="003F6FA6" w:rsidP="003F6FA6">
      <w:pPr>
        <w:widowControl w:val="0"/>
        <w:autoSpaceDE w:val="0"/>
        <w:autoSpaceDN w:val="0"/>
        <w:adjustRightInd w:val="0"/>
        <w:spacing w:line="240" w:lineRule="auto"/>
        <w:ind w:left="640" w:hanging="640"/>
        <w:rPr>
          <w:rFonts w:cs="Times New Roman"/>
          <w:noProof/>
          <w:szCs w:val="24"/>
        </w:rPr>
      </w:pPr>
      <w:r w:rsidRPr="003F6FA6">
        <w:rPr>
          <w:rFonts w:cs="Times New Roman"/>
          <w:noProof/>
          <w:szCs w:val="24"/>
        </w:rPr>
        <w:t xml:space="preserve">8. </w:t>
      </w:r>
      <w:r w:rsidRPr="003F6FA6">
        <w:rPr>
          <w:rFonts w:cs="Times New Roman"/>
          <w:noProof/>
          <w:szCs w:val="24"/>
        </w:rPr>
        <w:tab/>
        <w:t>Raifman J, Nocka K, Jones D, Bor J, Lipson S, Jay J  and CP. COVID-19 US state policy database (CUSP) [Internet]. 2020. Available from: https://docs.google.com/document/d/1x4L4eJix6GTFqR-pFnX67xbdyHl5tVJHPwYbTPfascs/edit</w:t>
      </w:r>
    </w:p>
    <w:p w14:paraId="5D108E4E" w14:textId="77777777" w:rsidR="003F6FA6" w:rsidRPr="003F6FA6" w:rsidRDefault="003F6FA6" w:rsidP="003F6FA6">
      <w:pPr>
        <w:widowControl w:val="0"/>
        <w:autoSpaceDE w:val="0"/>
        <w:autoSpaceDN w:val="0"/>
        <w:adjustRightInd w:val="0"/>
        <w:spacing w:line="240" w:lineRule="auto"/>
        <w:ind w:left="640" w:hanging="640"/>
        <w:rPr>
          <w:rFonts w:cs="Times New Roman"/>
          <w:noProof/>
          <w:szCs w:val="24"/>
        </w:rPr>
      </w:pPr>
      <w:r w:rsidRPr="003F6FA6">
        <w:rPr>
          <w:rFonts w:cs="Times New Roman"/>
          <w:noProof/>
          <w:szCs w:val="24"/>
        </w:rPr>
        <w:t xml:space="preserve">9. </w:t>
      </w:r>
      <w:r w:rsidRPr="003F6FA6">
        <w:rPr>
          <w:rFonts w:cs="Times New Roman"/>
          <w:noProof/>
          <w:szCs w:val="24"/>
        </w:rPr>
        <w:tab/>
        <w:t>New York Times. Presidential Election Results [Internet]. Available from: https://www.nytimes.com/interactive/2020/11/03/us/elections/results-president.html</w:t>
      </w:r>
    </w:p>
    <w:p w14:paraId="5F3036E0" w14:textId="77777777" w:rsidR="003F6FA6" w:rsidRPr="003F6FA6" w:rsidRDefault="003F6FA6" w:rsidP="003F6FA6">
      <w:pPr>
        <w:widowControl w:val="0"/>
        <w:autoSpaceDE w:val="0"/>
        <w:autoSpaceDN w:val="0"/>
        <w:adjustRightInd w:val="0"/>
        <w:spacing w:line="240" w:lineRule="auto"/>
        <w:ind w:left="640" w:hanging="640"/>
        <w:rPr>
          <w:rFonts w:cs="Times New Roman"/>
          <w:noProof/>
          <w:szCs w:val="24"/>
        </w:rPr>
      </w:pPr>
      <w:r w:rsidRPr="003F6FA6">
        <w:rPr>
          <w:rFonts w:cs="Times New Roman"/>
          <w:noProof/>
          <w:szCs w:val="24"/>
        </w:rPr>
        <w:t xml:space="preserve">10. </w:t>
      </w:r>
      <w:r w:rsidRPr="003F6FA6">
        <w:rPr>
          <w:rFonts w:cs="Times New Roman"/>
          <w:noProof/>
          <w:szCs w:val="24"/>
        </w:rPr>
        <w:tab/>
        <w:t>Google. Community Mobility Reports [Internet]. Available from: https://www.google.com/covid19/mobility/</w:t>
      </w:r>
    </w:p>
    <w:p w14:paraId="57B628D5" w14:textId="77777777" w:rsidR="003F6FA6" w:rsidRPr="003F6FA6" w:rsidRDefault="003F6FA6" w:rsidP="003F6FA6">
      <w:pPr>
        <w:widowControl w:val="0"/>
        <w:autoSpaceDE w:val="0"/>
        <w:autoSpaceDN w:val="0"/>
        <w:adjustRightInd w:val="0"/>
        <w:spacing w:line="240" w:lineRule="auto"/>
        <w:ind w:left="640" w:hanging="640"/>
        <w:rPr>
          <w:rFonts w:cs="Times New Roman"/>
          <w:noProof/>
          <w:szCs w:val="24"/>
        </w:rPr>
      </w:pPr>
      <w:r w:rsidRPr="003F6FA6">
        <w:rPr>
          <w:rFonts w:cs="Times New Roman"/>
          <w:noProof/>
          <w:szCs w:val="24"/>
        </w:rPr>
        <w:t xml:space="preserve">11. </w:t>
      </w:r>
      <w:r w:rsidRPr="003F6FA6">
        <w:rPr>
          <w:rFonts w:cs="Times New Roman"/>
          <w:noProof/>
          <w:szCs w:val="24"/>
        </w:rPr>
        <w:tab/>
        <w:t xml:space="preserve">Kurth T, Walker AM, Glynn RJ, Chan KA, Gaziano JM, Berger K, et al. Results of multivariable logistic regression, propensity matching, propensity adjustment, and propensity-based weighting under conditions of nonuniform effect. Am J Epidemiol. 2006;163(3):262–70. </w:t>
      </w:r>
    </w:p>
    <w:p w14:paraId="02495E15" w14:textId="77777777" w:rsidR="003F6FA6" w:rsidRPr="003F6FA6" w:rsidRDefault="003F6FA6" w:rsidP="003F6FA6">
      <w:pPr>
        <w:widowControl w:val="0"/>
        <w:autoSpaceDE w:val="0"/>
        <w:autoSpaceDN w:val="0"/>
        <w:adjustRightInd w:val="0"/>
        <w:spacing w:line="240" w:lineRule="auto"/>
        <w:ind w:left="640" w:hanging="640"/>
        <w:rPr>
          <w:rFonts w:cs="Times New Roman"/>
          <w:noProof/>
          <w:szCs w:val="24"/>
        </w:rPr>
      </w:pPr>
      <w:r w:rsidRPr="003F6FA6">
        <w:rPr>
          <w:rFonts w:cs="Times New Roman"/>
          <w:noProof/>
          <w:szCs w:val="24"/>
        </w:rPr>
        <w:t xml:space="preserve">12. </w:t>
      </w:r>
      <w:r w:rsidRPr="003F6FA6">
        <w:rPr>
          <w:rFonts w:cs="Times New Roman"/>
          <w:noProof/>
          <w:szCs w:val="24"/>
        </w:rPr>
        <w:tab/>
        <w:t xml:space="preserve">Ding P. A First Course in Causal Inference. </w:t>
      </w:r>
    </w:p>
    <w:p w14:paraId="53AAF1EB" w14:textId="77777777" w:rsidR="003F6FA6" w:rsidRPr="003F6FA6" w:rsidRDefault="003F6FA6" w:rsidP="003F6FA6">
      <w:pPr>
        <w:widowControl w:val="0"/>
        <w:autoSpaceDE w:val="0"/>
        <w:autoSpaceDN w:val="0"/>
        <w:adjustRightInd w:val="0"/>
        <w:spacing w:line="240" w:lineRule="auto"/>
        <w:ind w:left="640" w:hanging="640"/>
        <w:rPr>
          <w:rFonts w:cs="Times New Roman"/>
          <w:noProof/>
        </w:rPr>
      </w:pPr>
      <w:r w:rsidRPr="003F6FA6">
        <w:rPr>
          <w:rFonts w:cs="Times New Roman"/>
          <w:noProof/>
          <w:szCs w:val="24"/>
        </w:rPr>
        <w:t xml:space="preserve">13. </w:t>
      </w:r>
      <w:r w:rsidRPr="003F6FA6">
        <w:rPr>
          <w:rFonts w:cs="Times New Roman"/>
          <w:noProof/>
          <w:szCs w:val="24"/>
        </w:rPr>
        <w:tab/>
        <w:t xml:space="preserve">Dinga P, VanderWeele TJ. Sensitivity analysis without assumptions. Epidemiology. 2016;27(3):368–77. </w:t>
      </w:r>
    </w:p>
    <w:p w14:paraId="4D41307C" w14:textId="406C9841" w:rsidR="00CD7157" w:rsidRPr="00CD7157" w:rsidRDefault="00D14735" w:rsidP="00CD7157">
      <w:r w:rsidRPr="00594C11">
        <w:rPr>
          <w:rFonts w:cs="Times New Roman"/>
        </w:rPr>
        <w:fldChar w:fldCharType="end"/>
      </w:r>
    </w:p>
    <w:p w14:paraId="0B2827B2" w14:textId="1E8799AE" w:rsidR="001464F7" w:rsidRDefault="001464F7" w:rsidP="001B4887"/>
    <w:p w14:paraId="38B6D0DE" w14:textId="77777777" w:rsidR="00A95793" w:rsidRPr="00A95793" w:rsidRDefault="00A95793" w:rsidP="00A95793"/>
    <w:sectPr w:rsidR="00A95793" w:rsidRPr="00A95793" w:rsidSect="00BB2E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31128" w14:textId="77777777" w:rsidR="00426C97" w:rsidRDefault="00426C97" w:rsidP="00DD5233">
      <w:pPr>
        <w:spacing w:after="0" w:line="240" w:lineRule="auto"/>
      </w:pPr>
      <w:r>
        <w:separator/>
      </w:r>
    </w:p>
  </w:endnote>
  <w:endnote w:type="continuationSeparator" w:id="0">
    <w:p w14:paraId="541FA216" w14:textId="77777777" w:rsidR="00426C97" w:rsidRDefault="00426C97" w:rsidP="00DD5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ACFFF" w14:textId="77777777" w:rsidR="00DD5233" w:rsidRDefault="00DD5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AC487" w14:textId="77777777" w:rsidR="00426C97" w:rsidRDefault="00426C97" w:rsidP="00DD5233">
      <w:pPr>
        <w:spacing w:after="0" w:line="240" w:lineRule="auto"/>
      </w:pPr>
      <w:r>
        <w:separator/>
      </w:r>
    </w:p>
  </w:footnote>
  <w:footnote w:type="continuationSeparator" w:id="0">
    <w:p w14:paraId="777AF09A" w14:textId="77777777" w:rsidR="00426C97" w:rsidRDefault="00426C97" w:rsidP="00DD5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517D"/>
    <w:multiLevelType w:val="hybridMultilevel"/>
    <w:tmpl w:val="C7E2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C3"/>
    <w:rsid w:val="000071C2"/>
    <w:rsid w:val="00020DA7"/>
    <w:rsid w:val="000323B3"/>
    <w:rsid w:val="0003250E"/>
    <w:rsid w:val="00042919"/>
    <w:rsid w:val="0004542B"/>
    <w:rsid w:val="00073AC0"/>
    <w:rsid w:val="00084137"/>
    <w:rsid w:val="000967EA"/>
    <w:rsid w:val="000B1C15"/>
    <w:rsid w:val="000C14CB"/>
    <w:rsid w:val="000C6879"/>
    <w:rsid w:val="000D09ED"/>
    <w:rsid w:val="000D1E63"/>
    <w:rsid w:val="000D34F0"/>
    <w:rsid w:val="000E6336"/>
    <w:rsid w:val="00123137"/>
    <w:rsid w:val="00127E56"/>
    <w:rsid w:val="001334D5"/>
    <w:rsid w:val="001356C7"/>
    <w:rsid w:val="00143D8F"/>
    <w:rsid w:val="001464F7"/>
    <w:rsid w:val="001567D7"/>
    <w:rsid w:val="001903C2"/>
    <w:rsid w:val="00192123"/>
    <w:rsid w:val="001B4887"/>
    <w:rsid w:val="001C2EC8"/>
    <w:rsid w:val="001D0485"/>
    <w:rsid w:val="001D2216"/>
    <w:rsid w:val="001D557D"/>
    <w:rsid w:val="001D6CD0"/>
    <w:rsid w:val="00201C8E"/>
    <w:rsid w:val="00203BBF"/>
    <w:rsid w:val="002207BF"/>
    <w:rsid w:val="0023379D"/>
    <w:rsid w:val="00235806"/>
    <w:rsid w:val="00241553"/>
    <w:rsid w:val="00241837"/>
    <w:rsid w:val="00242329"/>
    <w:rsid w:val="002566C8"/>
    <w:rsid w:val="002738AB"/>
    <w:rsid w:val="00282C37"/>
    <w:rsid w:val="002839B7"/>
    <w:rsid w:val="002A6A5E"/>
    <w:rsid w:val="002B3B9E"/>
    <w:rsid w:val="002D61BE"/>
    <w:rsid w:val="002E53B6"/>
    <w:rsid w:val="002F51EC"/>
    <w:rsid w:val="00300FD4"/>
    <w:rsid w:val="003443BE"/>
    <w:rsid w:val="00355904"/>
    <w:rsid w:val="00371CA5"/>
    <w:rsid w:val="0037307A"/>
    <w:rsid w:val="00376311"/>
    <w:rsid w:val="00380FB7"/>
    <w:rsid w:val="00393F08"/>
    <w:rsid w:val="00395404"/>
    <w:rsid w:val="00396138"/>
    <w:rsid w:val="003A3C44"/>
    <w:rsid w:val="003B7782"/>
    <w:rsid w:val="003C4C21"/>
    <w:rsid w:val="003C59BB"/>
    <w:rsid w:val="003E6B3B"/>
    <w:rsid w:val="003F6FA6"/>
    <w:rsid w:val="00401E58"/>
    <w:rsid w:val="00401F29"/>
    <w:rsid w:val="00415DE6"/>
    <w:rsid w:val="00422C43"/>
    <w:rsid w:val="004268CC"/>
    <w:rsid w:val="00426C97"/>
    <w:rsid w:val="00441827"/>
    <w:rsid w:val="004551DF"/>
    <w:rsid w:val="00463058"/>
    <w:rsid w:val="004653EA"/>
    <w:rsid w:val="004675D6"/>
    <w:rsid w:val="00470370"/>
    <w:rsid w:val="00471457"/>
    <w:rsid w:val="0047413A"/>
    <w:rsid w:val="00481314"/>
    <w:rsid w:val="00485A19"/>
    <w:rsid w:val="00497BC2"/>
    <w:rsid w:val="004A2AA0"/>
    <w:rsid w:val="004A7512"/>
    <w:rsid w:val="004C3CA9"/>
    <w:rsid w:val="004D3FF3"/>
    <w:rsid w:val="004E2661"/>
    <w:rsid w:val="004E4E06"/>
    <w:rsid w:val="004E78F6"/>
    <w:rsid w:val="004F3BFC"/>
    <w:rsid w:val="00506143"/>
    <w:rsid w:val="00506848"/>
    <w:rsid w:val="00514186"/>
    <w:rsid w:val="0052078D"/>
    <w:rsid w:val="00521B78"/>
    <w:rsid w:val="00525DFD"/>
    <w:rsid w:val="00557BCF"/>
    <w:rsid w:val="00570148"/>
    <w:rsid w:val="0057540A"/>
    <w:rsid w:val="00581559"/>
    <w:rsid w:val="00585777"/>
    <w:rsid w:val="00594C11"/>
    <w:rsid w:val="005C0B11"/>
    <w:rsid w:val="006012F4"/>
    <w:rsid w:val="00603130"/>
    <w:rsid w:val="006035A6"/>
    <w:rsid w:val="00614DF0"/>
    <w:rsid w:val="00624EEE"/>
    <w:rsid w:val="00627634"/>
    <w:rsid w:val="00630AF7"/>
    <w:rsid w:val="006341DF"/>
    <w:rsid w:val="00634B06"/>
    <w:rsid w:val="006361FD"/>
    <w:rsid w:val="00644475"/>
    <w:rsid w:val="0064527E"/>
    <w:rsid w:val="0064680A"/>
    <w:rsid w:val="00673759"/>
    <w:rsid w:val="006860D2"/>
    <w:rsid w:val="0069070A"/>
    <w:rsid w:val="00691B18"/>
    <w:rsid w:val="006B0186"/>
    <w:rsid w:val="006B3C54"/>
    <w:rsid w:val="006B63D7"/>
    <w:rsid w:val="006C325F"/>
    <w:rsid w:val="006C5282"/>
    <w:rsid w:val="006D5123"/>
    <w:rsid w:val="006F5B76"/>
    <w:rsid w:val="0070200D"/>
    <w:rsid w:val="00707C2B"/>
    <w:rsid w:val="007208BC"/>
    <w:rsid w:val="0072274D"/>
    <w:rsid w:val="007255D5"/>
    <w:rsid w:val="00733DEC"/>
    <w:rsid w:val="00743EED"/>
    <w:rsid w:val="00746DFF"/>
    <w:rsid w:val="00750FA0"/>
    <w:rsid w:val="00761358"/>
    <w:rsid w:val="0076252C"/>
    <w:rsid w:val="00773AF7"/>
    <w:rsid w:val="00774AD1"/>
    <w:rsid w:val="007846BB"/>
    <w:rsid w:val="007854E9"/>
    <w:rsid w:val="007A4E6A"/>
    <w:rsid w:val="007B52B4"/>
    <w:rsid w:val="007B6393"/>
    <w:rsid w:val="007C0A6D"/>
    <w:rsid w:val="007D030E"/>
    <w:rsid w:val="007D2B0D"/>
    <w:rsid w:val="007D46F4"/>
    <w:rsid w:val="007D5508"/>
    <w:rsid w:val="007D74D5"/>
    <w:rsid w:val="007F0F20"/>
    <w:rsid w:val="00802220"/>
    <w:rsid w:val="008022D4"/>
    <w:rsid w:val="00805DC0"/>
    <w:rsid w:val="00836483"/>
    <w:rsid w:val="00840256"/>
    <w:rsid w:val="008439DC"/>
    <w:rsid w:val="00844D3D"/>
    <w:rsid w:val="00847B6F"/>
    <w:rsid w:val="00860B46"/>
    <w:rsid w:val="00862201"/>
    <w:rsid w:val="00863768"/>
    <w:rsid w:val="008660C2"/>
    <w:rsid w:val="008860AB"/>
    <w:rsid w:val="008A3186"/>
    <w:rsid w:val="008B39D6"/>
    <w:rsid w:val="008B68F2"/>
    <w:rsid w:val="008C4494"/>
    <w:rsid w:val="008D31DF"/>
    <w:rsid w:val="008D492F"/>
    <w:rsid w:val="008E2928"/>
    <w:rsid w:val="008E49BD"/>
    <w:rsid w:val="008E781B"/>
    <w:rsid w:val="00914EB3"/>
    <w:rsid w:val="009639EE"/>
    <w:rsid w:val="00971926"/>
    <w:rsid w:val="00977687"/>
    <w:rsid w:val="00991538"/>
    <w:rsid w:val="0099413D"/>
    <w:rsid w:val="009A022A"/>
    <w:rsid w:val="009B71AE"/>
    <w:rsid w:val="009C74D0"/>
    <w:rsid w:val="009D555B"/>
    <w:rsid w:val="009E02A0"/>
    <w:rsid w:val="009F1F4A"/>
    <w:rsid w:val="00A37170"/>
    <w:rsid w:val="00A37AAB"/>
    <w:rsid w:val="00A5769B"/>
    <w:rsid w:val="00A60546"/>
    <w:rsid w:val="00A85053"/>
    <w:rsid w:val="00A921F7"/>
    <w:rsid w:val="00A95793"/>
    <w:rsid w:val="00AA2BC1"/>
    <w:rsid w:val="00AB01CB"/>
    <w:rsid w:val="00AC3295"/>
    <w:rsid w:val="00AC7824"/>
    <w:rsid w:val="00AC7831"/>
    <w:rsid w:val="00AE49F0"/>
    <w:rsid w:val="00AF1877"/>
    <w:rsid w:val="00AF28AE"/>
    <w:rsid w:val="00AF4BA9"/>
    <w:rsid w:val="00B01DC1"/>
    <w:rsid w:val="00B038AD"/>
    <w:rsid w:val="00B038B5"/>
    <w:rsid w:val="00B229E0"/>
    <w:rsid w:val="00B26391"/>
    <w:rsid w:val="00B3390E"/>
    <w:rsid w:val="00B57E12"/>
    <w:rsid w:val="00B64B71"/>
    <w:rsid w:val="00B64ECB"/>
    <w:rsid w:val="00B65A90"/>
    <w:rsid w:val="00B660C3"/>
    <w:rsid w:val="00B8324A"/>
    <w:rsid w:val="00B958B4"/>
    <w:rsid w:val="00BA4E63"/>
    <w:rsid w:val="00BB1448"/>
    <w:rsid w:val="00BB2E98"/>
    <w:rsid w:val="00BB7EC3"/>
    <w:rsid w:val="00BE1D86"/>
    <w:rsid w:val="00BE3E2F"/>
    <w:rsid w:val="00BE4512"/>
    <w:rsid w:val="00BE64B2"/>
    <w:rsid w:val="00BF1751"/>
    <w:rsid w:val="00C0405C"/>
    <w:rsid w:val="00C27DED"/>
    <w:rsid w:val="00C337A0"/>
    <w:rsid w:val="00C56C17"/>
    <w:rsid w:val="00C63A98"/>
    <w:rsid w:val="00C809BA"/>
    <w:rsid w:val="00C8117A"/>
    <w:rsid w:val="00C85928"/>
    <w:rsid w:val="00C9115C"/>
    <w:rsid w:val="00C91661"/>
    <w:rsid w:val="00C94CB2"/>
    <w:rsid w:val="00C951E8"/>
    <w:rsid w:val="00C955C6"/>
    <w:rsid w:val="00CC0F67"/>
    <w:rsid w:val="00CD376E"/>
    <w:rsid w:val="00CD6DFC"/>
    <w:rsid w:val="00CD7157"/>
    <w:rsid w:val="00CE319D"/>
    <w:rsid w:val="00CE530A"/>
    <w:rsid w:val="00CF23B6"/>
    <w:rsid w:val="00CF419F"/>
    <w:rsid w:val="00D103FE"/>
    <w:rsid w:val="00D14735"/>
    <w:rsid w:val="00D207CE"/>
    <w:rsid w:val="00D43AF8"/>
    <w:rsid w:val="00D43CF9"/>
    <w:rsid w:val="00D4763E"/>
    <w:rsid w:val="00D5246A"/>
    <w:rsid w:val="00D52680"/>
    <w:rsid w:val="00D608B8"/>
    <w:rsid w:val="00D93A71"/>
    <w:rsid w:val="00D93E71"/>
    <w:rsid w:val="00DA4791"/>
    <w:rsid w:val="00DA53C4"/>
    <w:rsid w:val="00DB479D"/>
    <w:rsid w:val="00DB7B13"/>
    <w:rsid w:val="00DC389C"/>
    <w:rsid w:val="00DC63B9"/>
    <w:rsid w:val="00DD5233"/>
    <w:rsid w:val="00DE46E4"/>
    <w:rsid w:val="00DE530B"/>
    <w:rsid w:val="00DE5B42"/>
    <w:rsid w:val="00DE5DE9"/>
    <w:rsid w:val="00DE6484"/>
    <w:rsid w:val="00E1316C"/>
    <w:rsid w:val="00E2662D"/>
    <w:rsid w:val="00E56246"/>
    <w:rsid w:val="00E66762"/>
    <w:rsid w:val="00E66A95"/>
    <w:rsid w:val="00E814CF"/>
    <w:rsid w:val="00E90E8E"/>
    <w:rsid w:val="00EA4CFF"/>
    <w:rsid w:val="00EA55DA"/>
    <w:rsid w:val="00EA70B8"/>
    <w:rsid w:val="00EA717D"/>
    <w:rsid w:val="00EB0270"/>
    <w:rsid w:val="00EC3890"/>
    <w:rsid w:val="00ED16E7"/>
    <w:rsid w:val="00ED1C62"/>
    <w:rsid w:val="00EE2914"/>
    <w:rsid w:val="00EF0817"/>
    <w:rsid w:val="00EF0CF9"/>
    <w:rsid w:val="00F108C7"/>
    <w:rsid w:val="00F16109"/>
    <w:rsid w:val="00F24102"/>
    <w:rsid w:val="00F3179C"/>
    <w:rsid w:val="00F4677A"/>
    <w:rsid w:val="00F523BC"/>
    <w:rsid w:val="00F53272"/>
    <w:rsid w:val="00F76262"/>
    <w:rsid w:val="00F84592"/>
    <w:rsid w:val="00F8794F"/>
    <w:rsid w:val="00FB4C80"/>
    <w:rsid w:val="00FB6285"/>
    <w:rsid w:val="00FC3456"/>
    <w:rsid w:val="00FD6812"/>
    <w:rsid w:val="00FE23DE"/>
    <w:rsid w:val="00FE5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27B9"/>
  <w15:chartTrackingRefBased/>
  <w15:docId w15:val="{54F0FB00-ACDB-4FEB-8A33-C103E4D7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2B4"/>
    <w:rPr>
      <w:rFonts w:ascii="Times New Roman" w:hAnsi="Times New Roman"/>
      <w:sz w:val="24"/>
    </w:rPr>
  </w:style>
  <w:style w:type="paragraph" w:styleId="Heading1">
    <w:name w:val="heading 1"/>
    <w:basedOn w:val="Normal"/>
    <w:next w:val="Normal"/>
    <w:link w:val="Heading1Char"/>
    <w:uiPriority w:val="9"/>
    <w:qFormat/>
    <w:rsid w:val="00463058"/>
    <w:pPr>
      <w:keepNext/>
      <w:keepLines/>
      <w:spacing w:before="240" w:after="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B65A90"/>
    <w:pPr>
      <w:keepNext/>
      <w:keepLines/>
      <w:spacing w:before="40" w:after="0"/>
      <w:outlineLvl w:val="1"/>
    </w:pPr>
    <w:rPr>
      <w:rFonts w:eastAsiaTheme="majorEastAsia" w:cs="Times New Roman"/>
      <w:b/>
      <w:bCs/>
      <w:i/>
      <w:i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B71"/>
    <w:rPr>
      <w:color w:val="808080"/>
    </w:rPr>
  </w:style>
  <w:style w:type="character" w:customStyle="1" w:styleId="Heading1Char">
    <w:name w:val="Heading 1 Char"/>
    <w:basedOn w:val="DefaultParagraphFont"/>
    <w:link w:val="Heading1"/>
    <w:uiPriority w:val="9"/>
    <w:rsid w:val="00463058"/>
    <w:rPr>
      <w:rFonts w:ascii="Times New Roman" w:eastAsiaTheme="majorEastAsia" w:hAnsi="Times New Roman" w:cstheme="majorBidi"/>
      <w:b/>
      <w:color w:val="2F5496" w:themeColor="accent1" w:themeShade="BF"/>
      <w:sz w:val="24"/>
      <w:szCs w:val="32"/>
    </w:rPr>
  </w:style>
  <w:style w:type="paragraph" w:styleId="Title">
    <w:name w:val="Title"/>
    <w:basedOn w:val="Normal"/>
    <w:next w:val="Normal"/>
    <w:link w:val="TitleChar"/>
    <w:uiPriority w:val="10"/>
    <w:qFormat/>
    <w:rsid w:val="00463058"/>
    <w:pPr>
      <w:spacing w:after="0" w:line="24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463058"/>
    <w:rPr>
      <w:rFonts w:ascii="Times New Roman" w:eastAsiaTheme="majorEastAsia" w:hAnsi="Times New Roman" w:cstheme="majorBidi"/>
      <w:b/>
      <w:spacing w:val="-10"/>
      <w:kern w:val="28"/>
      <w:sz w:val="24"/>
      <w:szCs w:val="56"/>
    </w:rPr>
  </w:style>
  <w:style w:type="paragraph" w:styleId="ListParagraph">
    <w:name w:val="List Paragraph"/>
    <w:basedOn w:val="Normal"/>
    <w:uiPriority w:val="34"/>
    <w:qFormat/>
    <w:rsid w:val="00CD7157"/>
    <w:pPr>
      <w:ind w:left="720"/>
      <w:contextualSpacing/>
    </w:pPr>
  </w:style>
  <w:style w:type="paragraph" w:styleId="Caption">
    <w:name w:val="caption"/>
    <w:basedOn w:val="Normal"/>
    <w:next w:val="Normal"/>
    <w:uiPriority w:val="35"/>
    <w:unhideWhenUsed/>
    <w:qFormat/>
    <w:rsid w:val="00B660C3"/>
    <w:pPr>
      <w:spacing w:after="0" w:line="240" w:lineRule="auto"/>
    </w:pPr>
    <w:rPr>
      <w:b/>
      <w:iCs/>
      <w:color w:val="44546A" w:themeColor="text2"/>
      <w:szCs w:val="18"/>
    </w:rPr>
  </w:style>
  <w:style w:type="character" w:customStyle="1" w:styleId="Heading2Char">
    <w:name w:val="Heading 2 Char"/>
    <w:basedOn w:val="DefaultParagraphFont"/>
    <w:link w:val="Heading2"/>
    <w:uiPriority w:val="9"/>
    <w:rsid w:val="00B65A90"/>
    <w:rPr>
      <w:rFonts w:ascii="Times New Roman" w:eastAsiaTheme="majorEastAsia" w:hAnsi="Times New Roman" w:cs="Times New Roman"/>
      <w:b/>
      <w:bCs/>
      <w:i/>
      <w:iCs/>
      <w:color w:val="2F5496" w:themeColor="accent1" w:themeShade="BF"/>
      <w:sz w:val="26"/>
      <w:szCs w:val="26"/>
    </w:rPr>
  </w:style>
  <w:style w:type="character" w:styleId="Hyperlink">
    <w:name w:val="Hyperlink"/>
    <w:basedOn w:val="DefaultParagraphFont"/>
    <w:uiPriority w:val="99"/>
    <w:unhideWhenUsed/>
    <w:rsid w:val="007C0A6D"/>
    <w:rPr>
      <w:color w:val="0563C1"/>
      <w:u w:val="single"/>
    </w:rPr>
  </w:style>
  <w:style w:type="paragraph" w:styleId="TOCHeading">
    <w:name w:val="TOC Heading"/>
    <w:basedOn w:val="Heading1"/>
    <w:next w:val="Normal"/>
    <w:uiPriority w:val="39"/>
    <w:unhideWhenUsed/>
    <w:qFormat/>
    <w:rsid w:val="006B0186"/>
    <w:pPr>
      <w:outlineLvl w:val="9"/>
    </w:pPr>
    <w:rPr>
      <w:rFonts w:asciiTheme="majorHAnsi" w:hAnsiTheme="majorHAnsi"/>
      <w:b w:val="0"/>
      <w:sz w:val="32"/>
      <w:lang w:eastAsia="en-US"/>
    </w:rPr>
  </w:style>
  <w:style w:type="paragraph" w:styleId="TOC1">
    <w:name w:val="toc 1"/>
    <w:basedOn w:val="Normal"/>
    <w:next w:val="Normal"/>
    <w:autoRedefine/>
    <w:uiPriority w:val="39"/>
    <w:unhideWhenUsed/>
    <w:rsid w:val="006B0186"/>
    <w:pPr>
      <w:spacing w:after="100"/>
    </w:pPr>
  </w:style>
  <w:style w:type="paragraph" w:styleId="TOC2">
    <w:name w:val="toc 2"/>
    <w:basedOn w:val="Normal"/>
    <w:next w:val="Normal"/>
    <w:autoRedefine/>
    <w:uiPriority w:val="39"/>
    <w:unhideWhenUsed/>
    <w:rsid w:val="006B0186"/>
    <w:pPr>
      <w:spacing w:after="100"/>
      <w:ind w:left="240"/>
    </w:pPr>
  </w:style>
  <w:style w:type="paragraph" w:styleId="Header">
    <w:name w:val="header"/>
    <w:basedOn w:val="Normal"/>
    <w:link w:val="HeaderChar"/>
    <w:uiPriority w:val="99"/>
    <w:unhideWhenUsed/>
    <w:rsid w:val="00DD5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233"/>
    <w:rPr>
      <w:rFonts w:ascii="Times New Roman" w:hAnsi="Times New Roman"/>
      <w:sz w:val="24"/>
    </w:rPr>
  </w:style>
  <w:style w:type="paragraph" w:styleId="Footer">
    <w:name w:val="footer"/>
    <w:basedOn w:val="Normal"/>
    <w:link w:val="FooterChar"/>
    <w:uiPriority w:val="99"/>
    <w:unhideWhenUsed/>
    <w:rsid w:val="00DD5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23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33">
      <w:bodyDiv w:val="1"/>
      <w:marLeft w:val="0"/>
      <w:marRight w:val="0"/>
      <w:marTop w:val="0"/>
      <w:marBottom w:val="0"/>
      <w:divBdr>
        <w:top w:val="none" w:sz="0" w:space="0" w:color="auto"/>
        <w:left w:val="none" w:sz="0" w:space="0" w:color="auto"/>
        <w:bottom w:val="none" w:sz="0" w:space="0" w:color="auto"/>
        <w:right w:val="none" w:sz="0" w:space="0" w:color="auto"/>
      </w:divBdr>
    </w:div>
    <w:div w:id="201288994">
      <w:bodyDiv w:val="1"/>
      <w:marLeft w:val="0"/>
      <w:marRight w:val="0"/>
      <w:marTop w:val="0"/>
      <w:marBottom w:val="0"/>
      <w:divBdr>
        <w:top w:val="none" w:sz="0" w:space="0" w:color="auto"/>
        <w:left w:val="none" w:sz="0" w:space="0" w:color="auto"/>
        <w:bottom w:val="none" w:sz="0" w:space="0" w:color="auto"/>
        <w:right w:val="none" w:sz="0" w:space="0" w:color="auto"/>
      </w:divBdr>
    </w:div>
    <w:div w:id="548422411">
      <w:bodyDiv w:val="1"/>
      <w:marLeft w:val="0"/>
      <w:marRight w:val="0"/>
      <w:marTop w:val="0"/>
      <w:marBottom w:val="0"/>
      <w:divBdr>
        <w:top w:val="none" w:sz="0" w:space="0" w:color="auto"/>
        <w:left w:val="none" w:sz="0" w:space="0" w:color="auto"/>
        <w:bottom w:val="none" w:sz="0" w:space="0" w:color="auto"/>
        <w:right w:val="none" w:sz="0" w:space="0" w:color="auto"/>
      </w:divBdr>
    </w:div>
    <w:div w:id="626010043">
      <w:bodyDiv w:val="1"/>
      <w:marLeft w:val="0"/>
      <w:marRight w:val="0"/>
      <w:marTop w:val="0"/>
      <w:marBottom w:val="0"/>
      <w:divBdr>
        <w:top w:val="none" w:sz="0" w:space="0" w:color="auto"/>
        <w:left w:val="none" w:sz="0" w:space="0" w:color="auto"/>
        <w:bottom w:val="none" w:sz="0" w:space="0" w:color="auto"/>
        <w:right w:val="none" w:sz="0" w:space="0" w:color="auto"/>
      </w:divBdr>
    </w:div>
    <w:div w:id="658575927">
      <w:bodyDiv w:val="1"/>
      <w:marLeft w:val="0"/>
      <w:marRight w:val="0"/>
      <w:marTop w:val="0"/>
      <w:marBottom w:val="0"/>
      <w:divBdr>
        <w:top w:val="none" w:sz="0" w:space="0" w:color="auto"/>
        <w:left w:val="none" w:sz="0" w:space="0" w:color="auto"/>
        <w:bottom w:val="none" w:sz="0" w:space="0" w:color="auto"/>
        <w:right w:val="none" w:sz="0" w:space="0" w:color="auto"/>
      </w:divBdr>
    </w:div>
    <w:div w:id="668826232">
      <w:bodyDiv w:val="1"/>
      <w:marLeft w:val="0"/>
      <w:marRight w:val="0"/>
      <w:marTop w:val="0"/>
      <w:marBottom w:val="0"/>
      <w:divBdr>
        <w:top w:val="none" w:sz="0" w:space="0" w:color="auto"/>
        <w:left w:val="none" w:sz="0" w:space="0" w:color="auto"/>
        <w:bottom w:val="none" w:sz="0" w:space="0" w:color="auto"/>
        <w:right w:val="none" w:sz="0" w:space="0" w:color="auto"/>
      </w:divBdr>
    </w:div>
    <w:div w:id="688605878">
      <w:bodyDiv w:val="1"/>
      <w:marLeft w:val="0"/>
      <w:marRight w:val="0"/>
      <w:marTop w:val="0"/>
      <w:marBottom w:val="0"/>
      <w:divBdr>
        <w:top w:val="none" w:sz="0" w:space="0" w:color="auto"/>
        <w:left w:val="none" w:sz="0" w:space="0" w:color="auto"/>
        <w:bottom w:val="none" w:sz="0" w:space="0" w:color="auto"/>
        <w:right w:val="none" w:sz="0" w:space="0" w:color="auto"/>
      </w:divBdr>
    </w:div>
    <w:div w:id="719786987">
      <w:bodyDiv w:val="1"/>
      <w:marLeft w:val="0"/>
      <w:marRight w:val="0"/>
      <w:marTop w:val="0"/>
      <w:marBottom w:val="0"/>
      <w:divBdr>
        <w:top w:val="none" w:sz="0" w:space="0" w:color="auto"/>
        <w:left w:val="none" w:sz="0" w:space="0" w:color="auto"/>
        <w:bottom w:val="none" w:sz="0" w:space="0" w:color="auto"/>
        <w:right w:val="none" w:sz="0" w:space="0" w:color="auto"/>
      </w:divBdr>
    </w:div>
    <w:div w:id="803279590">
      <w:bodyDiv w:val="1"/>
      <w:marLeft w:val="0"/>
      <w:marRight w:val="0"/>
      <w:marTop w:val="0"/>
      <w:marBottom w:val="0"/>
      <w:divBdr>
        <w:top w:val="none" w:sz="0" w:space="0" w:color="auto"/>
        <w:left w:val="none" w:sz="0" w:space="0" w:color="auto"/>
        <w:bottom w:val="none" w:sz="0" w:space="0" w:color="auto"/>
        <w:right w:val="none" w:sz="0" w:space="0" w:color="auto"/>
      </w:divBdr>
    </w:div>
    <w:div w:id="1083531096">
      <w:bodyDiv w:val="1"/>
      <w:marLeft w:val="0"/>
      <w:marRight w:val="0"/>
      <w:marTop w:val="0"/>
      <w:marBottom w:val="0"/>
      <w:divBdr>
        <w:top w:val="none" w:sz="0" w:space="0" w:color="auto"/>
        <w:left w:val="none" w:sz="0" w:space="0" w:color="auto"/>
        <w:bottom w:val="none" w:sz="0" w:space="0" w:color="auto"/>
        <w:right w:val="none" w:sz="0" w:space="0" w:color="auto"/>
      </w:divBdr>
    </w:div>
    <w:div w:id="1373265796">
      <w:bodyDiv w:val="1"/>
      <w:marLeft w:val="0"/>
      <w:marRight w:val="0"/>
      <w:marTop w:val="0"/>
      <w:marBottom w:val="0"/>
      <w:divBdr>
        <w:top w:val="none" w:sz="0" w:space="0" w:color="auto"/>
        <w:left w:val="none" w:sz="0" w:space="0" w:color="auto"/>
        <w:bottom w:val="none" w:sz="0" w:space="0" w:color="auto"/>
        <w:right w:val="none" w:sz="0" w:space="0" w:color="auto"/>
      </w:divBdr>
    </w:div>
    <w:div w:id="1439133396">
      <w:bodyDiv w:val="1"/>
      <w:marLeft w:val="0"/>
      <w:marRight w:val="0"/>
      <w:marTop w:val="0"/>
      <w:marBottom w:val="0"/>
      <w:divBdr>
        <w:top w:val="none" w:sz="0" w:space="0" w:color="auto"/>
        <w:left w:val="none" w:sz="0" w:space="0" w:color="auto"/>
        <w:bottom w:val="none" w:sz="0" w:space="0" w:color="auto"/>
        <w:right w:val="none" w:sz="0" w:space="0" w:color="auto"/>
      </w:divBdr>
    </w:div>
    <w:div w:id="1516111628">
      <w:bodyDiv w:val="1"/>
      <w:marLeft w:val="0"/>
      <w:marRight w:val="0"/>
      <w:marTop w:val="0"/>
      <w:marBottom w:val="0"/>
      <w:divBdr>
        <w:top w:val="none" w:sz="0" w:space="0" w:color="auto"/>
        <w:left w:val="none" w:sz="0" w:space="0" w:color="auto"/>
        <w:bottom w:val="none" w:sz="0" w:space="0" w:color="auto"/>
        <w:right w:val="none" w:sz="0" w:space="0" w:color="auto"/>
      </w:divBdr>
    </w:div>
    <w:div w:id="1871071591">
      <w:bodyDiv w:val="1"/>
      <w:marLeft w:val="0"/>
      <w:marRight w:val="0"/>
      <w:marTop w:val="0"/>
      <w:marBottom w:val="0"/>
      <w:divBdr>
        <w:top w:val="none" w:sz="0" w:space="0" w:color="auto"/>
        <w:left w:val="none" w:sz="0" w:space="0" w:color="auto"/>
        <w:bottom w:val="none" w:sz="0" w:space="0" w:color="auto"/>
        <w:right w:val="none" w:sz="0" w:space="0" w:color="auto"/>
      </w:divBdr>
    </w:div>
    <w:div w:id="205685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zu9qEWI8PsOI_i8nI_S29HDGHlIp2lfVMsGxpQ5tvAQ/edit" TargetMode="External"/><Relationship Id="rId13" Type="http://schemas.openxmlformats.org/officeDocument/2006/relationships/hyperlink" Target="https://www.google.com/covid19/mobility/"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coronavirus.jhu.edu/about/how-to-use-our-data"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onavirus.jhu.edu/about/how-to-use-our-data"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s://coronavirus.jhu.edu/about/how-to-use-our-data"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coronavirus.jhu.edu/about/how-to-use-our-data" TargetMode="External"/><Relationship Id="rId14" Type="http://schemas.openxmlformats.org/officeDocument/2006/relationships/footer" Target="footer1.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88FBA-EB00-4CB3-B9DC-F8FD4F6D0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14758</TotalTime>
  <Pages>16</Pages>
  <Words>7469</Words>
  <Characters>42577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Qianhua Luo</dc:creator>
  <cp:keywords/>
  <dc:description/>
  <cp:lastModifiedBy>Qianhua Luo</cp:lastModifiedBy>
  <cp:revision>83</cp:revision>
  <cp:lastPrinted>2021-12-13T03:38:00Z</cp:lastPrinted>
  <dcterms:created xsi:type="dcterms:W3CDTF">2021-11-16T00:11:00Z</dcterms:created>
  <dcterms:modified xsi:type="dcterms:W3CDTF">2021-12-13T03:41:00Z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79b05e9b-cb2c-3635-8eb0-2c78f86057d0</vt:lpwstr>
  </property>
  <property fmtid="{D5CDD505-2E9C-101B-9397-08002B2CF9AE}" pid="24" name="Mendeley Citation Style_1">
    <vt:lpwstr>http://www.zotero.org/styles/vancouver</vt:lpwstr>
  </property>
</Properties>
</file>