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February 15th, 2021</w:t>
      </w:r>
    </w:p>
    <w:p w:rsidR="00000000" w:rsidDel="00000000" w:rsidP="00000000" w:rsidRDefault="00000000" w:rsidRPr="00000000" w14:paraId="0000000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w:t>
      </w:r>
      <w:r w:rsidDel="00000000" w:rsidR="00000000" w:rsidRPr="00000000">
        <w:rPr>
          <w:rFonts w:ascii="Times New Roman" w:cs="Times New Roman" w:eastAsia="Times New Roman" w:hAnsi="Times New Roman"/>
          <w:b w:val="1"/>
          <w:sz w:val="24"/>
          <w:szCs w:val="24"/>
          <w:rtl w:val="0"/>
        </w:rPr>
        <w:t xml:space="preserve">Deirdre </w:t>
      </w:r>
      <w:r w:rsidDel="00000000" w:rsidR="00000000" w:rsidRPr="00000000">
        <w:rPr>
          <w:rFonts w:ascii="Times New Roman" w:cs="Times New Roman" w:eastAsia="Times New Roman" w:hAnsi="Times New Roman"/>
          <w:b w:val="1"/>
          <w:sz w:val="24"/>
          <w:szCs w:val="24"/>
          <w:rtl w:val="0"/>
        </w:rPr>
        <w:t xml:space="preserve">Hunter</w:t>
      </w:r>
    </w:p>
    <w:p w:rsidR="00000000" w:rsidDel="00000000" w:rsidP="00000000" w:rsidRDefault="00000000" w:rsidRPr="00000000" w14:paraId="0000000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Sindhuja Darisipudi, Nora Han, Joseph Urso, Michael Tang, Jason Ye</w:t>
      </w:r>
    </w:p>
    <w:p w:rsidR="00000000" w:rsidDel="00000000" w:rsidP="00000000" w:rsidRDefault="00000000" w:rsidRPr="00000000" w14:paraId="00000006">
      <w:pPr>
        <w:pageBreakBefore w:val="0"/>
        <w:spacing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ab/>
        <w:tab/>
        <w:t xml:space="preserve">Team Moonrats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5moonrats@gmail.com</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7">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Water Assessment Incubator Problem Statement and Team Structure</w:t>
      </w:r>
      <w:r w:rsidDel="00000000" w:rsidR="00000000" w:rsidRPr="00000000">
        <w:rPr>
          <w:rtl w:val="0"/>
        </w:rPr>
      </w:r>
    </w:p>
    <w:p w:rsidR="00000000" w:rsidDel="00000000" w:rsidP="00000000" w:rsidRDefault="00000000" w:rsidRPr="00000000" w14:paraId="00000009">
      <w:pPr>
        <w:pageBreakBefore w:val="0"/>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Water Sanitation Crisis and the Need for a New Water Assessment Incubator</w:t>
      </w:r>
      <w:r w:rsidDel="00000000" w:rsidR="00000000" w:rsidRPr="00000000">
        <w:rPr>
          <w:rtl w:val="0"/>
        </w:rPr>
      </w:r>
    </w:p>
    <w:p w:rsidR="00000000" w:rsidDel="00000000" w:rsidP="00000000" w:rsidRDefault="00000000" w:rsidRPr="00000000" w14:paraId="0000000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sanitation is a crisis affecting 780 million people around the world, many of whom live in underprivileged and remote areas. This problem is exacerbated because not all </w:t>
      </w:r>
      <w:r w:rsidDel="00000000" w:rsidR="00000000" w:rsidRPr="00000000">
        <w:rPr>
          <w:rFonts w:ascii="Times New Roman" w:cs="Times New Roman" w:eastAsia="Times New Roman" w:hAnsi="Times New Roman"/>
          <w:sz w:val="24"/>
          <w:szCs w:val="24"/>
          <w:rtl w:val="0"/>
        </w:rPr>
        <w:t xml:space="preserve">water potability </w:t>
      </w:r>
      <w:r w:rsidDel="00000000" w:rsidR="00000000" w:rsidRPr="00000000">
        <w:rPr>
          <w:rFonts w:ascii="Times New Roman" w:cs="Times New Roman" w:eastAsia="Times New Roman" w:hAnsi="Times New Roman"/>
          <w:sz w:val="24"/>
          <w:szCs w:val="24"/>
          <w:rtl w:val="0"/>
        </w:rPr>
        <w:t xml:space="preserve">tests (i.e. tests that indicate if water is drinkable) are </w:t>
      </w:r>
      <w:r w:rsidDel="00000000" w:rsidR="00000000" w:rsidRPr="00000000">
        <w:rPr>
          <w:rFonts w:ascii="Times New Roman" w:cs="Times New Roman" w:eastAsia="Times New Roman" w:hAnsi="Times New Roman"/>
          <w:sz w:val="24"/>
          <w:szCs w:val="24"/>
          <w:rtl w:val="0"/>
        </w:rPr>
        <w:t xml:space="preserve">practical in such settings</w:t>
      </w:r>
      <w:r w:rsidDel="00000000" w:rsidR="00000000" w:rsidRPr="00000000">
        <w:rPr>
          <w:rFonts w:ascii="Times New Roman" w:cs="Times New Roman" w:eastAsia="Times New Roman" w:hAnsi="Times New Roman"/>
          <w:sz w:val="24"/>
          <w:szCs w:val="24"/>
          <w:rtl w:val="0"/>
        </w:rPr>
        <w:t xml:space="preserve">, as many rely on access to laboratories. </w:t>
      </w:r>
    </w:p>
    <w:p w:rsidR="00000000" w:rsidDel="00000000" w:rsidP="00000000" w:rsidRDefault="00000000" w:rsidRPr="00000000" w14:paraId="0000000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Invention is an Austin based startup whose mission is to “invent in the public, for the public”. As a part of this mission, they have partnered with Engineers without Borders Austin in order to bring water quality testing to remote areas (including but not limited to Latin America and Central Asia) to address this very problem. </w:t>
      </w:r>
    </w:p>
    <w:p w:rsidR="00000000" w:rsidDel="00000000" w:rsidP="00000000" w:rsidRDefault="00000000" w:rsidRPr="00000000" w14:paraId="0000000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utilizing 3M Petrifilms for E.coli detection, a c</w:t>
      </w:r>
      <w:r w:rsidDel="00000000" w:rsidR="00000000" w:rsidRPr="00000000">
        <w:rPr>
          <w:rFonts w:ascii="Times New Roman" w:cs="Times New Roman" w:eastAsia="Times New Roman" w:hAnsi="Times New Roman"/>
          <w:sz w:val="24"/>
          <w:szCs w:val="24"/>
          <w:rtl w:val="0"/>
        </w:rPr>
        <w:t xml:space="preserve">ulture-based method for the detection of microbial contaminants. However, these films require a temperature-stable incubation environment in order to reliably detect microbial contaminants of concern in drinking water. </w:t>
      </w:r>
      <w:r w:rsidDel="00000000" w:rsidR="00000000" w:rsidRPr="00000000">
        <w:rPr>
          <w:rFonts w:ascii="Times New Roman" w:cs="Times New Roman" w:eastAsia="Times New Roman" w:hAnsi="Times New Roman"/>
          <w:sz w:val="24"/>
          <w:szCs w:val="24"/>
          <w:rtl w:val="0"/>
        </w:rPr>
        <w:t xml:space="preserve">By applying water samples to these Petrifilms and incubating them for 24-48 hours, field scientists who are in various remote areas can visually inspect for E. coli contamination. Currently, they have identified several problems with their existing incubator (“The Armadillo Incubator”) and have asked us to create an improved, low-cost and portable incubator for these Petrifilms that is suitable for water sanitation testing research in remote areas that lack lab resources. </w:t>
      </w:r>
      <w:r w:rsidDel="00000000" w:rsidR="00000000" w:rsidRPr="00000000">
        <w:rPr>
          <w:rtl w:val="0"/>
        </w:rPr>
      </w:r>
    </w:p>
    <w:p w:rsidR="00000000" w:rsidDel="00000000" w:rsidP="00000000" w:rsidRDefault="00000000" w:rsidRPr="00000000" w14:paraId="0000001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Water Assessment Incubator Problem Statement and Limitations in the Existing Solution</w:t>
      </w:r>
      <w:r w:rsidDel="00000000" w:rsidR="00000000" w:rsidRPr="00000000">
        <w:rPr>
          <w:rtl w:val="0"/>
        </w:rPr>
      </w:r>
    </w:p>
    <w:p w:rsidR="00000000" w:rsidDel="00000000" w:rsidP="00000000" w:rsidRDefault="00000000" w:rsidRPr="00000000" w14:paraId="00000013">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ur task is to build an incubator for the Petrifilms that is suitable for water sanitation tests in these remote areas. Design criteria that we will keep in mind, as elaborated in item number 3 include </w:t>
      </w:r>
      <w:r w:rsidDel="00000000" w:rsidR="00000000" w:rsidRPr="00000000">
        <w:rPr>
          <w:rFonts w:ascii="Times New Roman" w:cs="Times New Roman" w:eastAsia="Times New Roman" w:hAnsi="Times New Roman"/>
          <w:sz w:val="24"/>
          <w:szCs w:val="24"/>
          <w:rtl w:val="0"/>
        </w:rPr>
        <w:t xml:space="preserve"> small size, ease of use, and data logging capabilities.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device will be:</w:t>
      </w:r>
    </w:p>
    <w:p w:rsidR="00000000" w:rsidDel="00000000" w:rsidP="00000000" w:rsidRDefault="00000000" w:rsidRPr="00000000" w14:paraId="00000016">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Designed for</w:t>
      </w:r>
      <w:r w:rsidDel="00000000" w:rsidR="00000000" w:rsidRPr="00000000">
        <w:rPr>
          <w:rFonts w:ascii="Times New Roman" w:cs="Times New Roman" w:eastAsia="Times New Roman" w:hAnsi="Times New Roman"/>
          <w:sz w:val="24"/>
          <w:szCs w:val="24"/>
          <w:rtl w:val="0"/>
        </w:rPr>
        <w:t xml:space="preserve">: Public Invention, as a part of an initiative to help monitor water quality in remote settings. </w:t>
      </w:r>
    </w:p>
    <w:p w:rsidR="00000000" w:rsidDel="00000000" w:rsidP="00000000" w:rsidRDefault="00000000" w:rsidRPr="00000000" w14:paraId="00000017">
      <w:pPr>
        <w:pageBreakBefore w:val="0"/>
        <w:numPr>
          <w:ilvl w:val="0"/>
          <w:numId w:val="1"/>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Used by</w:t>
      </w:r>
      <w:r w:rsidDel="00000000" w:rsidR="00000000" w:rsidRPr="00000000">
        <w:rPr>
          <w:rFonts w:ascii="Times New Roman" w:cs="Times New Roman" w:eastAsia="Times New Roman" w:hAnsi="Times New Roman"/>
          <w:sz w:val="24"/>
          <w:szCs w:val="24"/>
          <w:rtl w:val="0"/>
        </w:rPr>
        <w:t xml:space="preserve">: On the ground experts in remote and low resource settings</w:t>
      </w:r>
    </w:p>
    <w:p w:rsidR="00000000" w:rsidDel="00000000" w:rsidP="00000000" w:rsidRDefault="00000000" w:rsidRPr="00000000" w14:paraId="00000018">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of existing solution</w:t>
      </w:r>
    </w:p>
    <w:p w:rsidR="00000000" w:rsidDel="00000000" w:rsidP="00000000" w:rsidRDefault="00000000" w:rsidRPr="00000000" w14:paraId="0000001A">
      <w:pPr>
        <w:pageBreakBefore w:val="0"/>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monitor water quality in remote &amp; low resource settings, a portable incubator is needed to be transportable, as on the ground workers will often be going from location to location</w:t>
      </w:r>
      <w:r w:rsidDel="00000000" w:rsidR="00000000" w:rsidRPr="00000000">
        <w:rPr>
          <w:rtl w:val="0"/>
        </w:rPr>
      </w:r>
    </w:p>
    <w:p w:rsidR="00000000" w:rsidDel="00000000" w:rsidP="00000000" w:rsidRDefault="00000000" w:rsidRPr="00000000" w14:paraId="0000001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existing solution (“The Armadillo Incubator”) has the limitations of:</w:t>
      </w:r>
    </w:p>
    <w:p w:rsidR="00000000" w:rsidDel="00000000" w:rsidP="00000000" w:rsidRDefault="00000000" w:rsidRPr="00000000" w14:paraId="0000001C">
      <w:pPr>
        <w:pageBreakBefore w:val="0"/>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 providing enough information about the</w:t>
      </w:r>
      <w:r w:rsidDel="00000000" w:rsidR="00000000" w:rsidRPr="00000000">
        <w:rPr>
          <w:rFonts w:ascii="Times New Roman" w:cs="Times New Roman" w:eastAsia="Times New Roman" w:hAnsi="Times New Roman"/>
          <w:sz w:val="24"/>
          <w:szCs w:val="24"/>
          <w:rtl w:val="0"/>
        </w:rPr>
        <w:t xml:space="preserve"> inside temperature</w:t>
      </w:r>
      <w:r w:rsidDel="00000000" w:rsidR="00000000" w:rsidRPr="00000000">
        <w:rPr>
          <w:rFonts w:ascii="Times New Roman" w:cs="Times New Roman" w:eastAsia="Times New Roman" w:hAnsi="Times New Roman"/>
          <w:sz w:val="24"/>
          <w:szCs w:val="24"/>
          <w:rtl w:val="0"/>
        </w:rPr>
        <w:t xml:space="preserve"> to monitor the growing environment of the microorganisms.</w:t>
      </w:r>
    </w:p>
    <w:p w:rsidR="00000000" w:rsidDel="00000000" w:rsidP="00000000" w:rsidRDefault="00000000" w:rsidRPr="00000000" w14:paraId="0000001D">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ii. not being small enough</w:t>
      </w:r>
    </w:p>
    <w:p w:rsidR="00000000" w:rsidDel="00000000" w:rsidP="00000000" w:rsidRDefault="00000000" w:rsidRPr="00000000" w14:paraId="0000001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w:t>
      </w:r>
      <w:r w:rsidDel="00000000" w:rsidR="00000000" w:rsidRPr="00000000">
        <w:rPr>
          <w:rFonts w:ascii="Times New Roman" w:cs="Times New Roman" w:eastAsia="Times New Roman" w:hAnsi="Times New Roman"/>
          <w:b w:val="1"/>
          <w:sz w:val="24"/>
          <w:szCs w:val="24"/>
          <w:rtl w:val="0"/>
        </w:rPr>
        <w:t xml:space="preserve">design solution features </w:t>
      </w:r>
    </w:p>
    <w:p w:rsidR="00000000" w:rsidDel="00000000" w:rsidP="00000000" w:rsidRDefault="00000000" w:rsidRPr="00000000" w14:paraId="00000020">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portable </w:t>
      </w:r>
      <w:r w:rsidDel="00000000" w:rsidR="00000000" w:rsidRPr="00000000">
        <w:rPr>
          <w:rFonts w:ascii="Times New Roman" w:cs="Times New Roman" w:eastAsia="Times New Roman" w:hAnsi="Times New Roman"/>
          <w:sz w:val="24"/>
          <w:szCs w:val="24"/>
          <w:rtl w:val="0"/>
        </w:rPr>
        <w:t xml:space="preserve">(&lt; 38cm×24.5cm×19cm (dimensions of existing design))</w:t>
      </w:r>
      <w:r w:rsidDel="00000000" w:rsidR="00000000" w:rsidRPr="00000000">
        <w:rPr>
          <w:rFonts w:ascii="Times New Roman" w:cs="Times New Roman" w:eastAsia="Times New Roman" w:hAnsi="Times New Roman"/>
          <w:sz w:val="24"/>
          <w:szCs w:val="24"/>
          <w:rtl w:val="0"/>
        </w:rPr>
        <w:t xml:space="preserve">*, low-cost (under $500) incubator to hold 20 small </w:t>
      </w:r>
      <w:r w:rsidDel="00000000" w:rsidR="00000000" w:rsidRPr="00000000">
        <w:rPr>
          <w:rFonts w:ascii="Times New Roman" w:cs="Times New Roman" w:eastAsia="Times New Roman" w:hAnsi="Times New Roman"/>
          <w:sz w:val="24"/>
          <w:szCs w:val="24"/>
          <w:rtl w:val="0"/>
        </w:rPr>
        <w:t xml:space="preserve">petri </w:t>
      </w:r>
      <w:r w:rsidDel="00000000" w:rsidR="00000000" w:rsidRPr="00000000">
        <w:rPr>
          <w:rFonts w:ascii="Times New Roman" w:cs="Times New Roman" w:eastAsia="Times New Roman" w:hAnsi="Times New Roman"/>
          <w:sz w:val="24"/>
          <w:szCs w:val="24"/>
          <w:rtl w:val="0"/>
        </w:rPr>
        <w:t xml:space="preserve">film (3x4 inches) which has:</w:t>
      </w:r>
    </w:p>
    <w:p w:rsidR="00000000" w:rsidDel="00000000" w:rsidP="00000000" w:rsidRDefault="00000000" w:rsidRPr="00000000" w14:paraId="00000021">
      <w:pPr>
        <w:pageBreakBefore w:val="0"/>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the ability to provide a</w:t>
      </w:r>
      <w:r w:rsidDel="00000000" w:rsidR="00000000" w:rsidRPr="00000000">
        <w:rPr>
          <w:rFonts w:ascii="Times New Roman" w:cs="Times New Roman" w:eastAsia="Times New Roman" w:hAnsi="Times New Roman"/>
          <w:sz w:val="24"/>
          <w:szCs w:val="24"/>
          <w:rtl w:val="0"/>
        </w:rPr>
        <w:t xml:space="preserve"> constant e</w:t>
      </w:r>
      <w:r w:rsidDel="00000000" w:rsidR="00000000" w:rsidRPr="00000000">
        <w:rPr>
          <w:rFonts w:ascii="Times New Roman" w:cs="Times New Roman" w:eastAsia="Times New Roman" w:hAnsi="Times New Roman"/>
          <w:sz w:val="24"/>
          <w:szCs w:val="24"/>
          <w:rtl w:val="0"/>
        </w:rPr>
        <w:t xml:space="preserve">levated temperature between 30</w:t>
      </w:r>
      <w:r w:rsidDel="00000000" w:rsidR="00000000" w:rsidRPr="00000000">
        <w:rPr>
          <w:rFonts w:ascii="Times New Roman" w:cs="Times New Roman" w:eastAsia="Times New Roman" w:hAnsi="Times New Roman"/>
          <w:sz w:val="24"/>
          <w:szCs w:val="24"/>
          <w:rtl w:val="0"/>
        </w:rPr>
        <w:t xml:space="preserve">º</w:t>
      </w:r>
      <w:r w:rsidDel="00000000" w:rsidR="00000000" w:rsidRPr="00000000">
        <w:rPr>
          <w:rFonts w:ascii="Times New Roman" w:cs="Times New Roman" w:eastAsia="Times New Roman" w:hAnsi="Times New Roman"/>
          <w:sz w:val="24"/>
          <w:szCs w:val="24"/>
          <w:rtl w:val="0"/>
        </w:rPr>
        <w:t xml:space="preserve">C and 42</w:t>
      </w:r>
      <w:r w:rsidDel="00000000" w:rsidR="00000000" w:rsidRPr="00000000">
        <w:rPr>
          <w:rFonts w:ascii="Times New Roman" w:cs="Times New Roman" w:eastAsia="Times New Roman" w:hAnsi="Times New Roman"/>
          <w:sz w:val="24"/>
          <w:szCs w:val="24"/>
          <w:rtl w:val="0"/>
        </w:rPr>
        <w:t xml:space="preserve">º</w:t>
      </w:r>
      <w:r w:rsidDel="00000000" w:rsidR="00000000" w:rsidRPr="00000000">
        <w:rPr>
          <w:rFonts w:ascii="Times New Roman" w:cs="Times New Roman" w:eastAsia="Times New Roman" w:hAnsi="Times New Roman"/>
          <w:sz w:val="24"/>
          <w:szCs w:val="24"/>
          <w:rtl w:val="0"/>
        </w:rPr>
        <w:t xml:space="preserve">C, as this is the ideal incubation temperature for the petrifilms</w:t>
      </w:r>
    </w:p>
    <w:p w:rsidR="00000000" w:rsidDel="00000000" w:rsidP="00000000" w:rsidRDefault="00000000" w:rsidRPr="00000000" w14:paraId="00000022">
      <w:pPr>
        <w:pageBreakBefore w:val="0"/>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a data tracking and digital readout of temperature</w:t>
      </w:r>
    </w:p>
    <w:p w:rsidR="00000000" w:rsidDel="00000000" w:rsidP="00000000" w:rsidRDefault="00000000" w:rsidRPr="00000000" w14:paraId="00000023">
      <w:pPr>
        <w:pageBreakBefore w:val="0"/>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rechargeable </w:t>
      </w:r>
      <w:r w:rsidDel="00000000" w:rsidR="00000000" w:rsidRPr="00000000">
        <w:rPr>
          <w:rFonts w:ascii="Times New Roman" w:cs="Times New Roman" w:eastAsia="Times New Roman" w:hAnsi="Times New Roman"/>
          <w:sz w:val="24"/>
          <w:szCs w:val="24"/>
          <w:rtl w:val="0"/>
        </w:rPr>
        <w:t xml:space="preserve">primary cells that could last the duration of one incubation cycle (up to 48 hours) per one charging</w:t>
      </w:r>
    </w:p>
    <w:p w:rsidR="00000000" w:rsidDel="00000000" w:rsidP="00000000" w:rsidRDefault="00000000" w:rsidRPr="00000000" w14:paraId="00000024">
      <w:pPr>
        <w:pageBreakBefore w:val="0"/>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  be able to work with minimal repairs (be able to be easily repaired by a researcher with components that could be ordered online or found in hardware shops) for upwards of 3 years</w:t>
      </w:r>
    </w:p>
    <w:p w:rsidR="00000000" w:rsidDel="00000000" w:rsidP="00000000" w:rsidRDefault="00000000" w:rsidRPr="00000000" w14:paraId="00000025">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we would like to have the following features:</w:t>
      </w:r>
    </w:p>
    <w:p w:rsidR="00000000" w:rsidDel="00000000" w:rsidP="00000000" w:rsidRDefault="00000000" w:rsidRPr="00000000" w14:paraId="00000026">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warning mechanism</w:t>
      </w:r>
      <w:r w:rsidDel="00000000" w:rsidR="00000000" w:rsidRPr="00000000">
        <w:rPr>
          <w:rFonts w:ascii="Times New Roman" w:cs="Times New Roman" w:eastAsia="Times New Roman" w:hAnsi="Times New Roman"/>
          <w:sz w:val="24"/>
          <w:szCs w:val="24"/>
          <w:rtl w:val="0"/>
        </w:rPr>
        <w:t xml:space="preserve"> to indicate if the system has failed, the battery is low, or if the temperature has fluctuated out of range. </w:t>
      </w:r>
    </w:p>
    <w:p w:rsidR="00000000" w:rsidDel="00000000" w:rsidP="00000000" w:rsidRDefault="00000000" w:rsidRPr="00000000" w14:paraId="00000027">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humidity control inside of the incubator</w:t>
      </w:r>
    </w:p>
    <w:p w:rsidR="00000000" w:rsidDel="00000000" w:rsidP="00000000" w:rsidRDefault="00000000" w:rsidRPr="00000000" w14:paraId="00000028">
      <w:pPr>
        <w:pageBreakBefore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i w:val="1"/>
          <w:sz w:val="24"/>
          <w:szCs w:val="24"/>
          <w:rtl w:val="0"/>
        </w:rPr>
        <w:t xml:space="preserve"> wants it to fit in a backpack.</w:t>
      </w:r>
      <w:r w:rsidDel="00000000" w:rsidR="00000000" w:rsidRPr="00000000">
        <w:rPr>
          <w:rtl w:val="0"/>
        </w:rPr>
      </w:r>
    </w:p>
    <w:p w:rsidR="00000000" w:rsidDel="00000000" w:rsidP="00000000" w:rsidRDefault="00000000" w:rsidRPr="00000000" w14:paraId="00000029">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Structures and Activities</w:t>
      </w:r>
    </w:p>
    <w:p w:rsidR="00000000" w:rsidDel="00000000" w:rsidP="00000000" w:rsidRDefault="00000000" w:rsidRPr="00000000" w14:paraId="0000002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Spring 2021 semester (beginning January 25th, 2021 and ending May 14th, 2021), Team Moonrats will produce a </w:t>
      </w:r>
      <w:r w:rsidDel="00000000" w:rsidR="00000000" w:rsidRPr="00000000">
        <w:rPr>
          <w:rFonts w:ascii="Times New Roman" w:cs="Times New Roman" w:eastAsia="Times New Roman" w:hAnsi="Times New Roman"/>
          <w:sz w:val="24"/>
          <w:szCs w:val="24"/>
          <w:rtl w:val="0"/>
        </w:rPr>
        <w:t xml:space="preserve">prototype, 9 technical memos, and a final design </w:t>
      </w:r>
      <w:r w:rsidDel="00000000" w:rsidR="00000000" w:rsidRPr="00000000">
        <w:rPr>
          <w:rFonts w:ascii="Times New Roman" w:cs="Times New Roman" w:eastAsia="Times New Roman" w:hAnsi="Times New Roman"/>
          <w:sz w:val="24"/>
          <w:szCs w:val="24"/>
          <w:rtl w:val="0"/>
        </w:rPr>
        <w:t xml:space="preserve">accompanying the final prototype. Table 1 outlines the authors of each technical memo, and the date by which we plan to finish them. Table 2 outlines other major deliverables and an estimate of when we would like to finish them by. </w:t>
      </w:r>
    </w:p>
    <w:p w:rsidR="00000000" w:rsidDel="00000000" w:rsidP="00000000" w:rsidRDefault="00000000" w:rsidRPr="00000000" w14:paraId="0000002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produce our deliverables within a </w:t>
      </w:r>
      <w:r w:rsidDel="00000000" w:rsidR="00000000" w:rsidRPr="00000000">
        <w:rPr>
          <w:rFonts w:ascii="Times New Roman" w:cs="Times New Roman" w:eastAsia="Times New Roman" w:hAnsi="Times New Roman"/>
          <w:sz w:val="24"/>
          <w:szCs w:val="24"/>
          <w:rtl w:val="0"/>
        </w:rPr>
        <w:t xml:space="preserve">$500 budget</w:t>
      </w:r>
      <w:r w:rsidDel="00000000" w:rsidR="00000000" w:rsidRPr="00000000">
        <w:rPr>
          <w:rFonts w:ascii="Times New Roman" w:cs="Times New Roman" w:eastAsia="Times New Roman" w:hAnsi="Times New Roman"/>
          <w:sz w:val="24"/>
          <w:szCs w:val="24"/>
          <w:rtl w:val="0"/>
        </w:rPr>
        <w:t xml:space="preserve"> that has been allocated to our team. In order to meet our goals within the given time frame, we will meet weekly on Tuesdays from 7:00pm - 8:00pm. Below, Table 3 and Table 4 list the contact information of the members and affiliates of Team Moonrats. </w:t>
      </w:r>
      <w:r w:rsidDel="00000000" w:rsidR="00000000" w:rsidRPr="00000000">
        <w:rPr>
          <w:rtl w:val="0"/>
        </w:rPr>
      </w:r>
    </w:p>
    <w:p w:rsidR="00000000" w:rsidDel="00000000" w:rsidP="00000000" w:rsidRDefault="00000000" w:rsidRPr="00000000" w14:paraId="0000002F">
      <w:pPr>
        <w:pageBreakBefore w:val="0"/>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b w:val="1"/>
          <w:sz w:val="24"/>
          <w:szCs w:val="24"/>
          <w:rtl w:val="0"/>
        </w:rPr>
        <w:t xml:space="preserve">Tech Memo Author Table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1755"/>
        <w:gridCol w:w="3120"/>
        <w:tblGridChange w:id="0">
          <w:tblGrid>
            <w:gridCol w:w="4485"/>
            <w:gridCol w:w="17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TM1: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2: Need-to-Know List and 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&amp; Joseph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3: Design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&amp; Nora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4: Brainstorming of design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Sindhuja &amp; Michael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10: Team Pit Stop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individually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5: Evaluation of Design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&amp; Jason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6: Design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 &amp; Sindhuja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7: 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&amp; Joseph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11: Identity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individually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8: Testing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&amp; Nora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 9: Design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12: Team Post Mortem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individually</w:t>
            </w:r>
          </w:p>
        </w:tc>
      </w:tr>
    </w:tbl>
    <w:p w:rsidR="00000000" w:rsidDel="00000000" w:rsidP="00000000" w:rsidRDefault="00000000" w:rsidRPr="00000000" w14:paraId="0000005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Major Deliverables and Planned Completion Dates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Proposal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Evaluation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Evaluation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Design &amp; Demo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Evaluation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Course</w:t>
            </w:r>
          </w:p>
        </w:tc>
      </w:tr>
    </w:tbl>
    <w:p w:rsidR="00000000" w:rsidDel="00000000" w:rsidP="00000000" w:rsidRDefault="00000000" w:rsidRPr="00000000" w14:paraId="00000066">
      <w:pPr>
        <w:pageBreakBefore w:val="0"/>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Team Members and Contact Information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35.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Moonrats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jru1@rice.edu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(832) 496-4116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jy76@rice.edu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(832) 245-6714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Sindhuja Darisipudi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sd87@rice.edu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(972) 662-8299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mjt6@rice.edu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(713) 349-3952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th42@rice.edu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+86 131 4118 1917</w:t>
            </w:r>
          </w:p>
        </w:tc>
      </w:tr>
    </w:tbl>
    <w:p w:rsidR="00000000" w:rsidDel="00000000" w:rsidP="00000000" w:rsidRDefault="00000000" w:rsidRPr="00000000" w14:paraId="0000007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Clients, Sponsors, and Other Affiliates and Contact Information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Christopher Ferguson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76"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cfergu11@gmail.com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Ashley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76"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art6@rice.edu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76"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sl105@rice.edu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Grasso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cg39@rice.edu</w:t>
              </w:r>
            </w:hyperlink>
            <w:r w:rsidDel="00000000" w:rsidR="00000000" w:rsidRPr="00000000">
              <w:rPr>
                <w:rtl w:val="0"/>
              </w:rPr>
            </w:r>
          </w:p>
        </w:tc>
      </w:tr>
    </w:tbl>
    <w:p w:rsidR="00000000" w:rsidDel="00000000" w:rsidP="00000000" w:rsidRDefault="00000000" w:rsidRPr="00000000" w14:paraId="0000008E">
      <w:pPr>
        <w:pageBreakBefore w:val="0"/>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90">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WASH Fast Facts.” </w:t>
      </w:r>
      <w:r w:rsidDel="00000000" w:rsidR="00000000" w:rsidRPr="00000000">
        <w:rPr>
          <w:rFonts w:ascii="Times New Roman" w:cs="Times New Roman" w:eastAsia="Times New Roman" w:hAnsi="Times New Roman"/>
          <w:i w:val="1"/>
          <w:sz w:val="24"/>
          <w:szCs w:val="24"/>
          <w:rtl w:val="0"/>
        </w:rPr>
        <w:t xml:space="preserve">Global Water, Sanitation, &amp; Hygiene (WASH)</w:t>
      </w:r>
      <w:r w:rsidDel="00000000" w:rsidR="00000000" w:rsidRPr="00000000">
        <w:rPr>
          <w:rFonts w:ascii="Times New Roman" w:cs="Times New Roman" w:eastAsia="Times New Roman" w:hAnsi="Times New Roman"/>
          <w:sz w:val="24"/>
          <w:szCs w:val="24"/>
          <w:rtl w:val="0"/>
        </w:rPr>
        <w:t xml:space="preserve">, Center for Disease Control and Prevention, 11 April 2016, https://www.cdc.gov/healthywater/global/wash_statistics.html. Accessed 5 February 2021.</w:t>
      </w:r>
    </w:p>
    <w:p w:rsidR="00000000" w:rsidDel="00000000" w:rsidP="00000000" w:rsidRDefault="00000000" w:rsidRPr="00000000" w14:paraId="00000092">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ageBreakBefore w:val="0"/>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Mistry, Pratibha, and Jessica A. Lawson. “Testing water quality: When labs don’t work.” </w:t>
      </w:r>
      <w:r w:rsidDel="00000000" w:rsidR="00000000" w:rsidRPr="00000000">
        <w:rPr>
          <w:rFonts w:ascii="Times New Roman" w:cs="Times New Roman" w:eastAsia="Times New Roman" w:hAnsi="Times New Roman"/>
          <w:i w:val="1"/>
          <w:sz w:val="24"/>
          <w:szCs w:val="24"/>
          <w:rtl w:val="0"/>
        </w:rPr>
        <w:t xml:space="preserve">World Bank Blogs</w:t>
      </w:r>
      <w:r w:rsidDel="00000000" w:rsidR="00000000" w:rsidRPr="00000000">
        <w:rPr>
          <w:rFonts w:ascii="Times New Roman" w:cs="Times New Roman" w:eastAsia="Times New Roman" w:hAnsi="Times New Roman"/>
          <w:sz w:val="24"/>
          <w:szCs w:val="24"/>
          <w:rtl w:val="0"/>
        </w:rPr>
        <w:t xml:space="preserve">, World Bank Group, 24 January 2017, https://blogs.worldbank.org/water/when-labs-don-t-work. Accessed 7 February 2021.</w:t>
      </w:r>
    </w:p>
    <w:p w:rsidR="00000000" w:rsidDel="00000000" w:rsidP="00000000" w:rsidRDefault="00000000" w:rsidRPr="00000000" w14:paraId="00000094">
      <w:pPr>
        <w:pageBreakBefore w:val="0"/>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Schertenleib, A., Sigrist, J., Friedrich, M. N. D., Ebi, C., Hammes, F., Marks, S. J. Construction   of a Low-cost Mobile Incubator for Field and Laboratory Use. J. Vis. Exp. (145), e58443, doi:10.3791/58443 (2019). Accessed 7 February 2021.</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jt6@rice.edu" TargetMode="External"/><Relationship Id="rId10" Type="http://schemas.openxmlformats.org/officeDocument/2006/relationships/hyperlink" Target="mailto:sd87@rice.edu" TargetMode="External"/><Relationship Id="rId13" Type="http://schemas.openxmlformats.org/officeDocument/2006/relationships/hyperlink" Target="mailto:cfergu11@gmail.com" TargetMode="External"/><Relationship Id="rId12" Type="http://schemas.openxmlformats.org/officeDocument/2006/relationships/hyperlink" Target="mailto:th42@ric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y76@rice.edu" TargetMode="External"/><Relationship Id="rId15" Type="http://schemas.openxmlformats.org/officeDocument/2006/relationships/hyperlink" Target="mailto:sl105@rice.edu" TargetMode="External"/><Relationship Id="rId14" Type="http://schemas.openxmlformats.org/officeDocument/2006/relationships/hyperlink" Target="mailto:art6@rice.edu" TargetMode="External"/><Relationship Id="rId17" Type="http://schemas.openxmlformats.org/officeDocument/2006/relationships/header" Target="header1.xml"/><Relationship Id="rId16" Type="http://schemas.openxmlformats.org/officeDocument/2006/relationships/hyperlink" Target="mailto:cg39@rice.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5moonrats@gmail.com" TargetMode="External"/><Relationship Id="rId8" Type="http://schemas.openxmlformats.org/officeDocument/2006/relationships/hyperlink" Target="mailto:jru1@ri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January</b:Month>
    <b:DayAccessed>7</b:DayAccessed>
    <b:Day>24</b:Day>
    <b:Year>2017</b:Year>
    <b:SourceType>DocumentFromInternetSite</b:SourceType>
    <b:URL>https://blogs.worldbank.org/water/when-labs-don-t-work</b:URL>
    <b:Title>Testing water quality: When labs don’t work</b:Title>
    <b:InternetSiteTitle>World Bank Blogs</b:InternetSiteTitle>
    <b:MonthAccessed>February</b:MonthAccessed>
    <b:YearAccessed>2021</b:YearAccessed>
    <b:Publisher>World Bank Group</b:Publisher>
    <b:Gdcea>{"AccessedType":"Website"}</b:Gdcea>
    <b:Author>
      <b:Author>
        <b:NameList>
          <b:Person>
            <b:First>Pratibha</b:First>
            <b:Last>Mistry</b:Last>
          </b:Person>
          <b:Person>
            <b:First>Jessica</b:First>
            <b:Middle>A</b:Middle>
            <b:Last>Lawson</b:Last>
          </b:Person>
        </b:NameList>
      </b:Author>
    </b:Author>
  </b:Source>
  <b:Source>
    <b:Tag>source2</b:Tag>
    <b:Month>April</b:Month>
    <b:DayAccessed>5</b:DayAccessed>
    <b:Day>11</b:Day>
    <b:Year>2016</b:Year>
    <b:SourceType>DocumentFromInternetSite</b:SourceType>
    <b:URL>https://www.cdc.gov/healthywater/global/wash_statistics.html</b:URL>
    <b:Title>Global WASH Fast Facts</b:Title>
    <b:InternetSiteTitle>Global Water, Sanitation, &amp; Hygiene (WASH)</b:InternetSiteTitle>
    <b:MonthAccessed>February</b:MonthAccessed>
    <b:YearAccessed>2021</b:YearAccessed>
    <b:Publisher>Center for Disease Control and Prevention</b:Publisher>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