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AI &amp; GenAI: Multi-Agent Systems,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LLM API integrations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RAG/RAGFlow, Graph RAG, AI Agentic, LangChain, LangGraph, n8n workflows, Prompt Engineering, Semantic Search, MCP (Model Context Protocol).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Backend &amp; Languages: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(FastAPI),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Java, Next.js, SQL/NoSQL, RESTful &amp; streaming LLM APIs, GraphQL, Vector DBs, agent-orchestration libraries.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Cloud &amp; DevOps: Linux, Kubernetes (K8s), Docker, Azure, CI/CD Automation, Observability &amp; alerting (prometheus /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Langfuse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), Microservices, Hybrid-Cloud, security best practices.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b w:val="0"/>
          <w:i w:val="0"/>
          <w:sz w:val="20"/>
        </w:rPr>
        <w:t xml:space="preserve">• Platform &amp; LLM Integrations: Led architecture and development of the "Horus Platform," designing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backends and </w:t>
      </w:r>
      <w:r>
        <w:rPr>
          <w:b/>
          <w:i w:val="0"/>
          <w:sz w:val="20"/>
        </w:rPr>
        <w:t>LLM API</w:t>
      </w:r>
      <w:r>
        <w:rPr>
          <w:b w:val="0"/>
          <w:i w:val="0"/>
          <w:sz w:val="20"/>
        </w:rPr>
        <w:t xml:space="preserve"> integrations to power chat-based UX, RAG-backed knowledge, and secure agent orchestration for enterprise CRM in the ecological credits market.</w:t>
      </w:r>
      <w:r w:rsidRPr="008866A3">
        <w:rPr>
          <w:i/>
          <w:iCs/>
          <w:sz w:val="20"/>
          <w:szCs w:val="20"/>
          <w:lang w:val="en-US"/>
        </w:rPr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>
        <w:rPr>
          <w:b w:val="0"/>
          <w:i w:val="0"/>
          <w:sz w:val="20"/>
        </w:rPr>
        <w:t xml:space="preserve">• Enterprise RAG &amp; Retrieval Pipelines: Architected private knowledge retrieval using </w:t>
      </w:r>
      <w:r>
        <w:rPr>
          <w:b/>
          <w:i w:val="0"/>
          <w:sz w:val="20"/>
        </w:rPr>
        <w:t>RAGFlow</w:t>
      </w:r>
      <w:r>
        <w:rPr>
          <w:b w:val="0"/>
          <w:i w:val="0"/>
          <w:sz w:val="20"/>
        </w:rPr>
        <w:t xml:space="preserve"> with semantic chunking, hybrid (vector+keyword) search, and robust document parsing for complex layouts. Built retrieval pipelines with citation-grounding and HITL validation, and instrumented evaluation/monitoring to track quality and drift.</w:t>
      </w:r>
      <w:r w:rsidRPr="002F0B02">
        <w:rPr>
          <w:b/>
          <w:bCs/>
          <w:sz w:val="20"/>
          <w:szCs w:val="20"/>
          <w:lang w:val="en-US"/>
        </w:rPr>
      </w:r>
      <w:r w:rsidRPr="002F0B02">
        <w:rPr>
          <w:sz w:val="20"/>
          <w:szCs w:val="20"/>
          <w:lang w:val="en-US"/>
        </w:rPr>
      </w:r>
      <w:proofErr w:type="spellStart"/>
      <w:r w:rsidRPr="002F0B02">
        <w:rPr>
          <w:b/>
          <w:bCs/>
          <w:sz w:val="20"/>
          <w:szCs w:val="20"/>
          <w:lang w:val="en-US"/>
        </w:rPr>
      </w:r>
      <w:proofErr w:type="spellEnd"/>
      <w:r w:rsidRPr="002F0B02">
        <w:rPr>
          <w:sz w:val="20"/>
          <w:szCs w:val="20"/>
          <w:lang w:val="en-US"/>
        </w:rPr>
      </w:r>
      <w:r w:rsidRPr="002F0B02">
        <w:rPr>
          <w:b/>
          <w:bCs/>
          <w:sz w:val="20"/>
          <w:szCs w:val="20"/>
          <w:lang w:val="en-US"/>
        </w:rPr>
      </w:r>
      <w:r w:rsidRPr="002F0B02">
        <w:rPr>
          <w:sz w:val="20"/>
          <w:szCs w:val="20"/>
          <w:lang w:val="en-US"/>
        </w:rPr>
        <w:t xml:space="preserve">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>• Product &amp; Agent Orchestration: Built chat-based interfaces and LLM API orchestration (tool routing, parallel agent execution) and integrated backend services (FastAPI) for multi-step agent workflows; collaborated with Product and Design to prototype, test and refine user flows.</w:t>
      </w:r>
      <w:r>
        <w:rPr>
          <w:rFonts w:ascii="Times New Roman Bold" w:hAnsi="Times New Roman Bold" w:cs="Times New Roman Bold"/>
          <w:b/>
          <w:bCs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</w:r>
      <w:r>
        <w:rPr>
          <w:rFonts w:hint="eastAsia"/>
          <w:sz w:val="20"/>
          <w:szCs w:val="20"/>
        </w:rPr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</w:r>
      <w:r w:rsidR="00C53D5E">
        <w:rPr>
          <w:sz w:val="20"/>
          <w:szCs w:val="20"/>
        </w:rPr>
      </w:r>
      <w:r>
        <w:rPr>
          <w:rFonts w:eastAsia="SimSun" w:hint="eastAsia"/>
          <w:sz w:val="20"/>
          <w:szCs w:val="20"/>
          <w:lang w:val="en-US"/>
        </w:rPr>
      </w:r>
      <w:r>
        <w:rPr>
          <w:rFonts w:hint="eastAsia"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</w:rPr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</w:r>
      <w:r>
        <w:rPr>
          <w:rFonts w:eastAsia="SimSun" w:hint="eastAsia"/>
          <w:sz w:val="20"/>
          <w:szCs w:val="20"/>
          <w:lang w:val="en-US"/>
        </w:rPr>
      </w:r>
      <w:r>
        <w:rPr>
          <w:rFonts w:hint="eastAsia"/>
          <w:sz w:val="20"/>
          <w:szCs w:val="20"/>
        </w:rPr>
      </w:r>
      <w:proofErr w:type="gramEnd"/>
      <w:r>
        <w:rPr>
          <w:rFonts w:hint="eastAsia"/>
          <w:sz w:val="20"/>
          <w:szCs w:val="20"/>
        </w:rPr>
      </w:r>
      <w:r>
        <w:rPr>
          <w:rFonts w:ascii="Times New Roman Bold" w:hAnsi="Times New Roman Bold" w:cs="Times New Roman Bold"/>
          <w:b/>
          <w:bCs/>
          <w:sz w:val="20"/>
          <w:szCs w:val="20"/>
        </w:rPr>
      </w:r>
      <w:r>
        <w:rPr>
          <w:rFonts w:hint="eastAsia"/>
          <w:sz w:val="20"/>
          <w:szCs w:val="20"/>
        </w:rPr>
        <w:t xml:space="preserve">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>
        <w:rPr>
          <w:b w:val="0"/>
          <w:i w:val="0"/>
          <w:sz w:val="20"/>
        </w:rPr>
        <w:t xml:space="preserve">Graph RAG Development: Led design of commercial Graph RAG using </w:t>
      </w:r>
      <w:r>
        <w:rPr>
          <w:b/>
          <w:i w:val="0"/>
          <w:sz w:val="20"/>
        </w:rPr>
        <w:t>LangChain</w:t>
      </w:r>
      <w:r>
        <w:rPr>
          <w:b w:val="0"/>
          <w:i w:val="0"/>
          <w:sz w:val="20"/>
        </w:rPr>
        <w:t xml:space="preserve"> &amp; Microsoft GraphRAG, adding semantic chunking, document parsing, and retrieval evaluations to improve semantic retrieval accuracy and production robustness.</w:t>
      </w:r>
      <w:r w:rsidRPr="00E42B8B">
        <w:rPr>
          <w:b/>
          <w:bCs/>
          <w:sz w:val="20"/>
          <w:szCs w:val="20"/>
          <w:lang w:val="en-US"/>
        </w:rPr>
      </w:r>
      <w:r w:rsidRPr="00E42B8B">
        <w:rPr>
          <w:sz w:val="20"/>
          <w:szCs w:val="20"/>
          <w:lang w:val="en-US"/>
        </w:rPr>
      </w:r>
      <w:r w:rsidRPr="00E42B8B">
        <w:rPr>
          <w:b/>
          <w:bCs/>
          <w:sz w:val="20"/>
          <w:szCs w:val="20"/>
          <w:lang w:val="en-US"/>
        </w:rPr>
      </w:r>
      <w:r w:rsidRPr="00E42B8B">
        <w:rPr>
          <w:sz w:val="20"/>
          <w:szCs w:val="20"/>
          <w:lang w:val="en-US"/>
        </w:rPr>
      </w:r>
      <w:proofErr w:type="spellStart"/>
      <w:r w:rsidRPr="00E42B8B">
        <w:rPr>
          <w:sz w:val="20"/>
          <w:szCs w:val="20"/>
          <w:lang w:val="en-US"/>
        </w:rPr>
      </w:r>
      <w:proofErr w:type="spellEnd"/>
      <w:r w:rsidRPr="00E42B8B">
        <w:rPr>
          <w:sz w:val="20"/>
          <w:szCs w:val="20"/>
          <w:lang w:val="en-US"/>
        </w:rPr>
      </w:r>
      <w:proofErr w:type="spellStart"/>
      <w:r w:rsidRPr="00E42B8B">
        <w:rPr>
          <w:sz w:val="20"/>
          <w:szCs w:val="20"/>
          <w:lang w:val="en-US"/>
        </w:rPr>
      </w:r>
      <w:proofErr w:type="spellEnd"/>
      <w:r w:rsidRPr="00E42B8B">
        <w:rPr>
          <w:sz w:val="20"/>
          <w:szCs w:val="20"/>
          <w:lang w:val="en-US"/>
        </w:rPr>
        <w:t xml:space="preserve">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>
        <w:rPr>
          <w:b w:val="0"/>
          <w:i w:val="0"/>
          <w:sz w:val="20"/>
        </w:rPr>
        <w:t xml:space="preserve">• Cloud-Native DevOps &amp; LLM Ops: Built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streaming endpoints for LLM integrations, implemented CI/CD for hybrid cloud (Azure + on-prem K8s), and added monitoring, alerting and secure deployment practices to meet reliability and data-privacy requirements.</w:t>
      </w:r>
      <w:r w:rsidRPr="00E42B8B">
        <w:rPr>
          <w:b/>
          <w:bCs/>
          <w:sz w:val="20"/>
          <w:szCs w:val="20"/>
          <w:lang w:val="en-US"/>
        </w:rPr>
      </w:r>
      <w:r w:rsidRPr="00E42B8B">
        <w:rPr>
          <w:sz w:val="20"/>
          <w:szCs w:val="20"/>
          <w:lang w:val="en-US"/>
        </w:rPr>
      </w:r>
      <w:proofErr w:type="spellStart"/>
      <w:r w:rsidRPr="00E42B8B">
        <w:rPr>
          <w:b/>
          <w:bCs/>
          <w:sz w:val="20"/>
          <w:szCs w:val="20"/>
          <w:lang w:val="en-US"/>
        </w:rPr>
      </w:r>
      <w:proofErr w:type="spellEnd"/>
      <w:r w:rsidRPr="00E42B8B">
        <w:rPr>
          <w:sz w:val="20"/>
          <w:szCs w:val="20"/>
          <w:lang w:val="en-US"/>
        </w:rPr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