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18106" w14:textId="400509E5" w:rsidR="0062162E" w:rsidRDefault="00CC1C2E" w:rsidP="009B50EF">
      <w:pPr>
        <w:pStyle w:val="Heading1"/>
      </w:pPr>
      <w:r>
        <w:t>Wi</w:t>
      </w:r>
      <w:r w:rsidR="009B50EF">
        <w:t>-F</w:t>
      </w:r>
      <w:r>
        <w:t xml:space="preserve">i </w:t>
      </w:r>
      <w:r w:rsidR="00332101">
        <w:t>I</w:t>
      </w:r>
      <w:r>
        <w:t>mplementation Using LabVIEW</w:t>
      </w:r>
      <w:r w:rsidR="009B50EF">
        <w:t xml:space="preserve">: </w:t>
      </w:r>
      <w:r w:rsidR="002F7918">
        <w:t>Midterm Report</w:t>
      </w:r>
    </w:p>
    <w:p w14:paraId="10EA7AE0" w14:textId="71293C94" w:rsidR="009B50EF" w:rsidRPr="009B50EF" w:rsidRDefault="009B50EF" w:rsidP="009B50EF">
      <w:r>
        <w:t>Nathan Schimpf</w:t>
      </w:r>
      <w:r>
        <w:br/>
        <w:t>University of Louisville</w:t>
      </w:r>
      <w:r>
        <w:br/>
        <w:t>ntschi01@louisville.edu</w:t>
      </w:r>
    </w:p>
    <w:p w14:paraId="310BC01D" w14:textId="37D67947" w:rsidR="00CC1C2E" w:rsidRDefault="00CC1C2E" w:rsidP="00CC1C2E">
      <w:pPr>
        <w:pStyle w:val="Heading2"/>
      </w:pPr>
      <w:r>
        <w:t>Introduction</w:t>
      </w:r>
    </w:p>
    <w:p w14:paraId="39F75F57" w14:textId="7BB45344" w:rsidR="00132C85" w:rsidRPr="00525A33" w:rsidRDefault="00132C85" w:rsidP="00AB0824">
      <w:pPr>
        <w:jc w:val="both"/>
      </w:pPr>
      <w:r>
        <w:t>One of the predominant schemes for wireless communication, Wi</w:t>
      </w:r>
      <w:r w:rsidR="00DF6813">
        <w:t>-F</w:t>
      </w:r>
      <w:r>
        <w:t xml:space="preserve">i enables </w:t>
      </w:r>
      <w:r w:rsidR="00F71AC9">
        <w:t xml:space="preserve">the majority </w:t>
      </w:r>
      <w:r>
        <w:t>of all internet traffic</w:t>
      </w:r>
      <w:r w:rsidRPr="00F71AC9">
        <w:t>.</w:t>
      </w:r>
      <w:r>
        <w:rPr>
          <w:b/>
          <w:bCs/>
        </w:rPr>
        <w:t xml:space="preserve"> </w:t>
      </w:r>
      <w:r w:rsidR="00525A33">
        <w:t xml:space="preserve">As </w:t>
      </w:r>
      <w:r w:rsidR="00855CC2">
        <w:t>internet</w:t>
      </w:r>
      <w:r w:rsidR="00525A33">
        <w:t xml:space="preserve"> use increases, the need for </w:t>
      </w:r>
      <w:r w:rsidR="00855CC2">
        <w:t>Wi-Fi</w:t>
      </w:r>
      <w:r w:rsidR="00525A33">
        <w:t xml:space="preserve"> </w:t>
      </w:r>
      <w:r w:rsidR="00E978CB">
        <w:t xml:space="preserve">systems to provide higher throughput rates has persisted since </w:t>
      </w:r>
      <w:r w:rsidR="00B655FB">
        <w:t>its inception</w:t>
      </w:r>
      <w:r w:rsidR="00E978CB">
        <w:t xml:space="preserve">, leading to its implementation of Orthogonal Frequency Division </w:t>
      </w:r>
      <w:r w:rsidR="00855CC2">
        <w:t>Multiplexing</w:t>
      </w:r>
      <w:r w:rsidR="00E978CB">
        <w:t xml:space="preserve"> (OFDM)</w:t>
      </w:r>
      <w:r w:rsidR="00CA1293">
        <w:t>, first seen in the 802.11a standard</w:t>
      </w:r>
      <w:r w:rsidR="00E978CB">
        <w:t xml:space="preserve">. </w:t>
      </w:r>
      <w:r w:rsidR="00B16829">
        <w:t>To gain a better understanding of this technology, the student propose</w:t>
      </w:r>
      <w:r w:rsidR="00CA716A">
        <w:t>s</w:t>
      </w:r>
      <w:r w:rsidR="00B16829">
        <w:t xml:space="preserve"> developing a limited-</w:t>
      </w:r>
      <w:r w:rsidR="00354CD3">
        <w:t>feature</w:t>
      </w:r>
      <w:r w:rsidR="00B16829">
        <w:t xml:space="preserve"> implementation of a </w:t>
      </w:r>
      <w:r w:rsidR="00855CC2">
        <w:t>Wi-Fi</w:t>
      </w:r>
      <w:r w:rsidR="00B16829">
        <w:t xml:space="preserve"> physical layer</w:t>
      </w:r>
      <w:r w:rsidR="00354CD3">
        <w:t xml:space="preserve">. Core elements such as modulation and demodulation, </w:t>
      </w:r>
      <w:r w:rsidR="00830485">
        <w:t>Orthogonal Frequency-Division Multiplexing</w:t>
      </w:r>
      <w:r w:rsidR="00FD2FF1">
        <w:t xml:space="preserve"> </w:t>
      </w:r>
    </w:p>
    <w:p w14:paraId="50975E41" w14:textId="549EC008" w:rsidR="00CC1C2E" w:rsidRDefault="00CC1C2E" w:rsidP="00CC1C2E">
      <w:pPr>
        <w:pStyle w:val="Heading2"/>
      </w:pPr>
      <w:r>
        <w:t>Topic Background</w:t>
      </w:r>
    </w:p>
    <w:p w14:paraId="6939D789" w14:textId="76E96866" w:rsidR="001100DD" w:rsidRDefault="00023875" w:rsidP="00AB082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B512AF" wp14:editId="6ADF8985">
                <wp:simplePos x="0" y="0"/>
                <wp:positionH relativeFrom="column">
                  <wp:posOffset>0</wp:posOffset>
                </wp:positionH>
                <wp:positionV relativeFrom="paragraph">
                  <wp:posOffset>517525</wp:posOffset>
                </wp:positionV>
                <wp:extent cx="5962650" cy="1404620"/>
                <wp:effectExtent l="0" t="0" r="1905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2074F" w14:textId="77777777" w:rsidR="00A9012B" w:rsidRDefault="00023875" w:rsidP="000238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E3FF7" wp14:editId="5BB74F17">
                                  <wp:extent cx="5789930" cy="1841944"/>
                                  <wp:effectExtent l="0" t="0" r="1270" b="6350"/>
                                  <wp:docPr id="9" name="Picture 9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rchitectur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6394" cy="1882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C7EA91" w14:textId="156E8571" w:rsidR="009105A6" w:rsidRDefault="009105A6" w:rsidP="00023875">
                            <w:pPr>
                              <w:jc w:val="center"/>
                            </w:pPr>
                            <w:r>
                              <w:t xml:space="preserve">Figure 1.1: General Physical-Layer Architecture for </w:t>
                            </w:r>
                            <w:r w:rsidR="00FA05C6">
                              <w:t>Wi-Fi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51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75pt;width:46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">
                <v:textbox style="mso-fit-shape-to-text:t">
                  <w:txbxContent>
                    <w:p w14:paraId="4C02074F" w14:textId="77777777" w:rsidR="00A9012B" w:rsidRDefault="00023875" w:rsidP="000238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5E3FF7" wp14:editId="5BB74F17">
                            <wp:extent cx="5789930" cy="1841944"/>
                            <wp:effectExtent l="0" t="0" r="1270" b="6350"/>
                            <wp:docPr id="9" name="Picture 9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Architectur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6394" cy="1882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C7EA91" w14:textId="156E8571" w:rsidR="009105A6" w:rsidRDefault="009105A6" w:rsidP="00023875">
                      <w:pPr>
                        <w:jc w:val="center"/>
                      </w:pPr>
                      <w:r>
                        <w:t xml:space="preserve">Figure 1.1: General Physical-Layer Architecture for </w:t>
                      </w:r>
                      <w:r w:rsidR="00FA05C6">
                        <w:t>Wi-Fi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0DD">
        <w:t>Modern physical-layer Wi</w:t>
      </w:r>
      <w:r w:rsidR="00DF6813">
        <w:t>-F</w:t>
      </w:r>
      <w:r w:rsidR="001100DD">
        <w:t xml:space="preserve">i implementations incorporate a number of modulation and coding techniques to maximize throughput and robustness. </w:t>
      </w:r>
      <w:r w:rsidR="001100DD" w:rsidRPr="00023875">
        <w:t>Figure 1.1 illustrates the overall architecture.</w:t>
      </w:r>
      <w:r w:rsidR="001100DD">
        <w:rPr>
          <w:b/>
          <w:bCs/>
        </w:rPr>
        <w:t xml:space="preserve"> </w:t>
      </w:r>
    </w:p>
    <w:p w14:paraId="31F39EEE" w14:textId="790B5937" w:rsidR="00930FF2" w:rsidRDefault="001100DD" w:rsidP="00AB0824">
      <w:pPr>
        <w:jc w:val="both"/>
        <w:rPr>
          <w:b/>
          <w:bCs/>
          <w:noProof/>
        </w:rPr>
      </w:pPr>
      <w:r>
        <w:t xml:space="preserve">At its core, OFDM is a specialized technique of grouping </w:t>
      </w:r>
      <w:r w:rsidR="00323347">
        <w:t xml:space="preserve">up to 64 </w:t>
      </w:r>
      <w:r w:rsidR="00E272BB">
        <w:t xml:space="preserve">(default) </w:t>
      </w:r>
      <w:r w:rsidR="00323347">
        <w:t>or 128</w:t>
      </w:r>
      <w:r>
        <w:t xml:space="preserve"> subcarriers </w:t>
      </w:r>
      <w:r w:rsidR="00323347">
        <w:t>(</w:t>
      </w:r>
      <w:r w:rsidR="00E272BB">
        <w:t xml:space="preserve">introduced in </w:t>
      </w:r>
      <w:r w:rsidR="00323347">
        <w:t xml:space="preserve">802.11ac) </w:t>
      </w:r>
      <w:r>
        <w:t>into a single channel. Each subcarrier sends individual data streams on a specified carrier frequency, in such a way that they are both tightly-packed and non-interfering.</w:t>
      </w:r>
      <w:r w:rsidR="00323347" w:rsidRPr="00323347">
        <w:rPr>
          <w:b/>
          <w:bCs/>
        </w:rPr>
        <w:t xml:space="preserve"> </w:t>
      </w:r>
      <w:r w:rsidR="00323347" w:rsidRPr="00297B30">
        <w:t>While most of the subcarriers present are data-bearing, there are four pilot subcarriers</w:t>
      </w:r>
      <w:r w:rsidR="00E272BB" w:rsidRPr="00297B30">
        <w:t xml:space="preserve"> which</w:t>
      </w:r>
      <w:r w:rsidR="00323347" w:rsidRPr="00297B30">
        <w:t xml:space="preserve"> provide a fixed, repeated signal for estimation processes</w:t>
      </w:r>
      <w:r w:rsidR="00323347" w:rsidRPr="00B87D61">
        <w:t xml:space="preserve">. </w:t>
      </w:r>
      <w:r w:rsidR="00297B30" w:rsidRPr="00B87D61">
        <w:t>The layout of these subcarriers can be seen in figure 1.2.</w:t>
      </w:r>
      <w:r w:rsidR="00930FF2" w:rsidRPr="00930FF2">
        <w:rPr>
          <w:b/>
          <w:bCs/>
          <w:noProof/>
        </w:rPr>
        <w:t xml:space="preserve"> </w:t>
      </w:r>
    </w:p>
    <w:p w14:paraId="1AE56E79" w14:textId="2DDFB120" w:rsidR="00517A53" w:rsidRDefault="00E21585" w:rsidP="00AB0824">
      <w:pPr>
        <w:jc w:val="both"/>
      </w:pPr>
      <w:r>
        <w:t xml:space="preserve">It should be noted that </w:t>
      </w:r>
      <w:r w:rsidR="00323347">
        <w:t>the</w:t>
      </w:r>
      <w:r>
        <w:t xml:space="preserve"> orthogonality </w:t>
      </w:r>
      <w:r w:rsidR="00323347">
        <w:t xml:space="preserve">of these subcarriers </w:t>
      </w:r>
      <w:r>
        <w:t xml:space="preserve">can be </w:t>
      </w:r>
      <w:r w:rsidR="00323347">
        <w:t>a</w:t>
      </w:r>
      <w:r>
        <w:t>ffected by changes in the physical space of transmission</w:t>
      </w:r>
      <w:r w:rsidR="0066699C">
        <w:t xml:space="preserve">, whether that be the medium of the channel or movement of the devices; in both cases, the interference caused by this loss of orthogonality is known as </w:t>
      </w:r>
      <w:r w:rsidR="0066699C">
        <w:rPr>
          <w:i/>
          <w:iCs/>
        </w:rPr>
        <w:t>fading</w:t>
      </w:r>
      <w:r w:rsidR="0066699C">
        <w:t>, and is addressed via Forward-Error Correcting (FEC) schemes discussed later.</w:t>
      </w:r>
    </w:p>
    <w:p w14:paraId="2ABC438D" w14:textId="0A41C5CD" w:rsidR="00413B16" w:rsidRDefault="00A9012B" w:rsidP="001371D2">
      <w:pPr>
        <w:jc w:val="both"/>
      </w:pPr>
      <w:r w:rsidRPr="00930FF2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52303E" wp14:editId="0C718E84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5962650" cy="1404620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E91EF" w14:textId="46781139" w:rsidR="00930FF2" w:rsidRDefault="00B87D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980C4" wp14:editId="5E19002C">
                                  <wp:extent cx="5790452" cy="1343025"/>
                                  <wp:effectExtent l="0" t="0" r="1270" b="0"/>
                                  <wp:docPr id="13" name="Picture 13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roposal Figures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5828" cy="1346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836650" w14:textId="5AA6C555" w:rsidR="00671FBF" w:rsidRDefault="00671FBF" w:rsidP="009A0FFA">
                            <w:pPr>
                              <w:jc w:val="center"/>
                            </w:pPr>
                            <w:r>
                              <w:t>Figure 1.2: Subcarrier Layout of 52-subcarrier Wi-Fi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2303E" id="_x0000_s1027" type="#_x0000_t202" style="position:absolute;left:0;text-align:left;margin-left:-.1pt;margin-top:0;width:46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">
                <v:textbox style="mso-fit-shape-to-text:t">
                  <w:txbxContent>
                    <w:p w14:paraId="11CE91EF" w14:textId="46781139" w:rsidR="00930FF2" w:rsidRDefault="00B87D61">
                      <w:r>
                        <w:rPr>
                          <w:noProof/>
                        </w:rPr>
                        <w:drawing>
                          <wp:inline distT="0" distB="0" distL="0" distR="0" wp14:anchorId="073980C4" wp14:editId="5E19002C">
                            <wp:extent cx="5790452" cy="1343025"/>
                            <wp:effectExtent l="0" t="0" r="1270" b="0"/>
                            <wp:docPr id="13" name="Picture 13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roposal Figures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5828" cy="1346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836650" w14:textId="5AA6C555" w:rsidR="00671FBF" w:rsidRDefault="00671FBF" w:rsidP="009A0FFA">
                      <w:pPr>
                        <w:jc w:val="center"/>
                      </w:pPr>
                      <w:r>
                        <w:t>Figure 1.2: Subcarrier Layout of 52-subcarrier Wi-Fi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CCA">
        <w:t>The transmission of bits of data by each subcarrier leverages the broad modulation scheme of Quadrature-Amplitude Modulation (QAM)</w:t>
      </w:r>
      <w:r w:rsidR="00387335">
        <w:t xml:space="preserve">. </w:t>
      </w:r>
      <w:r w:rsidR="009E71D4">
        <w:t xml:space="preserve">In order to utilize this modulation technique, the transmitter and receiver must be </w:t>
      </w:r>
      <w:r w:rsidR="009E71D4" w:rsidRPr="004A0408">
        <w:t>synchronized</w:t>
      </w:r>
      <w:r w:rsidR="009E71D4">
        <w:t xml:space="preserve">, </w:t>
      </w:r>
      <w:r w:rsidR="00017B29">
        <w:t>expecting a character to be transmitted at a fixed interval of time based on the period of the lowest-frequency subcarrier</w:t>
      </w:r>
      <w:r w:rsidR="009810CB">
        <w:t xml:space="preserve"> – the </w:t>
      </w:r>
      <w:r w:rsidR="009810CB">
        <w:rPr>
          <w:i/>
          <w:iCs/>
        </w:rPr>
        <w:t>symbol rate</w:t>
      </w:r>
      <w:r w:rsidR="009810CB">
        <w:t xml:space="preserve"> of the channel</w:t>
      </w:r>
      <w:r w:rsidR="00017B29">
        <w:t>.</w:t>
      </w:r>
      <w:r w:rsidR="00413B16">
        <w:t xml:space="preserve"> Synchronization is accomplished</w:t>
      </w:r>
      <w:r w:rsidR="00D45390">
        <w:t xml:space="preserve"> during a guard-time prior to transmission; typically, </w:t>
      </w:r>
      <w:r w:rsidR="007D202F">
        <w:t xml:space="preserve">guard-times simply transmit the first symbol for an extended </w:t>
      </w:r>
      <w:r w:rsidR="00454A10">
        <w:t>period</w:t>
      </w:r>
      <w:r w:rsidR="00E10D1D">
        <w:t xml:space="preserve">, known as a </w:t>
      </w:r>
      <w:r w:rsidR="00E10D1D">
        <w:rPr>
          <w:i/>
          <w:iCs/>
        </w:rPr>
        <w:t>guard</w:t>
      </w:r>
      <w:r w:rsidR="00733590">
        <w:rPr>
          <w:i/>
          <w:iCs/>
        </w:rPr>
        <w:t xml:space="preserve"> </w:t>
      </w:r>
      <w:r w:rsidR="00E10D1D">
        <w:rPr>
          <w:i/>
          <w:iCs/>
        </w:rPr>
        <w:t>time</w:t>
      </w:r>
      <w:r w:rsidR="004B2EBC">
        <w:rPr>
          <w:i/>
          <w:iCs/>
        </w:rPr>
        <w:t xml:space="preserve"> </w:t>
      </w:r>
      <w:r w:rsidR="004B2EBC">
        <w:t xml:space="preserve">or </w:t>
      </w:r>
      <w:r w:rsidR="004B2EBC">
        <w:rPr>
          <w:i/>
          <w:iCs/>
        </w:rPr>
        <w:t>integration time</w:t>
      </w:r>
      <w:r w:rsidR="007D202F">
        <w:t>.</w:t>
      </w:r>
      <w:r w:rsidR="00017B29">
        <w:t xml:space="preserve"> </w:t>
      </w:r>
    </w:p>
    <w:p w14:paraId="29D12042" w14:textId="6D478CAF" w:rsidR="00F13373" w:rsidRDefault="007D202F" w:rsidP="001371D2">
      <w:pPr>
        <w:jc w:val="both"/>
        <w:rPr>
          <w:b/>
          <w:bCs/>
        </w:rPr>
      </w:pPr>
      <w:r w:rsidRPr="001B4EA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75E233" wp14:editId="02AB6CC5">
                <wp:simplePos x="0" y="0"/>
                <wp:positionH relativeFrom="column">
                  <wp:posOffset>-10795</wp:posOffset>
                </wp:positionH>
                <wp:positionV relativeFrom="paragraph">
                  <wp:posOffset>1005840</wp:posOffset>
                </wp:positionV>
                <wp:extent cx="5962650" cy="1404620"/>
                <wp:effectExtent l="0" t="0" r="19050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61AC" w14:textId="4E7C3909" w:rsidR="0004651B" w:rsidRDefault="00211637" w:rsidP="009A0F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E34FC" wp14:editId="659D06C5">
                                  <wp:extent cx="5856605" cy="2631693"/>
                                  <wp:effectExtent l="0" t="0" r="0" b="0"/>
                                  <wp:docPr id="12" name="Picture 12" descr="A screenshot of a cell pho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QAM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7878" cy="26412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4651B" w:rsidRPr="001F310C">
                              <w:t>Figure 1.3</w:t>
                            </w:r>
                            <w:r w:rsidR="0095347E" w:rsidRPr="001F310C">
                              <w:t xml:space="preserve">: Illustration of Quadrature-Amplitude Modulation </w:t>
                            </w:r>
                            <w:r w:rsidR="0098308C" w:rsidRPr="001F310C">
                              <w:t>(QAM) techniques in Wi-Fi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5E233" id="_x0000_s1028" type="#_x0000_t202" style="position:absolute;left:0;text-align:left;margin-left:-.85pt;margin-top:79.2pt;width:46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">
                <v:textbox style="mso-fit-shape-to-text:t">
                  <w:txbxContent>
                    <w:p w14:paraId="5C8961AC" w14:textId="4E7C3909" w:rsidR="0004651B" w:rsidRDefault="00211637" w:rsidP="009A0FF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1E34FC" wp14:editId="659D06C5">
                            <wp:extent cx="5856605" cy="2631693"/>
                            <wp:effectExtent l="0" t="0" r="0" b="0"/>
                            <wp:docPr id="12" name="Picture 12" descr="A screenshot of a cell pho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QAM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7878" cy="26412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4651B" w:rsidRPr="001F310C">
                        <w:t>Figure 1.3</w:t>
                      </w:r>
                      <w:r w:rsidR="0095347E" w:rsidRPr="001F310C">
                        <w:t xml:space="preserve">: Illustration of Quadrature-Amplitude Modulation </w:t>
                      </w:r>
                      <w:r w:rsidR="0098308C" w:rsidRPr="001F310C">
                        <w:t>(QAM) techniques in Wi-Fi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B29">
        <w:t xml:space="preserve">Given this synchronization, </w:t>
      </w:r>
      <w:r w:rsidR="00BA13F3" w:rsidRPr="00BA13F3">
        <w:t>in-phase and quadrature (</w:t>
      </w:r>
      <w:r w:rsidR="00CC1EBD" w:rsidRPr="00BA13F3">
        <w:t>90-degree</w:t>
      </w:r>
      <w:r w:rsidR="00BA13F3" w:rsidRPr="00BA13F3">
        <w:t xml:space="preserve"> lagging) components </w:t>
      </w:r>
      <w:r w:rsidR="00017B29" w:rsidRPr="00BA13F3">
        <w:t xml:space="preserve">of the subcarrier </w:t>
      </w:r>
      <w:r w:rsidR="00BA13F3" w:rsidRPr="00BA13F3">
        <w:t xml:space="preserve">are </w:t>
      </w:r>
      <w:r w:rsidR="00017B29" w:rsidRPr="00BA13F3">
        <w:t>used to determine bit values. A</w:t>
      </w:r>
      <w:r w:rsidR="00017B29">
        <w:rPr>
          <w:b/>
          <w:bCs/>
        </w:rPr>
        <w:t xml:space="preserve"> </w:t>
      </w:r>
      <w:r w:rsidR="00017B29" w:rsidRPr="00BA13F3">
        <w:t xml:space="preserve">transmitter is able to increase the complexity and bitrate of its subcarriers by </w:t>
      </w:r>
      <w:r w:rsidR="008168C2" w:rsidRPr="00BA13F3">
        <w:t>increasing the resolution of the phase modulation and</w:t>
      </w:r>
      <w:r w:rsidR="00EE1DF2" w:rsidRPr="00BA13F3">
        <w:t xml:space="preserve"> the</w:t>
      </w:r>
      <w:r w:rsidR="008168C2" w:rsidRPr="00BA13F3">
        <w:t xml:space="preserve"> range of amplitude modulation possible for</w:t>
      </w:r>
      <w:r w:rsidR="00017B29" w:rsidRPr="00BA13F3">
        <w:t xml:space="preserve"> these bits.</w:t>
      </w:r>
      <w:r w:rsidR="00017B29">
        <w:rPr>
          <w:b/>
          <w:bCs/>
        </w:rPr>
        <w:t xml:space="preserve"> </w:t>
      </w:r>
      <w:r w:rsidR="00017B29" w:rsidRPr="001B4EA4">
        <w:t>A graphical representation (1.</w:t>
      </w:r>
      <w:r w:rsidR="0095347E" w:rsidRPr="001B4EA4">
        <w:t>3</w:t>
      </w:r>
      <w:r w:rsidR="00017B29" w:rsidRPr="001B4EA4">
        <w:t xml:space="preserve">) of the supported modulation techniques </w:t>
      </w:r>
      <w:r w:rsidR="0095347E" w:rsidRPr="001B4EA4">
        <w:t>is</w:t>
      </w:r>
      <w:r w:rsidR="00017B29" w:rsidRPr="001B4EA4">
        <w:t xml:space="preserve"> provided to better illustrate this.</w:t>
      </w:r>
      <w:r w:rsidR="00017B29">
        <w:rPr>
          <w:b/>
          <w:bCs/>
        </w:rPr>
        <w:t xml:space="preserve"> </w:t>
      </w:r>
    </w:p>
    <w:p w14:paraId="7F69C5F7" w14:textId="59A67BDF" w:rsidR="00211637" w:rsidRDefault="00596E76" w:rsidP="00312236">
      <w:pPr>
        <w:jc w:val="both"/>
      </w:pPr>
      <w:r>
        <w:t xml:space="preserve">To support the robustness of signals in non-ideal environments, </w:t>
      </w:r>
      <w:r w:rsidR="00E93A9F">
        <w:t>Wi-Fi</w:t>
      </w:r>
      <w:r>
        <w:t xml:space="preserve"> systems allow for the use of FEC codes. These codes </w:t>
      </w:r>
      <w:r w:rsidR="005C559B">
        <w:t>add an amount of redundancy to transmitted</w:t>
      </w:r>
      <w:r>
        <w:t xml:space="preserve"> frames</w:t>
      </w:r>
      <w:r w:rsidR="005C559B">
        <w:t xml:space="preserve"> by various checks and algorithms</w:t>
      </w:r>
      <w:r w:rsidR="003E3C5C">
        <w:t xml:space="preserve">. wireless communications is specifically concerned with convolutional codes, which allow for a non-fixed data size; Wi-Fi in particular uses what is known as a </w:t>
      </w:r>
      <w:r w:rsidR="003E3C5C">
        <w:rPr>
          <w:i/>
          <w:iCs/>
        </w:rPr>
        <w:t>Viterbi code</w:t>
      </w:r>
      <w:r w:rsidR="003E3C5C">
        <w:t xml:space="preserve">. While further coding information will be considered outside the primary scope of this project, it should be noted that Wi-Fi </w:t>
      </w:r>
      <w:r w:rsidR="003E3C5C">
        <w:lastRenderedPageBreak/>
        <w:t xml:space="preserve">systems typically support a coding rate (the ratio of data bits to redundant bits) of ½, with </w:t>
      </w:r>
      <w:r w:rsidR="0074253D">
        <w:t xml:space="preserve">increases up to ¾ using a technique called </w:t>
      </w:r>
      <w:r w:rsidR="0074253D" w:rsidRPr="0074253D">
        <w:rPr>
          <w:i/>
          <w:iCs/>
        </w:rPr>
        <w:t>puncturing</w:t>
      </w:r>
      <w:r w:rsidR="0074253D">
        <w:t xml:space="preserve">. </w:t>
      </w:r>
    </w:p>
    <w:p w14:paraId="57089E05" w14:textId="1FC90FA4" w:rsidR="009C01CB" w:rsidRDefault="00CC1C2E" w:rsidP="009C01CB">
      <w:pPr>
        <w:pStyle w:val="Heading2"/>
      </w:pPr>
      <w:r>
        <w:t>Deliverables</w:t>
      </w:r>
    </w:p>
    <w:p w14:paraId="552EDAD4" w14:textId="1CB2E300" w:rsidR="000E0BB7" w:rsidRPr="000E0BB7" w:rsidRDefault="000E0BB7" w:rsidP="00AB0824">
      <w:pPr>
        <w:jc w:val="both"/>
      </w:pPr>
      <w:r>
        <w:t>The student proposes the following deliverable goals of this project, whereas primary and mandatory goals are prefixed with “will provide,” and secondary and time-permitting goals are prefixed with “may provide.”</w:t>
      </w:r>
    </w:p>
    <w:p w14:paraId="46E4A3BD" w14:textId="2D0B0EA0" w:rsidR="009C01CB" w:rsidRDefault="009C01CB" w:rsidP="009C01CB">
      <w:pPr>
        <w:pStyle w:val="ListParagraph"/>
        <w:numPr>
          <w:ilvl w:val="0"/>
          <w:numId w:val="1"/>
        </w:numPr>
      </w:pPr>
      <w:r>
        <w:t xml:space="preserve">Will </w:t>
      </w:r>
      <w:r w:rsidR="00BE7CAF">
        <w:t>provide capabilities for all subcarrier</w:t>
      </w:r>
      <w:r>
        <w:t xml:space="preserve"> QAM modulation schemes in </w:t>
      </w:r>
      <w:r w:rsidR="006F6BD2">
        <w:t>figure</w:t>
      </w:r>
      <w:r>
        <w:t xml:space="preserve"> 1.</w:t>
      </w:r>
      <w:r w:rsidR="006F6BD2">
        <w:t>3</w:t>
      </w:r>
      <w:r w:rsidR="00A131FA">
        <w:t>.</w:t>
      </w:r>
    </w:p>
    <w:p w14:paraId="63849CD8" w14:textId="421C5576" w:rsidR="00A16DD3" w:rsidRDefault="00DE2221" w:rsidP="00A16DD3">
      <w:pPr>
        <w:pStyle w:val="ListParagraph"/>
        <w:numPr>
          <w:ilvl w:val="1"/>
          <w:numId w:val="1"/>
        </w:numPr>
      </w:pPr>
      <w:r>
        <w:t>These will be selectable, based on a front-panel input</w:t>
      </w:r>
      <w:r w:rsidR="00A131FA">
        <w:t>.</w:t>
      </w:r>
    </w:p>
    <w:p w14:paraId="5E9C7F3E" w14:textId="1689DE28" w:rsidR="00A16DD3" w:rsidRDefault="00A16DD3" w:rsidP="00A16DD3">
      <w:pPr>
        <w:pStyle w:val="ListParagraph"/>
        <w:numPr>
          <w:ilvl w:val="1"/>
          <w:numId w:val="1"/>
        </w:numPr>
      </w:pPr>
      <w:r>
        <w:t>This will be visible via a front-panel constellation diagram</w:t>
      </w:r>
      <w:r w:rsidR="00A131FA">
        <w:t>.</w:t>
      </w:r>
    </w:p>
    <w:p w14:paraId="2C24F390" w14:textId="0B7DCC00" w:rsidR="009C01CB" w:rsidRDefault="00DE2221" w:rsidP="009C01CB">
      <w:pPr>
        <w:pStyle w:val="ListParagraph"/>
        <w:numPr>
          <w:ilvl w:val="0"/>
          <w:numId w:val="1"/>
        </w:numPr>
      </w:pPr>
      <w:r>
        <w:t>Will effectively implement OFDM on a 52-subcarrier system</w:t>
      </w:r>
      <w:r w:rsidR="00545EB8">
        <w:t>.</w:t>
      </w:r>
    </w:p>
    <w:p w14:paraId="5F9AB317" w14:textId="26571F5E" w:rsidR="00DE2221" w:rsidRDefault="00A16DD3" w:rsidP="00A16DD3">
      <w:pPr>
        <w:pStyle w:val="ListParagraph"/>
        <w:numPr>
          <w:ilvl w:val="1"/>
          <w:numId w:val="1"/>
        </w:numPr>
      </w:pPr>
      <w:r>
        <w:t xml:space="preserve">This will be illustrated with an FFT </w:t>
      </w:r>
      <w:r w:rsidR="00605AB5">
        <w:t>and potentially a time-domain sink.</w:t>
      </w:r>
    </w:p>
    <w:p w14:paraId="3DCBCC76" w14:textId="5E5EE2F2" w:rsidR="005A345D" w:rsidRDefault="005A345D" w:rsidP="00FF2E99">
      <w:pPr>
        <w:pStyle w:val="ListParagraph"/>
        <w:numPr>
          <w:ilvl w:val="0"/>
          <w:numId w:val="1"/>
        </w:numPr>
      </w:pPr>
      <w:r>
        <w:t>Will provide a guard</w:t>
      </w:r>
      <w:r w:rsidR="00B678E5">
        <w:t xml:space="preserve"> </w:t>
      </w:r>
      <w:r>
        <w:t>time for the beginning of each transmission</w:t>
      </w:r>
      <w:r w:rsidR="00D72179">
        <w:t>.</w:t>
      </w:r>
    </w:p>
    <w:p w14:paraId="5481601C" w14:textId="78C8F20C" w:rsidR="00D15DD7" w:rsidRDefault="00BE7CAF" w:rsidP="00D15DD7">
      <w:pPr>
        <w:pStyle w:val="ListParagraph"/>
        <w:numPr>
          <w:ilvl w:val="0"/>
          <w:numId w:val="1"/>
        </w:numPr>
      </w:pPr>
      <w:r>
        <w:t>Will provide a hierarchical design</w:t>
      </w:r>
      <w:r w:rsidR="001F6D23">
        <w:t xml:space="preserve"> that</w:t>
      </w:r>
      <w:r w:rsidR="00FB38BA">
        <w:t xml:space="preserve"> develops QAM</w:t>
      </w:r>
      <w:r w:rsidR="008B3751">
        <w:t>,</w:t>
      </w:r>
      <w:r w:rsidR="00FB38BA">
        <w:t xml:space="preserve"> OFDM, </w:t>
      </w:r>
      <w:r w:rsidR="003D1652">
        <w:t>and other potential system components in respective chains of subVIs.</w:t>
      </w:r>
      <w:r w:rsidR="001C20ED">
        <w:t xml:space="preserve"> </w:t>
      </w:r>
      <w:r w:rsidR="001F6D23">
        <w:t xml:space="preserve"> </w:t>
      </w:r>
      <w:r>
        <w:t xml:space="preserve"> </w:t>
      </w:r>
    </w:p>
    <w:p w14:paraId="54CA5938" w14:textId="25259402" w:rsidR="00BE7CAF" w:rsidRDefault="000E0BB7" w:rsidP="00BE7CAF">
      <w:pPr>
        <w:pStyle w:val="ListParagraph"/>
        <w:numPr>
          <w:ilvl w:val="0"/>
          <w:numId w:val="1"/>
        </w:numPr>
      </w:pPr>
      <w:r>
        <w:t>May implement V</w:t>
      </w:r>
      <w:r w:rsidR="00F11CD2">
        <w:t>i</w:t>
      </w:r>
      <w:r>
        <w:t>terbi or other applicable FEC convolutional codes</w:t>
      </w:r>
      <w:r w:rsidR="001B45CA">
        <w:t>.</w:t>
      </w:r>
    </w:p>
    <w:p w14:paraId="6701CA6A" w14:textId="3A8DA87D" w:rsidR="00BE7CAF" w:rsidRDefault="007B2A97" w:rsidP="00BE7CAF">
      <w:pPr>
        <w:pStyle w:val="ListParagraph"/>
        <w:numPr>
          <w:ilvl w:val="1"/>
          <w:numId w:val="1"/>
        </w:numPr>
      </w:pPr>
      <w:r>
        <w:t>T</w:t>
      </w:r>
      <w:r w:rsidR="00BE7CAF">
        <w:t xml:space="preserve">he </w:t>
      </w:r>
      <w:r>
        <w:t xml:space="preserve">implementation details will </w:t>
      </w:r>
      <w:r w:rsidR="00BE7CAF">
        <w:t>be discussed during the student’s midterm report.</w:t>
      </w:r>
    </w:p>
    <w:p w14:paraId="4AE0C6DD" w14:textId="530B969B" w:rsidR="003764CB" w:rsidRDefault="003764CB" w:rsidP="00BE7CAF">
      <w:pPr>
        <w:pStyle w:val="ListParagraph"/>
        <w:numPr>
          <w:ilvl w:val="1"/>
          <w:numId w:val="1"/>
        </w:numPr>
      </w:pPr>
      <w:r>
        <w:t>Each implemented convolutional code will be its own subVI</w:t>
      </w:r>
      <w:r w:rsidR="007B2A97">
        <w:t>.</w:t>
      </w:r>
    </w:p>
    <w:p w14:paraId="08AC0C6A" w14:textId="77777777" w:rsidR="00A54D18" w:rsidRDefault="005107CB" w:rsidP="005107CB">
      <w:pPr>
        <w:pStyle w:val="ListParagraph"/>
        <w:numPr>
          <w:ilvl w:val="0"/>
          <w:numId w:val="1"/>
        </w:numPr>
      </w:pPr>
      <w:r>
        <w:t>May implement simulations</w:t>
      </w:r>
      <w:r w:rsidR="00232F6E">
        <w:t xml:space="preserve">, </w:t>
      </w:r>
      <w:r w:rsidR="00A54D18">
        <w:t>estimations, and recovery techniques for channel fading.</w:t>
      </w:r>
    </w:p>
    <w:p w14:paraId="57058B8B" w14:textId="226AF582" w:rsidR="005107CB" w:rsidRDefault="00A54D18" w:rsidP="00513E07">
      <w:pPr>
        <w:pStyle w:val="ListParagraph"/>
        <w:numPr>
          <w:ilvl w:val="1"/>
          <w:numId w:val="1"/>
        </w:numPr>
      </w:pPr>
      <w:r>
        <w:t xml:space="preserve">These will be visible through additional </w:t>
      </w:r>
      <w:r w:rsidR="00330B4C">
        <w:t>constellation and FFT sink diagrams.</w:t>
      </w:r>
    </w:p>
    <w:p w14:paraId="7C592F2D" w14:textId="4FFAB07E" w:rsidR="00513E07" w:rsidRDefault="00981A78" w:rsidP="00513E07">
      <w:pPr>
        <w:pStyle w:val="ListParagraph"/>
        <w:numPr>
          <w:ilvl w:val="1"/>
          <w:numId w:val="1"/>
        </w:numPr>
      </w:pPr>
      <w:r>
        <w:t xml:space="preserve">A subVI or hierarchy of subVIs will be developed for </w:t>
      </w:r>
      <w:r w:rsidR="00D72179">
        <w:t>each above aspect.</w:t>
      </w:r>
    </w:p>
    <w:p w14:paraId="5F51AE9C" w14:textId="787E5F36" w:rsidR="00D15DD7" w:rsidRDefault="0076771D" w:rsidP="00D15DD7">
      <w:r>
        <w:t xml:space="preserve">While the student may use the RF Communications toolbox to </w:t>
      </w:r>
      <w:r w:rsidR="00681B1F">
        <w:t xml:space="preserve">provide appropriate graphs/indicators, </w:t>
      </w:r>
      <w:r w:rsidR="004E25A5">
        <w:t xml:space="preserve">all </w:t>
      </w:r>
      <w:r w:rsidR="002471D3">
        <w:t>features within this project should be implemented</w:t>
      </w:r>
      <w:bookmarkStart w:id="0" w:name="_GoBack"/>
      <w:bookmarkEnd w:id="0"/>
    </w:p>
    <w:p w14:paraId="3DDEF503" w14:textId="4456472B" w:rsidR="00CC1C2E" w:rsidRDefault="009C01CB" w:rsidP="00CC1C2E">
      <w:pPr>
        <w:pStyle w:val="Heading2"/>
      </w:pPr>
      <w:r>
        <w:t>License and availability</w:t>
      </w:r>
    </w:p>
    <w:p w14:paraId="6D20C0AB" w14:textId="52F551E7" w:rsidR="000C18D7" w:rsidRPr="008B5843" w:rsidRDefault="009C01CB" w:rsidP="005567E7">
      <w:pPr>
        <w:jc w:val="both"/>
      </w:pPr>
      <w:r>
        <w:t xml:space="preserve">The student intends to develop and publish this project to his Github page under a General Public License. This is intended as a way of providing </w:t>
      </w:r>
      <w:r w:rsidR="004C24AD">
        <w:t xml:space="preserve">academic and professional </w:t>
      </w:r>
      <w:r w:rsidR="00D96B99">
        <w:t>reference</w:t>
      </w:r>
      <w:r w:rsidR="004C24AD">
        <w:t xml:space="preserve">, as well as </w:t>
      </w:r>
      <w:r w:rsidR="0016729A">
        <w:t xml:space="preserve">to receive </w:t>
      </w:r>
      <w:r w:rsidR="00406A95">
        <w:t>feedback.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1965385"/>
        <w:docPartObj>
          <w:docPartGallery w:val="Bibliographies"/>
          <w:docPartUnique/>
        </w:docPartObj>
      </w:sdtPr>
      <w:sdtEndPr/>
      <w:sdtContent>
        <w:p w14:paraId="6BDCB941" w14:textId="0F4804FC" w:rsidR="00FF567E" w:rsidRDefault="00FF56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A292F32" w14:textId="77777777" w:rsidR="00DA489A" w:rsidRDefault="00FF567E" w:rsidP="00C87F17">
              <w:pPr>
                <w:spacing w:after="80"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A489A" w14:paraId="3ADAC279" w14:textId="77777777" w:rsidTr="00C87F17">
                <w:trPr>
                  <w:divId w:val="1703163550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6C638D1A" w14:textId="00E05BAA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804" w:type="pct"/>
                    <w:hideMark/>
                  </w:tcPr>
                  <w:p w14:paraId="42290612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Chen, in </w:t>
                    </w:r>
                    <w:r>
                      <w:rPr>
                        <w:i/>
                        <w:iCs/>
                        <w:noProof/>
                      </w:rPr>
                      <w:t>Coding in 802.11 WLANs</w:t>
                    </w:r>
                    <w:r>
                      <w:rPr>
                        <w:noProof/>
                      </w:rPr>
                      <w:t>, Maynooth, Maynooth: National University of Ireland Maynooth, 2012, pp. 2-10.</w:t>
                    </w:r>
                  </w:p>
                </w:tc>
              </w:tr>
              <w:tr w:rsidR="00DA489A" w14:paraId="6C337D77" w14:textId="77777777" w:rsidTr="00C87F17">
                <w:trPr>
                  <w:divId w:val="1703163550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75635EF1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804" w:type="pct"/>
                    <w:hideMark/>
                  </w:tcPr>
                  <w:p w14:paraId="003E2C3B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Wireless Village, "Wireless Village Hacking Lab: B-Sides DC 2018 Edition," in </w:t>
                    </w:r>
                    <w:r>
                      <w:rPr>
                        <w:i/>
                        <w:iCs/>
                        <w:noProof/>
                      </w:rPr>
                      <w:t>B-Sides DC</w:t>
                    </w:r>
                    <w:r>
                      <w:rPr>
                        <w:noProof/>
                      </w:rPr>
                      <w:t xml:space="preserve">, Washington D.C., 2018. </w:t>
                    </w:r>
                  </w:p>
                </w:tc>
              </w:tr>
              <w:tr w:rsidR="00DA489A" w14:paraId="353853C6" w14:textId="77777777" w:rsidTr="00C87F17">
                <w:trPr>
                  <w:divId w:val="1703163550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0E613A9E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804" w:type="pct"/>
                    <w:hideMark/>
                  </w:tcPr>
                  <w:p w14:paraId="43126EFA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Cisco, "Cisco Viual Networking Index: Global Mobile Data Traffic Forecast Update, 2017-2022," Cisco, San Jose, 2017.</w:t>
                    </w:r>
                  </w:p>
                </w:tc>
              </w:tr>
              <w:tr w:rsidR="00DA489A" w14:paraId="41F07863" w14:textId="77777777" w:rsidTr="00C87F17">
                <w:trPr>
                  <w:divId w:val="1703163550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4CF29C6F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804" w:type="pct"/>
                    <w:hideMark/>
                  </w:tcPr>
                  <w:p w14:paraId="12682F6F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e. a. Firdose, "An OFDM Transmitter and Receiver using NI USRP with LabVIEW,"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Engineering Research and Technology, </w:t>
                    </w:r>
                    <w:r>
                      <w:rPr>
                        <w:noProof/>
                      </w:rPr>
                      <w:t xml:space="preserve">vol. 6, no. 13, 2018. </w:t>
                    </w:r>
                  </w:p>
                </w:tc>
              </w:tr>
              <w:tr w:rsidR="00DA489A" w14:paraId="1CB799C8" w14:textId="77777777" w:rsidTr="00C87F17">
                <w:trPr>
                  <w:divId w:val="1703163550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4147373F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804" w:type="pct"/>
                    <w:hideMark/>
                  </w:tcPr>
                  <w:p w14:paraId="641F3816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Bloessl, M. Segata, C. Sommer and F. Dressler, "An IEEE 802.11a/g/p OFDM Receiver for GNU Radio," in </w:t>
                    </w:r>
                    <w:r>
                      <w:rPr>
                        <w:i/>
                        <w:iCs/>
                        <w:noProof/>
                      </w:rPr>
                      <w:t>Proceedings of the Second Workshop on Software Radio Implementations Forum</w:t>
                    </w:r>
                    <w:r>
                      <w:rPr>
                        <w:noProof/>
                      </w:rPr>
                      <w:t xml:space="preserve">, Hong Kong. </w:t>
                    </w:r>
                  </w:p>
                </w:tc>
              </w:tr>
              <w:tr w:rsidR="00DA489A" w14:paraId="40D0F464" w14:textId="77777777" w:rsidTr="00C87F17">
                <w:trPr>
                  <w:divId w:val="1703163550"/>
                  <w:tblCellSpacing w:w="15" w:type="dxa"/>
                </w:trPr>
                <w:tc>
                  <w:tcPr>
                    <w:tcW w:w="148" w:type="pct"/>
                    <w:hideMark/>
                  </w:tcPr>
                  <w:p w14:paraId="4A9355D0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4804" w:type="pct"/>
                    <w:hideMark/>
                  </w:tcPr>
                  <w:p w14:paraId="114FE355" w14:textId="77777777" w:rsidR="00DA489A" w:rsidRDefault="00DA489A" w:rsidP="00C87F17">
                    <w:pPr>
                      <w:pStyle w:val="Bibliography"/>
                      <w:spacing w:after="8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Gast, "13. 802.11a and 802.11j: 5-GHz OFDM PHY," in </w:t>
                    </w:r>
                    <w:r>
                      <w:rPr>
                        <w:i/>
                        <w:iCs/>
                        <w:noProof/>
                      </w:rPr>
                      <w:t>802.11 Wireless Networks: The Definitive Guide</w:t>
                    </w:r>
                    <w:r>
                      <w:rPr>
                        <w:noProof/>
                      </w:rPr>
                      <w:t>, Cambridge, O'Reilly Media, 2013, pp. 283-307.</w:t>
                    </w:r>
                  </w:p>
                </w:tc>
              </w:tr>
            </w:tbl>
            <w:p w14:paraId="1B25C5DF" w14:textId="7A8B7DFB" w:rsidR="00CC1C2E" w:rsidRPr="00211637" w:rsidRDefault="00FF567E" w:rsidP="00C87F17">
              <w:pPr>
                <w:spacing w:after="80" w:line="240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C1C2E" w:rsidRPr="0021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9127" w14:textId="77777777" w:rsidR="001C7525" w:rsidRDefault="001C7525" w:rsidP="00FF567E">
      <w:pPr>
        <w:spacing w:after="0" w:line="240" w:lineRule="auto"/>
      </w:pPr>
      <w:r>
        <w:separator/>
      </w:r>
    </w:p>
  </w:endnote>
  <w:endnote w:type="continuationSeparator" w:id="0">
    <w:p w14:paraId="2DCE1BB6" w14:textId="77777777" w:rsidR="001C7525" w:rsidRDefault="001C7525" w:rsidP="00FF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46804" w14:textId="77777777" w:rsidR="001C7525" w:rsidRDefault="001C7525" w:rsidP="00FF567E">
      <w:pPr>
        <w:spacing w:after="0" w:line="240" w:lineRule="auto"/>
      </w:pPr>
      <w:r>
        <w:separator/>
      </w:r>
    </w:p>
  </w:footnote>
  <w:footnote w:type="continuationSeparator" w:id="0">
    <w:p w14:paraId="3B557078" w14:textId="77777777" w:rsidR="001C7525" w:rsidRDefault="001C7525" w:rsidP="00FF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A6884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DE09DA"/>
    <w:multiLevelType w:val="hybridMultilevel"/>
    <w:tmpl w:val="3DD46112"/>
    <w:lvl w:ilvl="0" w:tplc="55D41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2E"/>
    <w:rsid w:val="00017B29"/>
    <w:rsid w:val="00023875"/>
    <w:rsid w:val="0004651B"/>
    <w:rsid w:val="000C18D7"/>
    <w:rsid w:val="000E0BB7"/>
    <w:rsid w:val="001006FE"/>
    <w:rsid w:val="001100DD"/>
    <w:rsid w:val="00132C85"/>
    <w:rsid w:val="0013692A"/>
    <w:rsid w:val="001371D2"/>
    <w:rsid w:val="001532B8"/>
    <w:rsid w:val="0016729A"/>
    <w:rsid w:val="001B45CA"/>
    <w:rsid w:val="001B4EA4"/>
    <w:rsid w:val="001C20ED"/>
    <w:rsid w:val="001C7525"/>
    <w:rsid w:val="001F310C"/>
    <w:rsid w:val="001F6D23"/>
    <w:rsid w:val="00211637"/>
    <w:rsid w:val="00232F6E"/>
    <w:rsid w:val="002471D3"/>
    <w:rsid w:val="0025404C"/>
    <w:rsid w:val="00255BD2"/>
    <w:rsid w:val="00283649"/>
    <w:rsid w:val="00297B30"/>
    <w:rsid w:val="002F7918"/>
    <w:rsid w:val="00312236"/>
    <w:rsid w:val="00323347"/>
    <w:rsid w:val="00330B4C"/>
    <w:rsid w:val="00332101"/>
    <w:rsid w:val="00354CD3"/>
    <w:rsid w:val="003764CB"/>
    <w:rsid w:val="00387335"/>
    <w:rsid w:val="003D1652"/>
    <w:rsid w:val="003D3367"/>
    <w:rsid w:val="003E3C5C"/>
    <w:rsid w:val="003F2E02"/>
    <w:rsid w:val="00406A95"/>
    <w:rsid w:val="00413B16"/>
    <w:rsid w:val="00454A10"/>
    <w:rsid w:val="004A0408"/>
    <w:rsid w:val="004B2EBC"/>
    <w:rsid w:val="004C24AD"/>
    <w:rsid w:val="004E25A5"/>
    <w:rsid w:val="004F54AA"/>
    <w:rsid w:val="005107CB"/>
    <w:rsid w:val="00513E07"/>
    <w:rsid w:val="00517A53"/>
    <w:rsid w:val="00522291"/>
    <w:rsid w:val="00525A33"/>
    <w:rsid w:val="005275B8"/>
    <w:rsid w:val="00545EB8"/>
    <w:rsid w:val="005567E7"/>
    <w:rsid w:val="00596E76"/>
    <w:rsid w:val="005A345D"/>
    <w:rsid w:val="005C559B"/>
    <w:rsid w:val="005D1BAA"/>
    <w:rsid w:val="00605AB5"/>
    <w:rsid w:val="0062162E"/>
    <w:rsid w:val="0066699C"/>
    <w:rsid w:val="00671FBF"/>
    <w:rsid w:val="00681B1F"/>
    <w:rsid w:val="006F6BD2"/>
    <w:rsid w:val="00725D91"/>
    <w:rsid w:val="00733590"/>
    <w:rsid w:val="0074253D"/>
    <w:rsid w:val="0076771D"/>
    <w:rsid w:val="007B2A97"/>
    <w:rsid w:val="007D202F"/>
    <w:rsid w:val="007D634D"/>
    <w:rsid w:val="007E0534"/>
    <w:rsid w:val="008018CE"/>
    <w:rsid w:val="0080194E"/>
    <w:rsid w:val="008168C2"/>
    <w:rsid w:val="00830485"/>
    <w:rsid w:val="00855CC2"/>
    <w:rsid w:val="008B3751"/>
    <w:rsid w:val="008B5843"/>
    <w:rsid w:val="008D7069"/>
    <w:rsid w:val="009105A6"/>
    <w:rsid w:val="00930FF2"/>
    <w:rsid w:val="009358D3"/>
    <w:rsid w:val="0095347E"/>
    <w:rsid w:val="009810CB"/>
    <w:rsid w:val="00981A78"/>
    <w:rsid w:val="0098308C"/>
    <w:rsid w:val="00994EE1"/>
    <w:rsid w:val="009A0FFA"/>
    <w:rsid w:val="009B50EF"/>
    <w:rsid w:val="009C01CB"/>
    <w:rsid w:val="009E3CD0"/>
    <w:rsid w:val="009E71D4"/>
    <w:rsid w:val="00A034D0"/>
    <w:rsid w:val="00A131FA"/>
    <w:rsid w:val="00A16DD3"/>
    <w:rsid w:val="00A54D18"/>
    <w:rsid w:val="00A72208"/>
    <w:rsid w:val="00A9012B"/>
    <w:rsid w:val="00A93CCB"/>
    <w:rsid w:val="00AA3E68"/>
    <w:rsid w:val="00AB0824"/>
    <w:rsid w:val="00B16829"/>
    <w:rsid w:val="00B50CCA"/>
    <w:rsid w:val="00B655FB"/>
    <w:rsid w:val="00B678E5"/>
    <w:rsid w:val="00B87D61"/>
    <w:rsid w:val="00BA13F3"/>
    <w:rsid w:val="00BE7CAF"/>
    <w:rsid w:val="00C31504"/>
    <w:rsid w:val="00C87F17"/>
    <w:rsid w:val="00C920B4"/>
    <w:rsid w:val="00CA08A3"/>
    <w:rsid w:val="00CA1293"/>
    <w:rsid w:val="00CA716A"/>
    <w:rsid w:val="00CC1C2E"/>
    <w:rsid w:val="00CC1EBD"/>
    <w:rsid w:val="00CF073C"/>
    <w:rsid w:val="00CF721C"/>
    <w:rsid w:val="00D15DD7"/>
    <w:rsid w:val="00D45390"/>
    <w:rsid w:val="00D72179"/>
    <w:rsid w:val="00D96B99"/>
    <w:rsid w:val="00DA489A"/>
    <w:rsid w:val="00DE2221"/>
    <w:rsid w:val="00DF6813"/>
    <w:rsid w:val="00E10D1D"/>
    <w:rsid w:val="00E21585"/>
    <w:rsid w:val="00E272BB"/>
    <w:rsid w:val="00E45EC8"/>
    <w:rsid w:val="00E93A9F"/>
    <w:rsid w:val="00E978CB"/>
    <w:rsid w:val="00EC0FA9"/>
    <w:rsid w:val="00EC710B"/>
    <w:rsid w:val="00EE1DF2"/>
    <w:rsid w:val="00EE4650"/>
    <w:rsid w:val="00F07366"/>
    <w:rsid w:val="00F11CD2"/>
    <w:rsid w:val="00F13373"/>
    <w:rsid w:val="00F71AC9"/>
    <w:rsid w:val="00FA05C6"/>
    <w:rsid w:val="00FB38BA"/>
    <w:rsid w:val="00FD2FF1"/>
    <w:rsid w:val="00FE6B5A"/>
    <w:rsid w:val="00FF2E99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F48E"/>
  <w15:chartTrackingRefBased/>
  <w15:docId w15:val="{CC1710BB-1A0D-4901-8318-F07361DF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7E"/>
  </w:style>
  <w:style w:type="paragraph" w:styleId="Footer">
    <w:name w:val="footer"/>
    <w:basedOn w:val="Normal"/>
    <w:link w:val="FooterChar"/>
    <w:uiPriority w:val="99"/>
    <w:unhideWhenUsed/>
    <w:rsid w:val="00FF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7E"/>
  </w:style>
  <w:style w:type="character" w:customStyle="1" w:styleId="Heading3Char">
    <w:name w:val="Heading 3 Char"/>
    <w:basedOn w:val="DefaultParagraphFont"/>
    <w:link w:val="Heading3"/>
    <w:uiPriority w:val="9"/>
    <w:rsid w:val="009C0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94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A489A"/>
  </w:style>
  <w:style w:type="paragraph" w:styleId="ListBullet">
    <w:name w:val="List Bullet"/>
    <w:basedOn w:val="Normal"/>
    <w:uiPriority w:val="99"/>
    <w:unhideWhenUsed/>
    <w:rsid w:val="00AB082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Xia12</b:Tag>
    <b:SourceType>BookSection</b:SourceType>
    <b:Guid>{488A4B83-4BE9-4B81-8927-13A42A090FA1}</b:Guid>
    <b:City>Maynooth</b:City>
    <b:Publisher>National University of Ireland Maynooth</b:Publisher>
    <b:Year>2012</b:Year>
    <b:StateProvince>Maynooth</b:StateProvince>
    <b:CountryRegion>Republic of Ireland</b:CountryRegion>
    <b:ShortTitle>IEEE 802.11 WLAN</b:ShortTitle>
    <b:Author>
      <b:Author>
        <b:NameList>
          <b:Person>
            <b:Last>Chen</b:Last>
            <b:First>Xiaomin</b:First>
          </b:Person>
        </b:NameList>
      </b:Author>
    </b:Author>
    <b:BookTitle>Coding in 802.11 WLANs</b:BookTitle>
    <b:Pages>2-10</b:Pages>
    <b:ChapterNumber>1.1</b:ChapterNumber>
    <b:RefOrder>1</b:RefOrder>
  </b:Source>
  <b:Source>
    <b:Tag>Wir18</b:Tag>
    <b:SourceType>ConferenceProceedings</b:SourceType>
    <b:Guid>{80495400-D18F-470D-B0F3-3B1C553467DD}</b:Guid>
    <b:Title>Wireless Village Hacking Lab: B-Sides DC 2018 Edition</b:Title>
    <b:Year>2018</b:Year>
    <b:Pages>52-70</b:Pages>
    <b:City>Washington D.C.</b:City>
    <b:Author>
      <b:Author>
        <b:Corporate>Wireless Village</b:Corporate>
      </b:Author>
    </b:Author>
    <b:ConferenceName>B-Sides DC</b:ConferenceName>
    <b:URL>https://wirelessvillage.ninja/docs/Wireless_BsidesDC_Training.pdf</b:URL>
    <b:RefOrder>2</b:RefOrder>
  </b:Source>
  <b:Source>
    <b:Tag>Cis17</b:Tag>
    <b:SourceType>ElectronicSource</b:SourceType>
    <b:Guid>{B52193D9-03F0-4F31-95FE-5A22FCEAB019}</b:Guid>
    <b:Title>Cisco Viual Networking Index: Global Mobile Data Traffic Forecast Update, 2017-2022</b:Title>
    <b:Year>2017</b:Year>
    <b:City>San Jose</b:City>
    <b:Author>
      <b:Author>
        <b:Corporate>Cisco</b:Corporate>
      </b:Author>
    </b:Author>
    <b:Publisher>Cisco</b:Publisher>
    <b:RefOrder>3</b:RefOrder>
  </b:Source>
  <b:Source>
    <b:Tag>Fir18</b:Tag>
    <b:SourceType>ArticleInAPeriodical</b:SourceType>
    <b:Guid>{CC673C65-285A-4E51-8CEE-DD3C6BEC5004}</b:Guid>
    <b:Author>
      <b:Author>
        <b:NameList>
          <b:Person>
            <b:Last>Firdose</b:Last>
            <b:First>Saba</b:First>
            <b:Middle>et. al.</b:Middle>
          </b:Person>
        </b:NameList>
      </b:Author>
    </b:Author>
    <b:Title>An OFDM Transmitter and Receiver using NI USRP with LabVIEW</b:Title>
    <b:Year>2018</b:Year>
    <b:PeriodicalTitle>International Journal of Engineering Research and Technology</b:PeriodicalTitle>
    <b:Volume>6</b:Volume>
    <b:Issue>13</b:Issue>
    <b:StandardNumber>2278-0181</b:StandardNumber>
    <b:RefOrder>4</b:RefOrder>
  </b:Source>
  <b:Source>
    <b:Tag>Blo</b:Tag>
    <b:SourceType>ConferenceProceedings</b:SourceType>
    <b:Guid>{60B5D924-C041-4107-8706-CB4AD2FFA3F7}</b:Guid>
    <b:Author>
      <b:Author>
        <b:NameList>
          <b:Person>
            <b:Last>Bloessl</b:Last>
            <b:First>Bastian</b:First>
          </b:Person>
          <b:Person>
            <b:Last>Segata</b:Last>
            <b:First>Michele</b:First>
          </b:Person>
          <b:Person>
            <b:Last>Sommer</b:Last>
            <b:First>Christoph</b:First>
          </b:Person>
          <b:Person>
            <b:Last>Dressler</b:Last>
            <b:First>Falko</b:First>
          </b:Person>
        </b:NameList>
      </b:Author>
    </b:Author>
    <b:Title>An IEEE 802.11a/g/p OFDM Receiver for GNU Radio</b:Title>
    <b:ConferenceName>Proceedings of the Second Workshop on Software Radio Implementations Forum</b:ConferenceName>
    <b:City>Hong Kong</b:City>
    <b:RefOrder>5</b:RefOrder>
  </b:Source>
  <b:Source>
    <b:Tag>Gas131</b:Tag>
    <b:SourceType>BookSection</b:SourceType>
    <b:Guid>{0ABC4AFD-D3E4-465B-9DEC-5BA6230FAAB3}</b:Guid>
    <b:Title>13. 802.11a and 802.11j: 5-GHz OFDM PHY</b:Title>
    <b:Year>2013</b:Year>
    <b:City>Cambridge</b:City>
    <b:Publisher>O'Reilly Media</b:Publisher>
    <b:Author>
      <b:Author>
        <b:NameList>
          <b:Person>
            <b:Last>Gast</b:Last>
            <b:First>Matthew</b:First>
          </b:Person>
        </b:NameList>
      </b:Author>
    </b:Author>
    <b:BookTitle>802.11 Wireless Networks: The Definitive Guide</b:BookTitle>
    <b:Pages>283-307</b:Pages>
    <b:RefOrder>6</b:RefOrder>
  </b:Source>
</b:Sources>
</file>

<file path=customXml/itemProps1.xml><?xml version="1.0" encoding="utf-8"?>
<ds:datastoreItem xmlns:ds="http://schemas.openxmlformats.org/officeDocument/2006/customXml" ds:itemID="{AA80EF37-2E01-4385-93FB-3714545C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Schimpf</dc:creator>
  <cp:keywords/>
  <dc:description/>
  <cp:lastModifiedBy>Nathan Schimpf</cp:lastModifiedBy>
  <cp:revision>130</cp:revision>
  <dcterms:created xsi:type="dcterms:W3CDTF">2020-01-30T15:52:00Z</dcterms:created>
  <dcterms:modified xsi:type="dcterms:W3CDTF">2020-03-04T13:27:00Z</dcterms:modified>
</cp:coreProperties>
</file>