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80" w:after="360"/>
        <w:jc w:val="center"/>
      </w:pPr>
      <w:r>
        <w:rPr>
          <w:rFonts w:ascii="Microsoft YaHei" w:hAnsi="Microsoft YaHei" w:eastAsia="Microsoft YaHei"/>
          <w:b/>
          <w:i w:val="0"/>
          <w:color w:val="9A6700"/>
          <w:sz w:val="21"/>
        </w:rPr>
        <w:t>TCIM · 新五表数据治理</w:t>
      </w:r>
    </w:p>
    <w:p>
      <w:pPr>
        <w:pStyle w:val="Title"/>
        <w:jc w:val="center"/>
      </w:pPr>
      <w:r>
        <w:rPr>
          <w:rFonts w:ascii="Microsoft YaHei" w:hAnsi="Microsoft YaHei" w:eastAsia="Microsoft YaHei"/>
          <w:b/>
          <w:i w:val="0"/>
          <w:color w:val="183153"/>
          <w:sz w:val="56"/>
        </w:rPr>
        <w:t>三类数据警告治理执行与兼容复验手册</w:t>
      </w:r>
    </w:p>
    <w:p>
      <w:pPr>
        <w:pStyle w:val="Subtitle"/>
        <w:jc w:val="center"/>
      </w:pPr>
      <w:r>
        <w:rPr>
          <w:rFonts w:ascii="Microsoft YaHei" w:hAnsi="Microsoft YaHei" w:eastAsia="Microsoft YaHei"/>
          <w:b w:val="0"/>
          <w:i w:val="0"/>
          <w:color w:val="667085"/>
          <w:sz w:val="25"/>
        </w:rPr>
        <w:t>从“可运行但有警告”升级为“字段明确、运行可拒绝、语义可追溯”</w:t>
      </w:r>
    </w:p>
    <w:p>
      <w:pPr>
        <w:spacing w:before="360"/>
        <w:jc w:val="center"/>
      </w:pPr>
      <w:r>
        <w:rPr>
          <w:rFonts w:ascii="Microsoft YaHei" w:hAnsi="Microsoft YaHei" w:eastAsia="Microsoft YaHei"/>
          <w:b/>
          <w:i w:val="0"/>
          <w:color w:val="9B1C1C"/>
          <w:sz w:val="20"/>
        </w:rPr>
        <w:t>研究比较版 · 不等同于正式测评效度发布</w:t>
      </w:r>
    </w:p>
    <w:p>
      <w:pPr>
        <w:spacing w:before="2200"/>
        <w:jc w:val="center"/>
      </w:pPr>
      <w:r>
        <w:rPr>
          <w:rFonts w:ascii="Microsoft YaHei" w:hAnsi="Microsoft YaHei" w:eastAsia="Microsoft YaHei"/>
          <w:b/>
          <w:i w:val="0"/>
          <w:color w:val="183153"/>
          <w:sz w:val="20"/>
        </w:rPr>
        <w:t>版本：</w:t>
      </w: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V0.2</w:t>
        <w:br/>
      </w:r>
      <w:r>
        <w:rPr>
          <w:rFonts w:ascii="Microsoft YaHei" w:hAnsi="Microsoft YaHei" w:eastAsia="Microsoft YaHei"/>
          <w:b/>
          <w:i w:val="0"/>
          <w:color w:val="183153"/>
          <w:sz w:val="20"/>
        </w:rPr>
        <w:t>日期：</w:t>
      </w: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2026年8月30日</w:t>
        <w:br/>
      </w:r>
      <w:r>
        <w:rPr>
          <w:rFonts w:ascii="Microsoft YaHei" w:hAnsi="Microsoft YaHei" w:eastAsia="Microsoft YaHei"/>
          <w:b/>
          <w:i w:val="0"/>
          <w:color w:val="183153"/>
          <w:sz w:val="20"/>
        </w:rPr>
        <w:t>适用对象：</w:t>
      </w: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研究负责人、程序员、编程AI、配置维护人员</w:t>
        <w:br/>
      </w:r>
    </w:p>
    <w:p>
      <w:r>
        <w:br w:type="page"/>
      </w:r>
    </w:p>
    <w:p>
      <w:pPr>
        <w:pStyle w:val="Heading1"/>
      </w:pPr>
      <w:r>
        <w:t>一、执行结论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EAF7F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i w:val="0"/>
                <w:color w:val="16794B"/>
                <w:sz w:val="21"/>
              </w:rPr>
              <w:t>本次治理结果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20"/>
              </w:rPr>
              <w:t>三类已知警告已全部完成确定性修订：59个父级能力引用归一、21条对话政策路由对齐、55条证据政策完成路径关系表达。第二轮独立复核又发现并修正6处证据—能力—路径的隐藏语义问题。V0.2现为唯一活动源；V0.1只读归档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100"/>
        <w:gridCol w:w="900"/>
        <w:gridCol w:w="3900"/>
        <w:gridCol w:w="2460"/>
      </w:tblGrid>
      <w:tr>
        <w:trPr>
          <w:tblHeader w:val="true"/>
          <w:cantSplit/>
        </w:trPr>
        <w:tc>
          <w:tcPr>
            <w:tcW w:type="dxa" w:w="210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8"/>
              </w:rPr>
              <w:t>问题</w:t>
            </w:r>
          </w:p>
        </w:tc>
        <w:tc>
          <w:tcPr>
            <w:tcW w:type="dxa" w:w="90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8"/>
              </w:rPr>
              <w:t>原数量</w:t>
            </w:r>
          </w:p>
        </w:tc>
        <w:tc>
          <w:tcPr>
            <w:tcW w:type="dxa" w:w="390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8"/>
              </w:rPr>
              <w:t>V0.2处理</w:t>
            </w:r>
          </w:p>
        </w:tc>
        <w:tc>
          <w:tcPr>
            <w:tcW w:type="dxa" w:w="246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8"/>
              </w:rPr>
              <w:t>复验结果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父级能力标签未解析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59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中文说明标签归一为正式C01—C12 ID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0个悬空引用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策略类型与运行用途不一致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21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按policy_type纠正runtime_use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0个错配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证据策略缺少路径关系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55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50条ANY_OF；5条NOT_APPLICABLE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0个缺失/非法引用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二轮三方语义复核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6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Q06重映射5条；Q10补全1条能力引用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0个零覆盖/错组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FDECE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i w:val="0"/>
                <w:color w:val="9B1C1C"/>
                <w:sz w:val="21"/>
              </w:rPr>
              <w:t>发布范围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20"/>
              </w:rPr>
              <w:t>本次成果仍为SIMULATION_ACTIVE研究比较版。AI模拟复核可替代试验阶段的大量机械核对，但不等同于正式专家效度审查或TEVV发布批准。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二、共同决定的核心语义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FFF7E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i w:val="0"/>
                <w:color w:val="9A6700"/>
                <w:sz w:val="21"/>
              </w:rPr>
              <w:t>可替代路径原则（已批准）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20"/>
              </w:rPr>
              <w:t>同一能力下列出的A/B/C（或A/B）路径，是可替代的专业实现路径。教师只要在具体情境中体现其中任意一条，并满足相应证据锚点，即可形成支持性证据；不得要求教师同时体现全部路径，也不得因某一路径未出现而直接判为能力不足。</w:t>
            </w:r>
          </w:p>
        </w:tc>
      </w:tr>
    </w:tbl>
    <w:p>
      <w:pPr>
        <w:spacing w:after="40"/>
      </w:pPr>
    </w:p>
    <w:p>
      <w:pPr>
        <w:keepLines w:val="0"/>
      </w:pPr>
      <w:r>
        <w:rPr>
          <w:rFonts w:ascii="Microsoft YaHei" w:hAnsi="Microsoft YaHei" w:eastAsia="Microsoft YaHei"/>
          <w:b w:val="0"/>
          <w:i w:val="0"/>
          <w:color w:val="243247"/>
          <w:sz w:val="21"/>
        </w:rPr>
        <w:t>这一决定解决的不是文字表述问题，而是程序可能把多路径误读成“全部必需”的工程风险。V0.2使用两层字段把含义固定下来：path_relation_mode说明证据与路径是什么关系；path_match_rule说明多条路径如何匹配。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100"/>
        <w:gridCol w:w="2450"/>
        <w:gridCol w:w="2000"/>
        <w:gridCol w:w="2810"/>
      </w:tblGrid>
      <w:tr>
        <w:trPr>
          <w:tblHeader w:val="true"/>
          <w:cantSplit/>
        </w:trPr>
        <w:tc>
          <w:tcPr>
            <w:tcW w:type="dxa" w:w="210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7"/>
              </w:rPr>
              <w:t>字段</w:t>
            </w:r>
          </w:p>
        </w:tc>
        <w:tc>
          <w:tcPr>
            <w:tcW w:type="dxa" w:w="245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7"/>
              </w:rPr>
              <w:t>能力证据</w:t>
            </w:r>
          </w:p>
        </w:tc>
        <w:tc>
          <w:tcPr>
            <w:tcW w:type="dxa" w:w="200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7"/>
              </w:rPr>
              <w:t>来源政策</w:t>
            </w:r>
          </w:p>
        </w:tc>
        <w:tc>
          <w:tcPr>
            <w:tcW w:type="dxa" w:w="281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7"/>
              </w:rPr>
              <w:t>程序含义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path_relation_mode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ALTERNATIVE_PATHS</w:t>
            </w:r>
          </w:p>
        </w:tc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NOT_APPLICABLE</w:t>
            </w:r>
          </w:p>
        </w:tc>
        <w:tc>
          <w:tcPr>
            <w:tcW w:type="dxa" w:w="2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有可替代路径 / 路径概念不适用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path_match_rule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ANY_OF</w:t>
            </w:r>
          </w:p>
        </w:tc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NONE</w:t>
            </w:r>
          </w:p>
        </w:tc>
        <w:tc>
          <w:tcPr>
            <w:tcW w:type="dxa" w:w="2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任一即可 / 不执行路径匹配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path_refs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2—3个有效path_id</w:t>
            </w:r>
          </w:p>
        </w:tc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空数组</w:t>
            </w:r>
          </w:p>
        </w:tc>
        <w:tc>
          <w:tcPr>
            <w:tcW w:type="dxa" w:w="2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只允许同题路径；来源政策禁止绑定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path_relation_reason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共同原则+具体路径组</w:t>
            </w:r>
          </w:p>
        </w:tc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不适用理由</w:t>
            </w:r>
          </w:p>
        </w:tc>
        <w:tc>
          <w:tcPr>
            <w:tcW w:type="dxa" w:w="2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供模型、人工与审计回看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多路径扩展专业视野，不构成固定答题路线。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路径是解释教师可能如何体现能力的线索，证据锚点仍必须由教师原话或可核查材料支持。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AI提出的内容、诱导后的认同、单纯礼貌回应，不能反向证明教师原有能力。</w:t>
      </w:r>
    </w:p>
    <w:p>
      <w:r>
        <w:br w:type="page"/>
      </w:r>
    </w:p>
    <w:p>
      <w:pPr>
        <w:pStyle w:val="Heading1"/>
      </w:pPr>
      <w:r>
        <w:t>三、三类警告分别如何修订</w:t>
      </w:r>
    </w:p>
    <w:p>
      <w:pPr>
        <w:pStyle w:val="Heading2"/>
      </w:pPr>
      <w:r>
        <w:t>3.1 父级能力引用：修表示，不改理论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3300"/>
        <w:gridCol w:w="1600"/>
        <w:gridCol w:w="4460"/>
      </w:tblGrid>
      <w:tr>
        <w:trPr>
          <w:tblHeader w:val="true"/>
          <w:cantSplit/>
        </w:trPr>
        <w:tc>
          <w:tcPr>
            <w:tcW w:type="dxa" w:w="330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8"/>
              </w:rPr>
              <w:t>修订前</w:t>
            </w:r>
          </w:p>
        </w:tc>
        <w:tc>
          <w:tcPr>
            <w:tcW w:type="dxa" w:w="160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8"/>
              </w:rPr>
              <w:t>修订后</w:t>
            </w:r>
          </w:p>
        </w:tc>
        <w:tc>
          <w:tcPr>
            <w:tcW w:type="dxa" w:w="446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8"/>
              </w:rPr>
              <w:t>保持不变</w:t>
            </w:r>
          </w:p>
        </w:tc>
      </w:tr>
      <w:tr>
        <w:trPr>
          <w:cantSplit/>
        </w:trP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C02_理解游戏意图与进程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C02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能力定义、路径描述、稳定ID体系</w:t>
            </w:r>
          </w:p>
        </w:tc>
      </w:tr>
      <w:tr>
        <w:trPr>
          <w:cantSplit/>
        </w:trP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C11_支持持续探究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C11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与题目、证据、路径的专业关联</w:t>
            </w:r>
          </w:p>
        </w:tc>
      </w:tr>
    </w:tbl>
    <w:p>
      <w:pPr>
        <w:spacing w:after="40"/>
      </w:pPr>
    </w:p>
    <w:p>
      <w:pPr>
        <w:keepLines w:val="0"/>
      </w:pPr>
      <w:r>
        <w:rPr>
          <w:rFonts w:ascii="Microsoft YaHei" w:hAnsi="Microsoft YaHei" w:eastAsia="Microsoft YaHei"/>
          <w:b w:val="0"/>
          <w:i w:val="0"/>
          <w:color w:val="243247"/>
          <w:sz w:val="21"/>
        </w:rPr>
        <w:t>处理依据是前缀与正式能力ID一一对应，因此属于无歧义的数据归一。验证器现将悬空父引用由“警告”升级为“阻断错误”。</w:t>
      </w:r>
    </w:p>
    <w:p>
      <w:pPr>
        <w:pStyle w:val="Heading2"/>
      </w:pPr>
      <w:r>
        <w:t>3.2 对话政策路由：让类型与用途一致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00"/>
        <w:gridCol w:w="3900"/>
        <w:gridCol w:w="3160"/>
      </w:tblGrid>
      <w:tr>
        <w:trPr>
          <w:tblHeader w:val="true"/>
          <w:cantSplit/>
        </w:trPr>
        <w:tc>
          <w:tcPr>
            <w:tcW w:type="dxa" w:w="230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8"/>
              </w:rPr>
              <w:t>policy_type</w:t>
            </w:r>
          </w:p>
        </w:tc>
        <w:tc>
          <w:tcPr>
            <w:tcW w:type="dxa" w:w="390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8"/>
              </w:rPr>
              <w:t>正确runtime_use</w:t>
            </w:r>
          </w:p>
        </w:tc>
        <w:tc>
          <w:tcPr>
            <w:tcW w:type="dxa" w:w="316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8"/>
              </w:rPr>
              <w:t>修订数量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AFFORDANCE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AFFORDANCE_CARD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MONITOR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MONITOR_CARD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15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HARD_BOUNDARY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HARD_BOUNDARY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本次无改动</w:t>
            </w:r>
          </w:p>
        </w:tc>
      </w:tr>
    </w:tbl>
    <w:p>
      <w:pPr>
        <w:spacing w:after="40"/>
      </w:pPr>
    </w:p>
    <w:p>
      <w:pPr>
        <w:keepLines w:val="0"/>
      </w:pPr>
      <w:r>
        <w:rPr>
          <w:rFonts w:ascii="Microsoft YaHei" w:hAnsi="Microsoft YaHei" w:eastAsia="Microsoft YaHei"/>
          <w:b w:val="0"/>
          <w:i w:val="0"/>
          <w:color w:val="243247"/>
          <w:sz w:val="21"/>
        </w:rPr>
        <w:t>本次只纠正运行路由，不改policy_id、正文、触发条件或约束强度。这样既避免程序把开放可供性当监督信号，也避免把监督信号直接塞给前台生成。</w:t>
      </w:r>
    </w:p>
    <w:p>
      <w:pPr>
        <w:pStyle w:val="Heading2"/>
      </w:pPr>
      <w:r>
        <w:t>3.3 路径关系：从空白变成明确契约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3200"/>
        <w:gridCol w:w="1000"/>
        <w:gridCol w:w="5160"/>
      </w:tblGrid>
      <w:tr>
        <w:trPr>
          <w:tblHeader w:val="true"/>
          <w:cantSplit/>
        </w:trPr>
        <w:tc>
          <w:tcPr>
            <w:tcW w:type="dxa" w:w="320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8"/>
              </w:rPr>
              <w:t>记录类别</w:t>
            </w:r>
          </w:p>
        </w:tc>
        <w:tc>
          <w:tcPr>
            <w:tcW w:type="dxa" w:w="100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8"/>
              </w:rPr>
              <w:t>数量</w:t>
            </w:r>
          </w:p>
        </w:tc>
        <w:tc>
          <w:tcPr>
            <w:tcW w:type="dxa" w:w="516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8"/>
              </w:rPr>
              <w:t>V0.2关系</w:t>
            </w:r>
          </w:p>
        </w:tc>
      </w:tr>
      <w:tr>
        <w:trPr>
          <w:cantSplit/>
        </w:trP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CAPABILITY_EVIDENCE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50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ALTERNATIVE_PATHS + ANY_OF + 2—3个同题path_refs</w:t>
            </w:r>
          </w:p>
        </w:tc>
      </w:tr>
      <w:tr>
        <w:trPr>
          <w:cantSplit/>
        </w:trP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ORIGIN_POLICY（RO0—RO4）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5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8"/>
              </w:rPr>
              <w:t>NOT_APPLICABLE + NONE + 空path_refs</w:t>
            </w:r>
          </w:p>
        </w:tc>
      </w:tr>
    </w:tbl>
    <w:p>
      <w:pPr>
        <w:spacing w:after="40"/>
      </w:pPr>
    </w:p>
    <w:p>
      <w:pPr>
        <w:keepLines w:val="0"/>
      </w:pPr>
      <w:r>
        <w:rPr>
          <w:rFonts w:ascii="Microsoft YaHei" w:hAnsi="Microsoft YaHei" w:eastAsia="Microsoft YaHei"/>
          <w:b w:val="0"/>
          <w:i w:val="0"/>
          <w:color w:val="243247"/>
          <w:sz w:val="21"/>
        </w:rPr>
        <w:t>第二轮没有沿用“编号相同就配对”的假设，而是同时核对证据命题正文、capability_refs、路径描述与父级能力覆盖。由此发现Q06五条路径组被机械错配，并发现Q10一条环境配置命题缺少C07/C08引用；现已修正。</w:t>
      </w:r>
    </w:p>
    <w:p>
      <w:r>
        <w:br w:type="page"/>
      </w:r>
    </w:p>
    <w:p>
      <w:pPr>
        <w:pStyle w:val="Heading1"/>
      </w:pPr>
      <w:r>
        <w:t>四、五个工作簿的实际变化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550"/>
        <w:gridCol w:w="5350"/>
        <w:gridCol w:w="2460"/>
      </w:tblGrid>
      <w:tr>
        <w:trPr>
          <w:tblHeader w:val="true"/>
          <w:cantSplit/>
        </w:trPr>
        <w:tc>
          <w:tcPr>
            <w:tcW w:type="dxa" w:w="155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7"/>
              </w:rPr>
              <w:t>表</w:t>
            </w:r>
          </w:p>
        </w:tc>
        <w:tc>
          <w:tcPr>
            <w:tcW w:type="dxa" w:w="535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7"/>
              </w:rPr>
              <w:t>主要变化</w:t>
            </w:r>
          </w:p>
        </w:tc>
        <w:tc>
          <w:tcPr>
            <w:tcW w:type="dxa" w:w="246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7"/>
              </w:rPr>
              <w:t>业务内容是否改变</w:t>
            </w:r>
          </w:p>
        </w:tc>
      </w:tr>
      <w:tr>
        <w:trPr>
          <w:cantSplit/>
        </w:trPr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表1 情境深描</w:t>
            </w:r>
          </w:p>
        </w:tc>
        <w:tc>
          <w:tcPr>
            <w:tcW w:type="dxa" w:w="5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schema/version与治理记录同步到0.2.0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否</w:t>
            </w:r>
          </w:p>
        </w:tc>
      </w:tr>
      <w:tr>
        <w:trPr>
          <w:cantSplit/>
        </w:trPr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表2 多路径Ontology</w:t>
            </w:r>
          </w:p>
        </w:tc>
        <w:tc>
          <w:tcPr>
            <w:tcW w:type="dxa" w:w="5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59个parent_concept_ids归一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只修引用表示</w:t>
            </w:r>
          </w:p>
        </w:tc>
      </w:tr>
      <w:tr>
        <w:trPr>
          <w:cantSplit/>
        </w:trPr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表3 证据命题</w:t>
            </w:r>
          </w:p>
        </w:tc>
        <w:tc>
          <w:tcPr>
            <w:tcW w:type="dxa" w:w="5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新增3字段；补齐50组路径；5条来源政策显式不适用；二轮重映射Q06五条并补全Q10一条能力引用；字典/枚举/QA同步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新增工程语义，不改证据命题正文</w:t>
            </w:r>
          </w:p>
        </w:tc>
      </w:tr>
      <w:tr>
        <w:trPr>
          <w:cantSplit/>
        </w:trPr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表4 开放探询与监督</w:t>
            </w:r>
          </w:p>
        </w:tc>
        <w:tc>
          <w:tcPr>
            <w:tcW w:type="dxa" w:w="5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21条runtime_use对齐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只修运行路由</w:t>
            </w:r>
          </w:p>
        </w:tc>
      </w:tr>
      <w:tr>
        <w:trPr>
          <w:cantSplit/>
        </w:trPr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表5 综合判断与记忆</w:t>
            </w:r>
          </w:p>
        </w:tc>
        <w:tc>
          <w:tcPr>
            <w:tcW w:type="dxa" w:w="5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schema/version与治理记录同步到0.2.0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否</w:t>
            </w:r>
          </w:p>
        </w:tc>
      </w:tr>
    </w:tbl>
    <w:p>
      <w:pPr>
        <w:spacing w:after="40"/>
      </w:pPr>
    </w:p>
    <w:p>
      <w:pPr>
        <w:keepLines w:val="0"/>
      </w:pPr>
      <w:r>
        <w:rPr>
          <w:rFonts w:ascii="Microsoft YaHei" w:hAnsi="Microsoft YaHei" w:eastAsia="Microsoft YaHei"/>
          <w:b w:val="0"/>
          <w:i w:val="0"/>
          <w:color w:val="243247"/>
          <w:sz w:val="21"/>
        </w:rPr>
        <w:t>所有表均保留稳定record_id、原始source_ref和CHANGELOG；数据指纹由重新编译产生。源目录只保留五个V0.2工作簿，V0.1移入archive/v0.1，避免运行时误选。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i w:val="0"/>
                <w:color w:val="2E5AAC"/>
                <w:sz w:val="21"/>
              </w:rPr>
              <w:t>人工今后怎么改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20"/>
              </w:rPr>
              <w:t>只在V0.2工作副本中改DATA；同步DICTIONARY/ENUMS/CHANGELOG；运行编译器生成新JSON；先过阻断校验，再运行Fixture、Replay和页面试用。不要直接手改生成的runtime JSON。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五、程序加载与兼容方式</w:t>
      </w:r>
    </w:p>
    <w:p>
      <w:pPr>
        <w:keepLines w:val="0"/>
      </w:pPr>
      <w:r>
        <w:rPr>
          <w:rFonts w:ascii="Microsoft YaHei" w:hAnsi="Microsoft YaHei" w:eastAsia="Microsoft YaHei"/>
          <w:b w:val="0"/>
          <w:i w:val="0"/>
          <w:color w:val="243247"/>
          <w:sz w:val="21"/>
        </w:rPr>
        <w:t>程序启动时不直接逐格读取Excel，而是先把五表编译为一个紧凑的运行时JSON。前台每题只装载该题的情境、专业透镜、证据政策、对话政策和综合政策，再由Orchestrator交给Dialogue Agent与后台Evidence分析。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700"/>
        <w:gridCol w:w="3800"/>
        <w:gridCol w:w="3860"/>
      </w:tblGrid>
      <w:tr>
        <w:trPr>
          <w:tblHeader w:val="true"/>
          <w:cantSplit/>
        </w:trPr>
        <w:tc>
          <w:tcPr>
            <w:tcW w:type="dxa" w:w="170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7"/>
              </w:rPr>
              <w:t>环节</w:t>
            </w:r>
          </w:p>
        </w:tc>
        <w:tc>
          <w:tcPr>
            <w:tcW w:type="dxa" w:w="380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7"/>
              </w:rPr>
              <w:t>输入</w:t>
            </w:r>
          </w:p>
        </w:tc>
        <w:tc>
          <w:tcPr>
            <w:tcW w:type="dxa" w:w="386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7"/>
              </w:rPr>
              <w:t>输出/检查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1. 配置准备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config/new-five-tables/source内5个V0.2 Excel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文件名、schema、活动范围一致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2. 编译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Excel DATA页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tcim-new-five-tables.runtime.v0.2.json + 指纹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3. 静态校验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运行时JSON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跨表ID、ANY_OF、路由、硬边界、TEVV隔离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4. 单题运行卡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全局记录+Q01—Q10单题记录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Dialogue Agent的紧凑专业上下文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5. 证据写入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教师原话+证据候选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Evidence Validator决定接受/拒绝/修订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EAF7F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i w:val="0"/>
                <w:color w:val="16794B"/>
                <w:sz w:val="21"/>
              </w:rPr>
              <w:t>兼容保证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20"/>
              </w:rPr>
              <w:t>Dialogue Agent仍拥有对话方向与表达主导权。ANY_OF只是告诉模型“这些是可能路径”，不会强迫它逐条追问；Evidence Validator也不会要求教师给出路径ID。</w:t>
            </w:r>
          </w:p>
        </w:tc>
      </w:tr>
    </w:tbl>
    <w:p>
      <w:pPr>
        <w:spacing w:after="40"/>
      </w:pPr>
    </w:p>
    <w:p>
      <w:pPr>
        <w:pStyle w:val="Heading2"/>
      </w:pPr>
      <w:r>
        <w:t>失败时如何回退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编译或校验失败：阻止本次配置发布，继续使用上一份已验证runtime。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需要复现实验：从archive/v0.1恢复旧源，并切换到对应v0.1 runtime；不得把两版文件放在同一活动目录。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i w:val="0"/>
          <w:color w:val="243247"/>
          <w:sz w:val="20"/>
        </w:rPr>
        <w:t>发现理论争议：先把相关记录设为非活动或回退单条变更，不要删除稳定ID。</w:t>
      </w:r>
    </w:p>
    <w:p>
      <w:r>
        <w:br w:type="page"/>
      </w:r>
    </w:p>
    <w:p>
      <w:pPr>
        <w:pStyle w:val="Heading1"/>
      </w:pPr>
      <w:r>
        <w:t>六、复验清单与完成定义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600"/>
        <w:gridCol w:w="4300"/>
        <w:gridCol w:w="2460"/>
      </w:tblGrid>
      <w:tr>
        <w:trPr>
          <w:tblHeader w:val="true"/>
          <w:cantSplit/>
        </w:trPr>
        <w:tc>
          <w:tcPr>
            <w:tcW w:type="dxa" w:w="260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7"/>
              </w:rPr>
              <w:t>检查项</w:t>
            </w:r>
          </w:p>
        </w:tc>
        <w:tc>
          <w:tcPr>
            <w:tcW w:type="dxa" w:w="430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7"/>
              </w:rPr>
              <w:t>目标</w:t>
            </w:r>
          </w:p>
        </w:tc>
        <w:tc>
          <w:tcPr>
            <w:tcW w:type="dxa" w:w="246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7"/>
              </w:rPr>
              <w:t>本次结果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父级引用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全部解析到正式能力ID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PASS：0悬空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路径集合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50条能力证据均为2—3条同题路径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PASS：50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路径语义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全部ALTERNATIVE_PATHS + ANY_OF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PASS：50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来源政策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5条NOT_APPLICABLE + NONE + 空路径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PASS：5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运行路由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policy_type与runtime_use一致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PASS：0错配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负向Fixture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错误配置被确定性拒绝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PASS：14类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TEVV隔离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TEVV_CASE不得进入运行时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第二轮全表审计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487条记录、ID、图关系、路径语义、来源哈希与10题完整性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7"/>
              </w:rPr>
              <w:t>PASS：9组检查，0错误，0警告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FFF7E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i w:val="0"/>
                <w:color w:val="9A6700"/>
                <w:sz w:val="21"/>
              </w:rPr>
              <w:t>完成定义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20"/>
              </w:rPr>
              <w:t>只有“Excel修订、运行时重新编译、跨表校验、负向Fixture、应用回归、版本记录”六项同时通过，才可称为治理完成。仅让警告消失不算完成。</w:t>
            </w:r>
          </w:p>
        </w:tc>
      </w:tr>
    </w:tbl>
    <w:p>
      <w:pPr>
        <w:spacing w:after="40"/>
      </w:pPr>
    </w:p>
    <w:p>
      <w:pPr>
        <w:keepLines w:val="0"/>
      </w:pPr>
      <w:r>
        <w:rPr>
          <w:rFonts w:ascii="Microsoft YaHei" w:hAnsi="Microsoft YaHei" w:eastAsia="Microsoft YaHei"/>
          <w:b w:val="0"/>
          <w:i w:val="0"/>
          <w:color w:val="243247"/>
          <w:sz w:val="21"/>
        </w:rPr>
        <w:t>本次结论：经过两轮治理与逐表核验，V0.2达到模拟研究比较版的发布候选条件；后续仍需真人教师试用与专家效度审查检验路径设计的科学性、公平性和文化适用性。</w:t>
      </w:r>
    </w:p>
    <w:p>
      <w:r>
        <w:br w:type="page"/>
      </w:r>
    </w:p>
    <w:p>
      <w:pPr>
        <w:pStyle w:val="Heading1"/>
      </w:pPr>
      <w:r>
        <w:t>附录：Q08的可替代路径示例</w:t>
      </w:r>
    </w:p>
    <w:p>
      <w:pPr>
        <w:keepLines w:val="0"/>
      </w:pPr>
      <w:r>
        <w:rPr>
          <w:rFonts w:ascii="Microsoft YaHei" w:hAnsi="Microsoft YaHei" w:eastAsia="Microsoft YaHei"/>
          <w:b w:val="0"/>
          <w:i w:val="0"/>
          <w:color w:val="243247"/>
          <w:sz w:val="21"/>
        </w:rPr>
        <w:t>假设Q08某项能力包含A、B、C三条路径：A侧重轻量提示，B侧重材料/环境调整，C侧重共同建模或阶段性示范。三条路径均可能体现同一专业能力，但适用条件、干预强度和儿童自主性代价不同。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3400"/>
        <w:gridCol w:w="3700"/>
        <w:gridCol w:w="2260"/>
      </w:tblGrid>
      <w:tr>
        <w:trPr>
          <w:tblHeader w:val="true"/>
          <w:cantSplit/>
        </w:trPr>
        <w:tc>
          <w:tcPr>
            <w:tcW w:type="dxa" w:w="340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6"/>
              </w:rPr>
              <w:t>教师表达</w:t>
            </w:r>
          </w:p>
        </w:tc>
        <w:tc>
          <w:tcPr>
            <w:tcW w:type="dxa" w:w="370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6"/>
              </w:rPr>
              <w:t>可形成的理解</w:t>
            </w:r>
          </w:p>
        </w:tc>
        <w:tc>
          <w:tcPr>
            <w:tcW w:type="dxa" w:w="226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153"/>
                <w:sz w:val="16"/>
              </w:rPr>
              <w:t>不能做的推断</w:t>
            </w:r>
          </w:p>
        </w:tc>
      </w:tr>
      <w:tr>
        <w:trPr>
          <w:cantSplit/>
        </w:trPr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“我会先停一下，问孩子哪里卡住了，让他自己说想怎么试。”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可与A路径及证据锚点相符；若原话具体且非诱导，可形成支持性证据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不能因未提到B、C就说能力不足</w:t>
            </w:r>
          </w:p>
        </w:tc>
      </w:tr>
      <w:tr>
        <w:trPr>
          <w:cantSplit/>
        </w:trPr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“如果反复失败，我会换一组更容易比较的材料，让差异更明显。”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可与B路径相符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不能要求其还必须同时示范C</w:t>
            </w:r>
          </w:p>
        </w:tc>
      </w:tr>
      <w:tr>
        <w:trPr>
          <w:cantSplit/>
        </w:trPr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“必要时我会和孩子一起做一次，再把控制权交还给他。”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可与C路径相符，并需检查是否说明交还控制权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16"/>
              </w:rPr>
              <w:t>不能把AI先说、教师随后认同当作原有能力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E8EE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i w:val="0"/>
                <w:color w:val="2E5AAC"/>
                <w:sz w:val="21"/>
              </w:rPr>
              <w:t>给Dialogue Agent的实际含义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43247"/>
                <w:sz w:val="20"/>
              </w:rPr>
              <w:t>它可以根据教师原话和情境，自主选择继续深挖当前路径、探索另一种解释或转向新的能力维度；新五表提供地图与边界，不提供固定问句脚本。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24" w:bottom="1037" w:left="1224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i w:val="0"/>
        <w:color w:val="667085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Microsoft YaHei" w:hAnsi="Microsoft YaHei" w:eastAsia="Microsoft YaHei"/>
        <w:b w:val="0"/>
        <w:i w:val="0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Microsoft YaHei"/>
        <w:b/>
        <w:i w:val="0"/>
        <w:color w:val="667085"/>
        <w:sz w:val="17"/>
      </w:rPr>
      <w:t>TCIM新五表治理执行与兼容复验手册 · V0.2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Arial" w:hAnsi="Aria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2432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5AA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5AA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8315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8315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66708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TCIM新五表三类数据警告治理执行与兼容复验手册</dc:title>
  <dc:subject/>
  <dc:creator>TCIM研究项目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