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Microsoft YaHei" w:hAnsi="Microsoft YaHei" w:eastAsia="Microsoft YaHei"/>
          <w:b/>
          <w:i w:val="0"/>
          <w:color w:val="9A6700"/>
          <w:sz w:val="21"/>
        </w:rPr>
        <w:t>TCIM · 技术与研究说明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56"/>
        </w:rPr>
        <w:t>当前程序整体架构、实现机制与本机发布分析报告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5"/>
        </w:rPr>
        <w:t>面向程序员、编程AI与研究团队的统一说明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研究比较版 · 不等同于正式测评效度发布</w:t>
      </w:r>
    </w:p>
    <w:p>
      <w:pPr>
        <w:spacing w:before="2200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版本：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V0.1（本机研究比较版）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日期：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2026年8月30日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适用对象：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研究负责人、程序员、编程AI、数据复核人员</w:t>
        <w:br/>
      </w:r>
    </w:p>
    <w:p>
      <w:r>
        <w:br w:type="page"/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当前版本不是‘五表驱动的固定问答程序’，而是由强模型Dialogue Agent承担前台理解与问话，新五表提供专业视野，Evidence State保存可追溯证据，模型外验证器限制证据越权，确定性转换器生成有边界的教师能力画像候选。当前未接入完整RRMC，只实现了不阻塞前台的轻量效用状态和稀疏质量监督。</w:t>
            </w:r>
          </w:p>
        </w:tc>
      </w:tr>
    </w:tbl>
    <w:p>
      <w:pPr>
        <w:spacing w:after="40"/>
      </w:pPr>
    </w:p>
    <w:p>
      <w:pPr>
        <w:pStyle w:val="Heading1"/>
      </w:pPr>
      <w:r>
        <w:t>阅读导航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先看第2—4章：理解系统目标、权力结构和模块关系。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程序员重点看第5—10章：逐轮流程、接口、存储、时间与错误处理。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研究团队重点看第7、11、13章：证据来源、画像边界和当前限制。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本机使用者重点看第12章：发布、启动、停止和数据位置。</w:t>
      </w:r>
    </w:p>
    <w:p>
      <w:pPr>
        <w:pStyle w:val="Heading1"/>
      </w:pPr>
      <w:r>
        <w:t>1. 报告范围与版本状态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本报告说明位于本机仓库TCIM-Dialogue-Agent-Compare、分支codex/dialogue-agent-comparison的当前比较版本。它沿用第一版的教师资料、十题排序测评、确定性赋分、三题遴选和每情境十分钟限制，只替换并强化AI访谈、证据状态和能力画像链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项目</w:t>
            </w:r>
          </w:p>
        </w:tc>
        <w:tc>
          <w:tcPr>
            <w:tcW w:type="dxa" w:w="7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运行方式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本机生产静态网页 + 本机Dialogue Agent HTTP服务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网页地址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http://127.0.0.1:5173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Dialogue Agent地址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http://127.0.0.1:8787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默认真实模型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Kimi K3；也可选择OpenAI，正式会话锁定provider/model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新五表数据集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TCIM_NEW_FIVE_TABLES_RUNTIME_V0.1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配置指纹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f729a09c81ab1937aa09544b61d13bad2673de04af067c3ad892f48f036c8ab7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发布范围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SIMULATION_ACTIVE；只用于研究比较，不代表真人专家审定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A6700"/>
                <w:sz w:val="21"/>
              </w:rPr>
              <w:t>必须区分的两个‘发布’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本地发布表示把程序固化为可稳定运行的生产构建；专业能力发布表示五表、证据规则和画像结论通过专家与真实教师验证。当前只完成前者，后者仍由TEVV和人工研究决定。</w:t>
            </w:r>
          </w:p>
        </w:tc>
      </w:tr>
    </w:tbl>
    <w:p>
      <w:pPr>
        <w:spacing w:after="40"/>
      </w:pPr>
    </w:p>
    <w:p>
      <w:pPr>
        <w:pStyle w:val="Heading1"/>
      </w:pPr>
      <w:r>
        <w:t>2. 产品目标与完整业务流程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根本目标是从多个角度理解幼儿园教师的游戏支持与引导能力，并在理解之后促进反思，最终形成可用于教师发展支持、但不越过证据边界的画像。系统不是为了证明教师答对了标准答案，也不是为了让AI在谈话中把自己的观点变成教师的能力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教师完成个人资料并进入十个游戏情境排序题。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确定性程序按赋分表计算结果，AI不参与打分。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程序结合结果与过程数据确定三个有解释价值的访谈情境。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Dialogue Agent围绕一个情境与教师开放交谈；新五表扩大专业观察范围，但不规定唯一路线。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后台Evidence Analyzer提出证据候选，模型外Validator核对原话、ID、来源等级和结论上限。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十分钟内完成对话，最后90秒收尾；教师最后一段原话仍保存并可后台分析。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Canonical Evidence确定性转换为能力画像候选；报告区分测评定位、独立访谈证据、提示后澄清及AI影响后的反思。</w:t>
      </w:r>
    </w:p>
    <w:p>
      <w:pPr>
        <w:pStyle w:val="Heading1"/>
      </w:pPr>
      <w:r>
        <w:t>3. 设计理念：自由在哪里，约束在哪里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000"/>
        <w:gridCol w:w="3760"/>
      </w:tblGrid>
      <w:tr>
        <w:trPr>
          <w:tblHeader w:val="true"/>
          <w:cantSplit/>
        </w:trPr>
        <w:tc>
          <w:tcPr>
            <w:tcW w:type="dxa" w:w="1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对象</w:t>
            </w:r>
          </w:p>
        </w:tc>
        <w:tc>
          <w:tcPr>
            <w:tcW w:type="dxa" w:w="4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拥有的权力</w:t>
            </w:r>
          </w:p>
        </w:tc>
        <w:tc>
          <w:tcPr>
            <w:tcW w:type="dxa" w:w="37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明确不能做的事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Dialogue Agent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理解情境和教师原话；自主选择承接、澄清、深化、转向、反事实或结束；自主措辞；可追随表外新线索。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不能修改评分；不能直接写Canonical Evidence；不能绕过隐私、安全、单问和来源边界。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新五表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提供情境事实/未知、能力透镜、多路径、证据合同、对话可供性、综合上限。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不能成为固定问题脚本或路线白名单；AFFORDANCE/MONITOR不能冒充硬边界。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Evidence Validator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确定候选是否能写入、有效等级、冲突和来源轨道。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不能替Dialogue Agent组织对话；不能把无原话候选或表外命题写成规范证据。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Utility State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用已保存状态描述覆盖、新发现和成本，给出OPEN_EXPLORE等建议。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只允许ADVISORY；不能指定下一问或强迫模型补槽。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时间/安全控制器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在明确退出、隐私、单问、泄露和收尾窗口等硬条件下阻断或关闭。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不能生成本地专业问题冒充模型；失败时只能暂停、重试或安全收束。</w:t>
            </w:r>
          </w:p>
        </w:tc>
      </w:tr>
    </w:tbl>
    <w:p>
      <w:pPr>
        <w:spacing w:after="40"/>
      </w:pPr>
    </w:p>
    <w:p>
      <w:pPr>
        <w:pStyle w:val="Heading1"/>
      </w:pPr>
      <w:r>
        <w:t>4. 整体架构与模块关系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374136"/>
            <wp:docPr id="1" name="Picture 1" descr="TCIM本机比较版模块关系图：Dialogue Agent主导前台对话，新五表提供专业视野，Orchestrator传递状态，Evidence State支持画像。" title="TCIM本机比较版模块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8"/>
        </w:rPr>
        <w:t>图1  当前本机比较版的主运行关系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这张图中，向上的箭头大多是给模型的可撤销信息，向右的证据链则是确定性治理。Dialogue Agent可以不采纳可供性和效用建议，但不能拒绝硬边界，也不能替Evidence Validator决定什么是教师原有能力。</w:t>
      </w:r>
    </w:p>
    <w:p>
      <w:pPr>
        <w:pStyle w:val="Heading2"/>
      </w:pPr>
      <w:r>
        <w:t>4.1 前台层：教师体验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情境题干始终可见，四个做法及教师本人排序默认折叠，避免信息挤压对话。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教师不必判断抽象的‘谈话阶段’，页面只呈现‘自由讲述与追问’或‘完成最后补充’。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每轮技术耗时默认折叠；需要时可查看可见延时、输入输出tokens、问话质检和后台Evidence耗时。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模型状态简化为‘AI已连接’，错误或模型不一致时才展开详细恢复信息。</w:t>
      </w:r>
    </w:p>
    <w:p>
      <w:pPr>
        <w:pStyle w:val="Heading2"/>
      </w:pPr>
      <w:r>
        <w:t>4.2 编排与状态层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Orchestrator位于页面领域引擎与本机模型服务之间。它不写固定专业问句，而是组装当前题RuntimeCard、教师资料、历史对话、Evidence摘要、Dialogue Progress和Utility状态，提交给Dialogue Agent，并将返回结果交给硬边界和证据校验器。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900"/>
        <w:gridCol w:w="3360"/>
      </w:tblGrid>
      <w:tr>
        <w:trPr>
          <w:tblHeader w:val="true"/>
          <w:cantSplit/>
        </w:trPr>
        <w:tc>
          <w:tcPr>
            <w:tcW w:type="dxa" w:w="2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状态</w:t>
            </w:r>
          </w:p>
        </w:tc>
        <w:tc>
          <w:tcPr>
            <w:tcW w:type="dxa" w:w="3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保存内容</w:t>
            </w:r>
          </w:p>
        </w:tc>
        <w:tc>
          <w:tcPr>
            <w:tcW w:type="dxa" w:w="3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Dialogue Progress State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问题账本、开放线程、已覆盖线索、停滞度、阶段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避免原地复问，保留尚未成为证据的谈话线索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Interview Utility State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独立证据覆盖、提示后证据、AI影响证据、开放/涌现线程、提问成本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给模型低频、轻量、可拒绝的方向建议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Evidence State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规范命题、教师逐字片段、来源等级、有效状态、冲突与修订链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形成可回放、可审计的Canonical Evidence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Audit Log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请求、模型、方向、边界、写入、暂停、收尾和版本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研究复现与故障定位</w:t>
            </w:r>
          </w:p>
        </w:tc>
      </w:tr>
    </w:tbl>
    <w:p>
      <w:pPr>
        <w:spacing w:after="40"/>
      </w:pPr>
    </w:p>
    <w:p>
      <w:pPr>
        <w:pStyle w:val="Heading1"/>
      </w:pPr>
      <w:r>
        <w:t>5. 新五表如何进入程序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程序不在每轮读取Excel。五个唯一运行版Excel先被编译为带来源哈希和配置指纹的JSON，再按题转换为紧凑RuntimeCard。这样既避免延时，也避免旧表与新表混用。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表</w:t>
            </w:r>
          </w:p>
        </w:tc>
        <w:tc>
          <w:tcPr>
            <w:tcW w:type="dxa" w:w="4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编译后信息</w:t>
            </w:r>
          </w:p>
        </w:tc>
        <w:tc>
          <w:tcPr>
            <w:tcW w:type="dxa" w:w="32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运行位置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表1 情境深描与条件边界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ScenarioBrief、已知事实、重要未知、条件变体、前测先验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会话开始和相关情境变化时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表2 多路径Ontology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全局能力透镜、情境能力概念、多条可接受路径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扩大Dialogue Agent专业视野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表3 证据命题与反事实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理解ID、命题ID、来源、锚点、反证、伪证据、上限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后台Evidence Analyzer与模型外Validator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表4 开放探询与稀疏监督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AFFORDANCE、MONITOR、HARD_BOUNDARY、COMPILER_BOUNDARY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Dialogue Agent建议、低频监督和硬门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表5 综合、记忆与TEVV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综合与记忆政策；TEVV留在测试发布侧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报告上限与未来记忆治理；TEVV不注入普通对话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当前运行规模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10题；55条证据政策；68条对话政策；48条综合/记忆运行政策；14条可识别硬边界。</w:t>
            </w:r>
          </w:p>
        </w:tc>
      </w:tr>
    </w:tbl>
    <w:p>
      <w:pPr>
        <w:spacing w:after="40"/>
      </w:pPr>
    </w:p>
    <w:p>
      <w:pPr>
        <w:pStyle w:val="Heading1"/>
      </w:pPr>
      <w:r>
        <w:t>6. 一轮对话具体如何运行</w:t>
      </w:r>
    </w:p>
    <w:p>
      <w:pPr>
        <w:pStyle w:val="Heading2"/>
      </w:pPr>
      <w:r>
        <w:t>6.1 首问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页面建立Dialogue Session和本题RuntimeCard，保存模型选择锁。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Orchestrator发送情境、四个选项语义、教师排序及轻量运行卡。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Dialogue Agent自主形成首问；程序检查严格JSON、单问、长度、泄露和诱导性。</w:t>
      </w:r>
    </w:p>
    <w:p>
      <w:pPr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首问可见后才进入教师回答—语义分析—Evidence写入循环；首问本身不产生教师能力证据。</w:t>
      </w:r>
    </w:p>
    <w:p>
      <w:pPr>
        <w:pStyle w:val="Heading2"/>
      </w:pPr>
      <w:r>
        <w:t>6.2 教师每次回答之后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先原样保存教师文本和turnId，防止模型失败造成回答丢失。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前台链只请求下一条简短回应；输入包含紧凑历史、Evidence摘要、Dialogue Progress和Utility建议。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服务端检查输出契约、硬边界、近义复问和明显诱导确认问句；可纠正的问题只允许重写一次。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合格问题立即显示。普通前台调用不等待Evidence分析。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后台Evidence Analyzer随后分析刚才的教师原话，最多提出少量规范候选。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模型外Validator核对claim/understanding配对、逐字span、RO来源、允许来源和等级上限；接受、拒绝、修订和冲突都留日志。</w:t>
      </w:r>
    </w:p>
    <w:p>
      <w:pPr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更新后的Evidence与效用状态供下一轮参考；它们描述已知状态，不规定下一问。</w:t>
      </w:r>
    </w:p>
    <w:p>
      <w:pPr>
        <w:pStyle w:val="Heading1"/>
      </w:pPr>
      <w:r>
        <w:t>7. 问话质量与非诱导机制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程序用‘模型能力 + 提示原则 + 确定性闸门 + 事后研究评价’四层共同管理问话质量。闸门只阻断能够可靠识别的问题，不试图把全部教育判断写成正则规则。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层次</w:t>
            </w:r>
          </w:p>
        </w:tc>
        <w:tc>
          <w:tcPr>
            <w:tcW w:type="dxa" w:w="4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当前做法</w:t>
            </w:r>
          </w:p>
        </w:tc>
        <w:tc>
          <w:tcPr>
            <w:tcW w:type="dxa" w:w="35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模型提示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要求承接教师原话、只问一个问题、不先给答案再求认同、不以AI认同证明能力。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依赖模型遵循，不能单独作为研究证据。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结构校验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严格JSON、动作枚举、问句长度、引用原话、模型/会话锁。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只判断形式和确定性合同。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质量闸门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近义复问、明显认同式诱导、单问、简洁、承接性和新颖性。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复杂语义诱导仍需人工与LLM评审。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研究评价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未来用真实教师标注相关性、自然度、非诱导、促进性和认知负担。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目前尚未形成足够真人样本。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A6700"/>
                <w:sz w:val="21"/>
              </w:rPr>
              <w:t>为什么不让质量闸门决定下一问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因为一旦把‘什么问题才好’完全写成规则，系统又会回到高控制路线。当前闸门只排除重复、泄露、明显诱导等低争议失败；剩余方向仍由Dialogue Agent根据教师刚才的意义自主决定。</w:t>
            </w:r>
          </w:p>
        </w:tc>
      </w:tr>
    </w:tbl>
    <w:p>
      <w:pPr>
        <w:spacing w:after="40"/>
      </w:pPr>
    </w:p>
    <w:p>
      <w:pPr>
        <w:pStyle w:val="Heading1"/>
      </w:pPr>
      <w:r>
        <w:t>8. Evidence State与能力画像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4200"/>
        <w:gridCol w:w="4060"/>
      </w:tblGrid>
      <w:tr>
        <w:trPr>
          <w:tblHeader w:val="true"/>
          <w:cantSplit/>
        </w:trPr>
        <w:tc>
          <w:tcPr>
            <w:tcW w:type="dxa" w:w="1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来源</w:t>
            </w:r>
          </w:p>
        </w:tc>
        <w:tc>
          <w:tcPr>
            <w:tcW w:type="dxa" w:w="4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含义</w:t>
            </w:r>
          </w:p>
        </w:tc>
        <w:tc>
          <w:tcPr>
            <w:tcW w:type="dxa" w:w="40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进入原有能力画像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RO0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教师未经提示主动提出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可以；仍受情境与证据等级限制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RO1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开放问题后独立提出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可以；仍需逐字来源和命题映射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RO2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澄清追问后补充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单列为提示后证据，不与独立证据混合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RO3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AI给出选项/观点后教师选择或认可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不可以；只记录识别或反思响应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RO4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AI讲解后复述、迁移或行动计划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不可以；只记录学习与发展候选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Canonical Evidence转换器不调用大模型，按活动记录、来源轨道、情境数、有效等级和冲突确定画像候选。可能状态包括：尚无独立证据、仅有提示后证据、仅观察到AI影响后的回应、本情境初步迹象、本情境得到支持、跨情境得到支持、证据冲突待核验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画像的最大结论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即使达到‘跨情境得到支持’，也只表示在已经访谈的多个模拟情境中得到支持，不代表稳定人格、真实课堂必然表现或正式测量结论。没有谈到某一能力，也不等于教师缺少该能力。</w:t>
            </w:r>
          </w:p>
        </w:tc>
      </w:tr>
    </w:tbl>
    <w:p>
      <w:pPr>
        <w:spacing w:after="40"/>
      </w:pPr>
    </w:p>
    <w:p>
      <w:pPr>
        <w:pStyle w:val="Heading1"/>
      </w:pPr>
      <w:r>
        <w:t>9. 延时与时间控制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当前版本将前台问话与后台Evidence分析解耦，并把模型输入由约2.6万tokens压缩到通常约1000—3000tokens。真实Kimi K3试跑中，首问约5.36秒，后续问约5.33秒；这只是链路验证，不代表所有网络和情境下的P95。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机制</w:t>
            </w:r>
          </w:p>
        </w:tc>
        <w:tc>
          <w:tcPr>
            <w:tcW w:type="dxa" w:w="4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实现</w:t>
            </w:r>
          </w:p>
        </w:tc>
        <w:tc>
          <w:tcPr>
            <w:tcW w:type="dxa" w:w="35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体验意义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前后台解耦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先显示问句，再异步分析Evidence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教师不等待证据写入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紧凑运行卡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只发送本轮相关字段和短历史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减少模型输入与排队时间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短输出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前台只生成一条回应与少量结构字段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减少生成时长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90秒收尾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剩余≤90秒显示收尾；≤105秒不再启动新前台模型调用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教师有时间完成最后想法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最后回答本地完成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保存原话、给固定感谢语、后台继续Evidence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不会为了等模型而超时</w:t>
            </w:r>
          </w:p>
        </w:tc>
      </w:tr>
    </w:tbl>
    <w:p>
      <w:pPr>
        <w:spacing w:after="40"/>
      </w:pPr>
    </w:p>
    <w:p>
      <w:pPr>
        <w:pStyle w:val="Heading1"/>
      </w:pPr>
      <w:r>
        <w:t>10. 模型、接口与错误处理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3300"/>
        <w:gridCol w:w="3460"/>
      </w:tblGrid>
      <w:tr>
        <w:trPr>
          <w:tblHeader w:val="true"/>
          <w:cantSplit/>
        </w:trPr>
        <w:tc>
          <w:tcPr>
            <w:tcW w:type="dxa" w:w="2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接口</w:t>
            </w:r>
          </w:p>
        </w:tc>
        <w:tc>
          <w:tcPr>
            <w:tcW w:type="dxa" w:w="3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用途</w:t>
            </w:r>
          </w:p>
        </w:tc>
        <w:tc>
          <w:tcPr>
            <w:tcW w:type="dxa" w:w="3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关键保护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GET /health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Dialogue Agent健康、provider/model、超时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不返回密钥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GET/POST /v1/model-config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查看配置状态、选择Kimi/OpenAI/mock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仅回环地址；密钥写本机.env且不回传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POST /v1/dialogue/first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生成首问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严格输出契约、无教师证据写入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POST /v1/dialogue/next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教师回答后的下一问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会话模型锁、引用当前原话、复问/诱导闸门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POST /v1/evidence/analyze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后台Evidence候选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不阻塞前台；候选仍需模型外校验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POST /call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本机资料、测评、遴选、草稿与访谈网关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本地owner、revision和回执语义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模型调用失败时不生成本地专业问句冒充AI。教师原话已经保存，页面暂停并允许重试；教师明确退出时由硬边界本地收束。正式访谈的provider/model在同次测评中锁定，另一标签页切换模型会返回冲突，不静默混用。</w:t>
      </w:r>
    </w:p>
    <w:p>
      <w:pPr>
        <w:pStyle w:val="Heading1"/>
      </w:pPr>
      <w:r>
        <w:t>11. 数据保存、隐私与可复现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浏览器侧保存正在使用的教师资料、测评会话、对话显示记录和Dialogue Session副本。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本机服务侧状态写入local-dialogue-server/.runtime-data/state.json；模型密钥只在local-dialogue-server/.env。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运行日志与进程记录位于.local-runtime；本地发布清单位于.local-release/release.json。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配置文件带datasetId、schemaVersion、源文件SHA-256和configFingerprint；Evidence记录同时保存政策版本和指纹。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当前版本适合本机研究试验，不等同于完成知情同意、数据保留期限、加密、删除/导出、内容安全和正式权限审计。</w:t>
      </w:r>
    </w:p>
    <w:p>
      <w:pPr>
        <w:pStyle w:val="Heading1"/>
      </w:pPr>
      <w:r>
        <w:t>12. 本机发布版如何使用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6794B"/>
                <w:sz w:val="21"/>
              </w:rPr>
              <w:t>已经完成本地发布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当前网页由生产构建的web/dist提供，不再由Vite开发服务器热更新。Dialogue Agent与网页只监听127.0.0.1；当前健康检查已确认网页发布服务与Kimi K3服务均就绪。</w:t>
            </w:r>
          </w:p>
        </w:tc>
      </w:tr>
    </w:tbl>
    <w:p>
      <w:pPr>
        <w:spacing w:after="40"/>
      </w:pP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首次发布或代码更新后：双击根目录‘发布本机版.cmd’。程序先完整验证，再重建生产网页并启动。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日常使用：双击‘启动本机比较版.cmd’，浏览器打开http://127.0.0.1:5173。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停止：双击‘停止本机比较版.cmd’，只停止经项目记录并验证的本机进程。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查看版本：打开.local-release/release.json，可看到构建时间、Git提交、数据集版本与配置指纹。</w:t>
      </w:r>
    </w:p>
    <w:p>
      <w:pPr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更换模型：在访谈首问前选择Kimi K3或OpenAI；已保存密钥时无需再次填写。</w:t>
      </w:r>
    </w:p>
    <w:p>
      <w:pPr>
        <w:pStyle w:val="Heading1"/>
      </w:pPr>
      <w:r>
        <w:t>13. 已完成验证与当前证据强度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2200"/>
        <w:gridCol w:w="5260"/>
      </w:tblGrid>
      <w:tr>
        <w:trPr>
          <w:tblHeader w:val="true"/>
          <w:cantSplit/>
        </w:trPr>
        <w:tc>
          <w:tcPr>
            <w:tcW w:type="dxa" w:w="1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验证对象</w:t>
            </w:r>
          </w:p>
        </w:tc>
        <w:tc>
          <w:tcPr>
            <w:tcW w:type="dxa" w:w="2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当前结果</w:t>
            </w:r>
          </w:p>
        </w:tc>
        <w:tc>
          <w:tcPr>
            <w:tcW w:type="dxa" w:w="52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能够证明什么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本机服务测试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32/32通过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接口、安全边界、模型配置、超时与provider锁按程序合同运行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Dialogue Agent领域测试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28/28通过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状态、Evidence、复问、硬边界、收尾与恢复符合实现合同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评分对拍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240个题目×排列一致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第一版确定性赋分未被新访谈架构改变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新五表负向夹具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10类违规均被拒绝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关键结构与权限错误能够失败关闭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报告测试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全部通过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Canonical Evidence来源分轨和画像转换保持确定性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真实Kimi链路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首问与后续问均约5.3秒且通过当前质检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当前本机链路可用；不能代替大样本质量与P95验证</w:t>
            </w:r>
          </w:p>
        </w:tc>
      </w:tr>
    </w:tbl>
    <w:p>
      <w:pPr>
        <w:spacing w:after="40"/>
      </w:pPr>
    </w:p>
    <w:p>
      <w:pPr>
        <w:pStyle w:val="Heading1"/>
      </w:pPr>
      <w:r>
        <w:t>14. 当前没有实现或尚未证明的内容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完整TCIM-RRMC尚未接入。本版只有轻量Utility State和确定性质量闸门，不能把它描述成已经具备关系—反思元控制闭环。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新五表仍为AI模拟复核、SIMULATION_ACTIVE，尚未经过真实教师与多学科专家的效度审查。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问话质量闸门只能识别部分重复与明显诱导；复杂的暗示、权力关系和文化适切性仍需真人评价。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能力画像是证据组织结果，不是经过常模、信效度和公平性验证的正式评分。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真实延时还需按模型、时段、网络和情境统计P50/P90/P95，并记录重试率和后台积压。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当前生产包较大，后续可按页面与模型配置代码分包；这影响首次加载，不直接影响单轮模型延时。</w:t>
      </w:r>
    </w:p>
    <w:p>
      <w:pPr>
        <w:pStyle w:val="Heading1"/>
      </w:pPr>
      <w:r>
        <w:t>15. 建议的下一阶段优先级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00"/>
        <w:gridCol w:w="4700"/>
        <w:gridCol w:w="3660"/>
      </w:tblGrid>
      <w:tr>
        <w:trPr>
          <w:tblHeader w:val="true"/>
          <w:cantSplit/>
        </w:trPr>
        <w:tc>
          <w:tcPr>
            <w:tcW w:type="dxa" w:w="1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优先级</w:t>
            </w:r>
          </w:p>
        </w:tc>
        <w:tc>
          <w:tcPr>
            <w:tcW w:type="dxa" w:w="47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任务</w:t>
            </w:r>
          </w:p>
        </w:tc>
        <w:tc>
          <w:tcPr>
            <w:tcW w:type="dxa" w:w="36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验收信号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P0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完成新五表三类数据治理；建立真实教师问话质量小样本；持续统计端到端延时。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运行时零高风险警告；人工一致性可报告；Kimi/OpenAI分别有P95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P1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把问话‘信息增益’做成离线/低频估计，不把固定题库搬回前台；校准画像证据等级。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更少重复、更少轮次获得更多独立证据；画像专家一致率提高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P2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在文字访谈稳定后评估流式输出、语音和完整RRMC；建立TEVV发布门。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新增能力不显著损害延时、关系质量或证据可追溯性</w:t>
            </w:r>
          </w:p>
        </w:tc>
      </w:tr>
    </w:tbl>
    <w:p>
      <w:pPr>
        <w:spacing w:after="40"/>
      </w:pPr>
    </w:p>
    <w:p>
      <w:pPr>
        <w:pStyle w:val="Heading1"/>
      </w:pPr>
      <w:r>
        <w:t>附录A：程序关键文件索引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3600"/>
        <w:gridCol w:w="4460"/>
      </w:tblGrid>
      <w:tr>
        <w:trPr>
          <w:tblHeader w:val="true"/>
          <w:cantSplit/>
        </w:trPr>
        <w:tc>
          <w:tcPr>
            <w:tcW w:type="dxa" w:w="1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领域</w:t>
            </w:r>
          </w:p>
        </w:tc>
        <w:tc>
          <w:tcPr>
            <w:tcW w:type="dxa" w:w="3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文件</w:t>
            </w:r>
          </w:p>
        </w:tc>
        <w:tc>
          <w:tcPr>
            <w:tcW w:type="dxa" w:w="4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界面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web/src/views/InterviewView.vue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访谈界面、时间、前后台调用、持久化和耗时看板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领域引擎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web/src/core/dialogue-agent/engine.js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会话、请求、Evidence提交、暂停、重试和收尾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证据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web/src/core/dialogue-agent/evidence.js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规范Evidence确定性写入、等级、冲突与修订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进展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web/src/core/dialogue-agent/progress.js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问题账本、开放线程、停滞与阶段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效用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web/src/core/dialogue-agent/utility.js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覆盖—涌现—成本的只读建议状态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画像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web/src/core/canonical-capability-profile.js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Canonical Evidence到能力画像候选的确定性转换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服务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local-dialogue-server/src/dialogue-agent.js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模型调用、重写、超时、使用量与追踪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契约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local-dialogue-server/src/schema.js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严格输出、复问、诱导和质量信号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提示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local-dialogue-server/src/prompts.js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静态卡、动态输入及非诱导原则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发布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publish-local-comparison.ps1 / local-web-server.js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验证、生产构建、版本清单和本机静态服务</w:t>
            </w:r>
          </w:p>
        </w:tc>
      </w:tr>
    </w:tbl>
    <w:p>
      <w:pPr>
        <w:spacing w:after="40"/>
      </w:pPr>
    </w:p>
    <w:p>
      <w:pPr>
        <w:pStyle w:val="Heading1"/>
      </w:pPr>
      <w:r>
        <w:t>附录B：术语的通俗解释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术语</w:t>
            </w:r>
          </w:p>
        </w:tc>
        <w:tc>
          <w:tcPr>
            <w:tcW w:type="dxa" w:w="71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通俗理解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RuntimeCard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从五张Excel中为当前情境裁出的轻量专业资料卡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Dialogue Progress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对话记事本：问过什么、还有哪些线索、是否原地打转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Evidence State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证据账本：哪些教师原话能够支持哪条专业理解，以及证据从哪里来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Canonical Evidence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通过ID、原话、来源和等级校验后正式进入系统的规范证据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Utility State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方向仪表盘：覆盖了多少、是否出现新线索、继续问的成本是否过高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TEVV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测试、评估、验证与确认：决定一种能力能否从试验进入发布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Fixture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固定的测试情境、教师回答和预期行为，用来反复检查程序是否退化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TCIM当前程序整体架构与实现分析报告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TCIM当前程序整体架构、实现机制与本机发布分析报告</dc:title>
  <dc:subject>Dialogue Agent主导、新五表、Evidence State与能力画像</dc:subject>
  <dc:creator>TCIM研究项目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