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360"/>
        <w:jc w:val="center"/>
      </w:pPr>
      <w:r>
        <w:rPr>
          <w:rFonts w:ascii="Microsoft YaHei" w:hAnsi="Microsoft YaHei" w:eastAsia="Microsoft YaHei"/>
          <w:b/>
          <w:i w:val="0"/>
          <w:color w:val="9A6700"/>
          <w:sz w:val="21"/>
        </w:rPr>
        <w:t>TCIM · 数据治理SOP</w:t>
      </w:r>
    </w:p>
    <w:p>
      <w:pPr>
        <w:pStyle w:val="Title"/>
        <w:jc w:val="center"/>
      </w:pPr>
      <w:r>
        <w:rPr>
          <w:rFonts w:ascii="Microsoft YaHei" w:hAnsi="Microsoft YaHei" w:eastAsia="Microsoft YaHei"/>
          <w:b/>
          <w:i w:val="0"/>
          <w:color w:val="183153"/>
          <w:sz w:val="56"/>
        </w:rPr>
        <w:t>新五表三类已知警告的具体情况与人工修订流程</w:t>
      </w:r>
    </w:p>
    <w:p>
      <w:pPr>
        <w:pStyle w:val="Subtitle"/>
        <w:jc w:val="center"/>
      </w:pPr>
      <w:r>
        <w:rPr>
          <w:rFonts w:ascii="Microsoft YaHei" w:hAnsi="Microsoft YaHei" w:eastAsia="Microsoft YaHei"/>
          <w:b w:val="0"/>
          <w:i w:val="0"/>
          <w:color w:val="667085"/>
          <w:sz w:val="25"/>
        </w:rPr>
        <w:t>从问题定位、人工判断、Excel修改、重新编译到兼容复验</w:t>
      </w:r>
    </w:p>
    <w:p>
      <w:pPr>
        <w:spacing w:before="360"/>
        <w:jc w:val="center"/>
      </w:pPr>
      <w:r>
        <w:rPr>
          <w:rFonts w:ascii="Microsoft YaHei" w:hAnsi="Microsoft YaHei" w:eastAsia="Microsoft YaHei"/>
          <w:b/>
          <w:i w:val="0"/>
          <w:color w:val="9B1C1C"/>
          <w:sz w:val="20"/>
        </w:rPr>
        <w:t>研究比较版 · 不等同于正式测评效度发布</w:t>
      </w:r>
    </w:p>
    <w:p>
      <w:pPr>
        <w:spacing w:before="2200"/>
        <w:jc w:val="center"/>
      </w:pPr>
      <w:r>
        <w:rPr>
          <w:rFonts w:ascii="Microsoft YaHei" w:hAnsi="Microsoft YaHei" w:eastAsia="Microsoft YaHei"/>
          <w:b/>
          <w:i w:val="0"/>
          <w:color w:val="183153"/>
          <w:sz w:val="20"/>
        </w:rPr>
        <w:t>版本：</w:t>
      </w: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V0.1</w:t>
        <w:br/>
      </w:r>
      <w:r>
        <w:rPr>
          <w:rFonts w:ascii="Microsoft YaHei" w:hAnsi="Microsoft YaHei" w:eastAsia="Microsoft YaHei"/>
          <w:b/>
          <w:i w:val="0"/>
          <w:color w:val="183153"/>
          <w:sz w:val="20"/>
        </w:rPr>
        <w:t>日期：</w:t>
      </w: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2026年8月30日</w:t>
        <w:br/>
      </w:r>
      <w:r>
        <w:rPr>
          <w:rFonts w:ascii="Microsoft YaHei" w:hAnsi="Microsoft YaHei" w:eastAsia="Microsoft YaHei"/>
          <w:b/>
          <w:i w:val="0"/>
          <w:color w:val="183153"/>
          <w:sz w:val="20"/>
        </w:rPr>
        <w:t>适用对象：</w:t>
      </w: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研究负责人、专业复核人员、数据管理员、程序员</w:t>
        <w:br/>
      </w:r>
    </w:p>
    <w:p>
      <w:r>
        <w:br w:type="page"/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FFF7E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9A6700"/>
                <w:sz w:val="21"/>
              </w:rPr>
              <w:t>结论先行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20"/>
              </w:rPr>
              <w:t>当前三类警告不会阻断模拟程序运行，但会削弱Ontology父子图、Evidence到专业路径的解释链，并可能把监测政策按错误频率加载。建议按‘21条路由错配 → 59条父引用 → 50条证据路径’的顺序修订；5条RO来源政策不应强行补路径，而应显式标为不适用。</w:t>
            </w:r>
          </w:p>
        </w:tc>
      </w:tr>
    </w:tbl>
    <w:p>
      <w:pPr>
        <w:spacing w:after="40"/>
      </w:pPr>
    </w:p>
    <w:p>
      <w:pPr>
        <w:pStyle w:val="Heading1"/>
      </w:pPr>
      <w:r>
        <w:t>阅读导航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第2章解释为什么当前能跑，但不能把警告忽略。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第3—5章逐项说明59、21、55条记录及人工做法。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第6章给出统一的Excel修改—复核—编译—测试流程。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第7章给研究负责人、专业复核者和程序员分配交付责任。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附录提供逐条清单和可直接使用的人工复核表字段。</w:t>
      </w:r>
    </w:p>
    <w:p>
      <w:pPr>
        <w:pStyle w:val="Heading1"/>
      </w:pPr>
      <w:r>
        <w:t>1. 数据范围与警告来源</w:t>
      </w:r>
    </w:p>
    <w:p>
      <w:pPr>
        <w:keepLines w:val="0"/>
      </w:pPr>
      <w:r>
        <w:rPr>
          <w:rFonts w:ascii="Microsoft YaHei" w:hAnsi="Microsoft YaHei" w:eastAsia="Microsoft YaHei"/>
          <w:b w:val="0"/>
          <w:i w:val="0"/>
          <w:color w:val="243247"/>
          <w:sz w:val="21"/>
        </w:rPr>
        <w:t>五个Excel是当前比较版的唯一运行源副本，程序实际读取编译后的JSON。验证器把确定会破坏运行合同的问题列为error并失败关闭，把尚能运行但可能影响专业含义或路由的问题列为warning。当前error为0，warning为三类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500"/>
        <w:gridCol w:w="900"/>
        <w:gridCol w:w="1300"/>
        <w:gridCol w:w="4660"/>
      </w:tblGrid>
      <w:tr>
        <w:trPr>
          <w:tblHeader w:val="true"/>
          <w:cantSplit/>
        </w:trPr>
        <w:tc>
          <w:tcPr>
            <w:tcW w:type="dxa" w:w="25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警告</w:t>
            </w:r>
          </w:p>
        </w:tc>
        <w:tc>
          <w:tcPr>
            <w:tcW w:type="dxa" w:w="9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数量</w:t>
            </w:r>
          </w:p>
        </w:tc>
        <w:tc>
          <w:tcPr>
            <w:tcW w:type="dxa" w:w="13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所在表</w:t>
            </w:r>
          </w:p>
        </w:tc>
        <w:tc>
          <w:tcPr>
            <w:tcW w:type="dxa" w:w="466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当前影响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父级能力标签未解析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59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表2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父子Ontology图不完整；当前画像用能力前缀归并，主链仍可运行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type/runtimeUse不一致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21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表4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可能把可供性当监测或把监测当每轮可供性，改变加载频率和角色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Evidence缺少pathRefs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55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表3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证据能关联能力，但不能说明体现了表2的哪条可接受路径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2E5AAC"/>
                <w:sz w:val="21"/>
              </w:rPr>
              <w:t>不能以‘程序能跑’代替‘数据正确’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20"/>
              </w:rPr>
              <w:t>程序当前对这些字段采用了保守策略：父标签不做硬路由、AFFORDANCE/MONITOR只作软信息、Evidence仍按claim与原话校验。因此没有立即崩溃。但当未来接入完整RRMC、路径级画像或自动加载优化时，这些警告会转化为真实路由错误。</w:t>
            </w:r>
          </w:p>
        </w:tc>
      </w:tr>
    </w:tbl>
    <w:p>
      <w:pPr>
        <w:spacing w:after="40"/>
      </w:pPr>
    </w:p>
    <w:p>
      <w:pPr>
        <w:pStyle w:val="Heading1"/>
      </w:pPr>
      <w:r>
        <w:t>2. 建议的治理顺序与总体原则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850"/>
        <w:gridCol w:w="3000"/>
        <w:gridCol w:w="5510"/>
      </w:tblGrid>
      <w:tr>
        <w:trPr>
          <w:tblHeader w:val="true"/>
          <w:cantSplit/>
        </w:trPr>
        <w:tc>
          <w:tcPr>
            <w:tcW w:type="dxa" w:w="85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8"/>
              </w:rPr>
              <w:t>顺序</w:t>
            </w:r>
          </w:p>
        </w:tc>
        <w:tc>
          <w:tcPr>
            <w:tcW w:type="dxa" w:w="30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8"/>
              </w:rPr>
              <w:t>工作</w:t>
            </w:r>
          </w:p>
        </w:tc>
        <w:tc>
          <w:tcPr>
            <w:tcW w:type="dxa" w:w="551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第一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修订21条表4路由错配</w:t>
            </w:r>
          </w:p>
        </w:tc>
        <w:tc>
          <w:tcPr>
            <w:tcW w:type="dxa" w:w="5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判断最清楚、修改量最小、直接关系每轮/低频加载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第二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归一59条表2父能力引用</w:t>
            </w:r>
          </w:p>
        </w:tc>
        <w:tc>
          <w:tcPr>
            <w:tcW w:type="dxa" w:w="5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多数可由标签前缀映射，但必须人工确认含义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第三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处理表3的55条pathRefs</w:t>
            </w:r>
          </w:p>
        </w:tc>
        <w:tc>
          <w:tcPr>
            <w:tcW w:type="dxa" w:w="5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需要专业判断；其中50条需逐条映射，5条应显式N/A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第四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重新编译并跑Fixture/Replay</w:t>
            </w:r>
          </w:p>
        </w:tc>
        <w:tc>
          <w:tcPr>
            <w:tcW w:type="dxa" w:w="5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任何Excel修改都必须产生新指纹并检查旧会话兼容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不要直接修改编译后的JSON作为长期方案。源Excel是人工治理入口，JSON必须重新生成。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不要为了让警告归零而机械填满字段。每条关联必须能用专业理由解释。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一名专业复核者提出修改，另一名复核者独立检查；程序员不替专业人员决定能力关系。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每次修改都保留旧版本、变更记录、复核人、日期、理由和新配置指纹。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本轮只做数据治理，不改变第一版评分、十题题干、专家赋分或三题遴选算法。</w:t>
      </w:r>
    </w:p>
    <w:p>
      <w:pPr>
        <w:pStyle w:val="Heading1"/>
      </w:pPr>
      <w:r>
        <w:t>3. 警告一：59个parentCapabilityIds未解析</w:t>
      </w:r>
    </w:p>
    <w:p>
      <w:pPr>
        <w:keepLines w:val="0"/>
      </w:pPr>
      <w:r>
        <w:rPr>
          <w:rFonts w:ascii="Microsoft YaHei" w:hAnsi="Microsoft YaHei" w:eastAsia="Microsoft YaHei"/>
          <w:b w:val="0"/>
          <w:i w:val="0"/>
          <w:color w:val="243247"/>
          <w:sz w:val="21"/>
        </w:rPr>
        <w:t>表2同时包含全局能力C01—C12和每题的情境能力/路径。Q01—Q05的parent_concept_ids写成了‘C02_理解游戏意图与进程’一类带中文说明的标签，而全局正式ID只有C02；Q06—Q10已经使用C01、C04等正式ID。验证器把前者视为不存在的父节点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800"/>
        <w:gridCol w:w="1300"/>
        <w:gridCol w:w="1000"/>
        <w:gridCol w:w="3260"/>
      </w:tblGrid>
      <w:tr>
        <w:trPr>
          <w:tblHeader w:val="true"/>
          <w:cantSplit/>
        </w:trPr>
        <w:tc>
          <w:tcPr>
            <w:tcW w:type="dxa" w:w="38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6"/>
              </w:rPr>
              <w:t>当前标签</w:t>
            </w:r>
          </w:p>
        </w:tc>
        <w:tc>
          <w:tcPr>
            <w:tcW w:type="dxa" w:w="13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6"/>
              </w:rPr>
              <w:t>建议父ID</w:t>
            </w:r>
          </w:p>
        </w:tc>
        <w:tc>
          <w:tcPr>
            <w:tcW w:type="dxa" w:w="10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6"/>
              </w:rPr>
              <w:t>出现次数</w:t>
            </w:r>
          </w:p>
        </w:tc>
        <w:tc>
          <w:tcPr>
            <w:tcW w:type="dxa" w:w="326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6"/>
              </w:rPr>
              <w:t>人工动作</w:t>
            </w:r>
          </w:p>
        </w:tc>
      </w:tr>
      <w:tr>
        <w:trPr>
          <w:cantSplit/>
        </w:trPr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C11_现实压力与价值张力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C11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10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需核对后替换为正式全局ID</w:t>
            </w:r>
          </w:p>
        </w:tc>
      </w:tr>
      <w:tr>
        <w:trPr>
          <w:cantSplit/>
        </w:trPr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C06_选择支架方式与剂量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C06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8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需核对后替换为正式全局ID</w:t>
            </w:r>
          </w:p>
        </w:tc>
      </w:tr>
      <w:tr>
        <w:trPr>
          <w:cantSplit/>
        </w:trPr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C07_调节材料空间与同伴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C07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7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需核对后替换为正式全局ID</w:t>
            </w:r>
          </w:p>
        </w:tc>
      </w:tr>
      <w:tr>
        <w:trPr>
          <w:cantSplit/>
        </w:trPr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C05_判断介入时机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C05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6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需核对后替换为正式全局ID</w:t>
            </w:r>
          </w:p>
        </w:tc>
      </w:tr>
      <w:tr>
        <w:trPr>
          <w:cantSplit/>
        </w:trPr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C03_区分事实与解释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C03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6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需核对后替换为正式全局ID</w:t>
            </w:r>
          </w:p>
        </w:tc>
      </w:tr>
      <w:tr>
        <w:trPr>
          <w:cantSplit/>
        </w:trPr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C01_观察儿童线索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C01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6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需核对后替换为正式全局ID</w:t>
            </w:r>
          </w:p>
        </w:tc>
      </w:tr>
      <w:tr>
        <w:trPr>
          <w:cantSplit/>
        </w:trPr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C04_生成并比较解释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C04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6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需核对后替换为正式全局ID</w:t>
            </w:r>
          </w:p>
        </w:tc>
      </w:tr>
      <w:tr>
        <w:trPr>
          <w:cantSplit/>
        </w:trPr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C02_理解游戏意图与进程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C02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4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需核对后替换为正式全局ID</w:t>
            </w:r>
          </w:p>
        </w:tc>
      </w:tr>
      <w:tr>
        <w:trPr>
          <w:cantSplit/>
        </w:trPr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C10_迭代调整与退出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C10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2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需核对后替换为正式全局ID</w:t>
            </w:r>
          </w:p>
        </w:tc>
      </w:tr>
      <w:tr>
        <w:trPr>
          <w:cantSplit/>
        </w:trPr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C08_回应差异与包容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C08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2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需核对后替换为正式全局ID</w:t>
            </w:r>
          </w:p>
        </w:tc>
      </w:tr>
      <w:tr>
        <w:trPr>
          <w:cantSplit/>
        </w:trPr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C12_反思迁移与自我校准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C12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2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需核对后替换为正式全局ID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Microsoft YaHei" w:hAnsi="Microsoft YaHei" w:eastAsia="Microsoft YaHei"/>
          <w:b w:val="0"/>
          <w:i w:val="0"/>
          <w:color w:val="243247"/>
          <w:sz w:val="21"/>
        </w:rPr>
        <w:t>受影响范围：Q01 10处；Q02 12处；Q03 13处；Q04 12处；Q05 12处。Q06—Q10没有此类未解析父引用。</w:t>
      </w:r>
    </w:p>
    <w:p>
      <w:pPr>
        <w:pStyle w:val="Heading2"/>
      </w:pPr>
      <w:r>
        <w:t>3.1 人工怎么做</w:t>
      </w:r>
    </w:p>
    <w:p>
      <w:pPr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打开表2 DATA页，筛选question_id=Q01—Q05，并筛选parent_concept_ids中包含下划线和中文说明的记录。</w:t>
      </w:r>
    </w:p>
    <w:p>
      <w:pPr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同时查看表2的ALL全局能力行，核对标签前缀C01—C12及正式定义；不能只按编号替换而不看定义。</w:t>
      </w:r>
    </w:p>
    <w:p>
      <w:pPr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在人工复核表记录：record_id、capability_concept_id、当前父标签、建议父ID、能力定义一致性、复核理由。</w:t>
      </w:r>
    </w:p>
    <w:p>
      <w:pPr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两名复核者都确认后，将Excel中的父值替换为C01—C12正式ID；多父节点继续用原分隔方式并去重保序。</w:t>
      </w:r>
    </w:p>
    <w:p>
      <w:pPr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运行跨表校验：所有非空parent_concept_ids必须存在于表2 capability_concept_id；禁止编译器靠字符串前缀猜。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2E5AAC"/>
                <w:sz w:val="21"/>
              </w:rPr>
              <w:t>示例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20"/>
              </w:rPr>
              <w:t>Q01的C02-Q01-PLAY-FRAME当前父标签为C02_理解游戏意图与进程。人工应比较它的定义‘识别自主生成的玩水游戏框架’与全局C02‘游戏意义与儿童意图理解’，确认一致后替换为C02；记录‘语义一致，去除描述后缀，未改变能力含义’。</w:t>
            </w:r>
          </w:p>
        </w:tc>
      </w:tr>
    </w:tbl>
    <w:p>
      <w:pPr>
        <w:spacing w:after="40"/>
      </w:pPr>
    </w:p>
    <w:p>
      <w:pPr>
        <w:pStyle w:val="Heading2"/>
      </w:pPr>
      <w:r>
        <w:t>3.2 验收标准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未解析父引用数量从59降为0。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每个情境能力至少有一个合理的全局父能力；多父关系有明确理由。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没有把情境能力ID误写成父ID，也没有把中文能力名当稳定ID。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旧record_id、path_id、capability_concept_id不随此次修订改变，避免无意义兼容破坏。</w:t>
      </w:r>
    </w:p>
    <w:p>
      <w:pPr>
        <w:pStyle w:val="Heading1"/>
      </w:pPr>
      <w:r>
        <w:t>4. 警告二：21条policy_type与runtime_use不一致</w:t>
      </w:r>
    </w:p>
    <w:p>
      <w:pPr>
        <w:keepLines w:val="0"/>
      </w:pPr>
      <w:r>
        <w:rPr>
          <w:rFonts w:ascii="Microsoft YaHei" w:hAnsi="Microsoft YaHei" w:eastAsia="Microsoft YaHei"/>
          <w:b w:val="0"/>
          <w:i w:val="0"/>
          <w:color w:val="243247"/>
          <w:sz w:val="21"/>
        </w:rPr>
        <w:t>表4的policy_type表达政策在专业上的类别，runtime_use决定编译器把它加载成哪种卡。两者错配时，即使内容不变，程序也可能按错误频率和位置加载。当前包括6条AFFORDANCE被写成MONITOR_CARD，以及15条MONITOR被写成AFFORDANCE_CARD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720"/>
        <w:gridCol w:w="2940"/>
        <w:gridCol w:w="1300"/>
        <w:gridCol w:w="2100"/>
        <w:gridCol w:w="2300"/>
      </w:tblGrid>
      <w:tr>
        <w:trPr>
          <w:tblHeader w:val="true"/>
          <w:cantSplit/>
        </w:trPr>
        <w:tc>
          <w:tcPr>
            <w:tcW w:type="dxa" w:w="72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5"/>
              </w:rPr>
              <w:t>范围</w:t>
            </w:r>
          </w:p>
        </w:tc>
        <w:tc>
          <w:tcPr>
            <w:tcW w:type="dxa" w:w="294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5"/>
              </w:rPr>
              <w:t>policyId</w:t>
            </w:r>
          </w:p>
        </w:tc>
        <w:tc>
          <w:tcPr>
            <w:tcW w:type="dxa" w:w="13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5"/>
              </w:rPr>
              <w:t>type</w:t>
            </w:r>
          </w:p>
        </w:tc>
        <w:tc>
          <w:tcPr>
            <w:tcW w:type="dxa" w:w="21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5"/>
              </w:rPr>
              <w:t>当前runtimeUse</w:t>
            </w:r>
          </w:p>
        </w:tc>
        <w:tc>
          <w:tcPr>
            <w:tcW w:type="dxa" w:w="23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5"/>
              </w:rPr>
              <w:t>建议runtimeUse</w:t>
            </w:r>
          </w:p>
        </w:tc>
      </w:tr>
      <w:tr>
        <w:trPr>
          <w:cantSplit/>
        </w:trP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ALL</w:t>
            </w:r>
          </w:p>
        </w:tc>
        <w:tc>
          <w:tcPr>
            <w:tcW w:type="dxa" w:w="2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T4G-AFF-001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AFFORDANCE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MONITOR_CARD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AFFORDANCE_CARD</w:t>
            </w:r>
          </w:p>
        </w:tc>
      </w:tr>
      <w:tr>
        <w:trPr>
          <w:cantSplit/>
        </w:trP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ALL</w:t>
            </w:r>
          </w:p>
        </w:tc>
        <w:tc>
          <w:tcPr>
            <w:tcW w:type="dxa" w:w="2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T4G-AFF-002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AFFORDANCE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MONITOR_CARD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AFFORDANCE_CARD</w:t>
            </w:r>
          </w:p>
        </w:tc>
      </w:tr>
      <w:tr>
        <w:trPr>
          <w:cantSplit/>
        </w:trP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ALL</w:t>
            </w:r>
          </w:p>
        </w:tc>
        <w:tc>
          <w:tcPr>
            <w:tcW w:type="dxa" w:w="2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T4G-AFF-003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AFFORDANCE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MONITOR_CARD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AFFORDANCE_CARD</w:t>
            </w:r>
          </w:p>
        </w:tc>
      </w:tr>
      <w:tr>
        <w:trPr>
          <w:cantSplit/>
        </w:trP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ALL</w:t>
            </w:r>
          </w:p>
        </w:tc>
        <w:tc>
          <w:tcPr>
            <w:tcW w:type="dxa" w:w="2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T4G-AFF-004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AFFORDANCE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MONITOR_CARD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AFFORDANCE_CARD</w:t>
            </w:r>
          </w:p>
        </w:tc>
      </w:tr>
      <w:tr>
        <w:trPr>
          <w:cantSplit/>
        </w:trP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ALL</w:t>
            </w:r>
          </w:p>
        </w:tc>
        <w:tc>
          <w:tcPr>
            <w:tcW w:type="dxa" w:w="2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T4G-AFF-005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AFFORDANCE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MONITOR_CARD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AFFORDANCE_CARD</w:t>
            </w:r>
          </w:p>
        </w:tc>
      </w:tr>
      <w:tr>
        <w:trPr>
          <w:cantSplit/>
        </w:trP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ALL</w:t>
            </w:r>
          </w:p>
        </w:tc>
        <w:tc>
          <w:tcPr>
            <w:tcW w:type="dxa" w:w="2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T4G-AFF-006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AFFORDANCE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MONITOR_CARD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AFFORDANCE_CARD</w:t>
            </w:r>
          </w:p>
        </w:tc>
      </w:tr>
      <w:tr>
        <w:trPr>
          <w:cantSplit/>
        </w:trP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Q01</w:t>
            </w:r>
          </w:p>
        </w:tc>
        <w:tc>
          <w:tcPr>
            <w:tcW w:type="dxa" w:w="2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DP-Q01-MONITOR-MISSION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MONITOR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AFFORDANCE_CARD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MONITOR_CARD</w:t>
            </w:r>
          </w:p>
        </w:tc>
      </w:tr>
      <w:tr>
        <w:trPr>
          <w:cantSplit/>
        </w:trP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Q01</w:t>
            </w:r>
          </w:p>
        </w:tc>
        <w:tc>
          <w:tcPr>
            <w:tcW w:type="dxa" w:w="2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DP-Q01-MONITOR-INDUCTION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MONITOR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AFFORDANCE_CARD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MONITOR_CARD</w:t>
            </w:r>
          </w:p>
        </w:tc>
      </w:tr>
      <w:tr>
        <w:trPr>
          <w:cantSplit/>
        </w:trP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Q02</w:t>
            </w:r>
          </w:p>
        </w:tc>
        <w:tc>
          <w:tcPr>
            <w:tcW w:type="dxa" w:w="2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DP-Q02-MONITOR-EVIDENCE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MONITOR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AFFORDANCE_CARD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MONITOR_CARD</w:t>
            </w:r>
          </w:p>
        </w:tc>
      </w:tr>
      <w:tr>
        <w:trPr>
          <w:cantSplit/>
        </w:trP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Q02</w:t>
            </w:r>
          </w:p>
        </w:tc>
        <w:tc>
          <w:tcPr>
            <w:tcW w:type="dxa" w:w="2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DP-Q02-MONITOR-RELATION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MONITOR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AFFORDANCE_CARD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MONITOR_CARD</w:t>
            </w:r>
          </w:p>
        </w:tc>
      </w:tr>
      <w:tr>
        <w:trPr>
          <w:cantSplit/>
        </w:trP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Q03</w:t>
            </w:r>
          </w:p>
        </w:tc>
        <w:tc>
          <w:tcPr>
            <w:tcW w:type="dxa" w:w="2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DP-Q03-MONITOR-TIME-FIXATION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MONITOR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AFFORDANCE_CARD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MONITOR_CARD</w:t>
            </w:r>
          </w:p>
        </w:tc>
      </w:tr>
      <w:tr>
        <w:trPr>
          <w:cantSplit/>
        </w:trP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Q03</w:t>
            </w:r>
          </w:p>
        </w:tc>
        <w:tc>
          <w:tcPr>
            <w:tcW w:type="dxa" w:w="2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DP-Q03-MONITOR-FAIRNESS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MONITOR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AFFORDANCE_CARD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MONITOR_CARD</w:t>
            </w:r>
          </w:p>
        </w:tc>
      </w:tr>
      <w:tr>
        <w:trPr>
          <w:cantSplit/>
        </w:trP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Q04</w:t>
            </w:r>
          </w:p>
        </w:tc>
        <w:tc>
          <w:tcPr>
            <w:tcW w:type="dxa" w:w="2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DP-Q04-MONITOR-ONE-SIDED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MONITOR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AFFORDANCE_CARD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MONITOR_CARD</w:t>
            </w:r>
          </w:p>
        </w:tc>
      </w:tr>
      <w:tr>
        <w:trPr>
          <w:cantSplit/>
        </w:trP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Q04</w:t>
            </w:r>
          </w:p>
        </w:tc>
        <w:tc>
          <w:tcPr>
            <w:tcW w:type="dxa" w:w="2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DP-Q04-MONITOR-CONTROL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MONITOR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AFFORDANCE_CARD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MONITOR_CARD</w:t>
            </w:r>
          </w:p>
        </w:tc>
      </w:tr>
      <w:tr>
        <w:trPr>
          <w:cantSplit/>
        </w:trP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Q05</w:t>
            </w:r>
          </w:p>
        </w:tc>
        <w:tc>
          <w:tcPr>
            <w:tcW w:type="dxa" w:w="2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DP-Q05-MONITOR-MORALIZE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MONITOR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AFFORDANCE_CARD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MONITOR_CARD</w:t>
            </w:r>
          </w:p>
        </w:tc>
      </w:tr>
      <w:tr>
        <w:trPr>
          <w:cantSplit/>
        </w:trP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Q05</w:t>
            </w:r>
          </w:p>
        </w:tc>
        <w:tc>
          <w:tcPr>
            <w:tcW w:type="dxa" w:w="2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DP-Q05-MONITOR-INDUCTION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MONITOR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AFFORDANCE_CARD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MONITOR_CARD</w:t>
            </w:r>
          </w:p>
        </w:tc>
      </w:tr>
      <w:tr>
        <w:trPr>
          <w:cantSplit/>
        </w:trP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Q06</w:t>
            </w:r>
          </w:p>
        </w:tc>
        <w:tc>
          <w:tcPr>
            <w:tcW w:type="dxa" w:w="2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Q06-T4-003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MONITOR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AFFORDANCE_CARD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MONITOR_CARD</w:t>
            </w:r>
          </w:p>
        </w:tc>
      </w:tr>
      <w:tr>
        <w:trPr>
          <w:cantSplit/>
        </w:trP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Q07</w:t>
            </w:r>
          </w:p>
        </w:tc>
        <w:tc>
          <w:tcPr>
            <w:tcW w:type="dxa" w:w="2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Q07-T4-003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MONITOR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AFFORDANCE_CARD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MONITOR_CARD</w:t>
            </w:r>
          </w:p>
        </w:tc>
      </w:tr>
      <w:tr>
        <w:trPr>
          <w:cantSplit/>
        </w:trP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Q08</w:t>
            </w:r>
          </w:p>
        </w:tc>
        <w:tc>
          <w:tcPr>
            <w:tcW w:type="dxa" w:w="2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Q08-T4-003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MONITOR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AFFORDANCE_CARD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MONITOR_CARD</w:t>
            </w:r>
          </w:p>
        </w:tc>
      </w:tr>
      <w:tr>
        <w:trPr>
          <w:cantSplit/>
        </w:trP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Q09</w:t>
            </w:r>
          </w:p>
        </w:tc>
        <w:tc>
          <w:tcPr>
            <w:tcW w:type="dxa" w:w="2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Q09-T4-003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MONITOR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AFFORDANCE_CARD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MONITOR_CARD</w:t>
            </w:r>
          </w:p>
        </w:tc>
      </w:tr>
      <w:tr>
        <w:trPr>
          <w:cantSplit/>
        </w:trP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Q10</w:t>
            </w:r>
          </w:p>
        </w:tc>
        <w:tc>
          <w:tcPr>
            <w:tcW w:type="dxa" w:w="2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Q10-T4-003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MONITOR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AFFORDANCE_CARD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MONITOR_CARD</w:t>
            </w:r>
          </w:p>
        </w:tc>
      </w:tr>
    </w:tbl>
    <w:p>
      <w:pPr>
        <w:spacing w:after="40"/>
      </w:pPr>
    </w:p>
    <w:p>
      <w:pPr>
        <w:pStyle w:val="Heading2"/>
      </w:pPr>
      <w:r>
        <w:t>4.1 推荐的逐条判断规则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100"/>
        <w:gridCol w:w="1400"/>
        <w:gridCol w:w="2200"/>
        <w:gridCol w:w="2660"/>
      </w:tblGrid>
      <w:tr>
        <w:trPr>
          <w:tblHeader w:val="true"/>
          <w:cantSplit/>
        </w:trPr>
        <w:tc>
          <w:tcPr>
            <w:tcW w:type="dxa" w:w="31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6"/>
              </w:rPr>
              <w:t>如果政策的核心作用是……</w:t>
            </w:r>
          </w:p>
        </w:tc>
        <w:tc>
          <w:tcPr>
            <w:tcW w:type="dxa" w:w="14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6"/>
              </w:rPr>
              <w:t>应使用type</w:t>
            </w:r>
          </w:p>
        </w:tc>
        <w:tc>
          <w:tcPr>
            <w:tcW w:type="dxa" w:w="22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6"/>
              </w:rPr>
              <w:t>应使用runtimeUse</w:t>
            </w:r>
          </w:p>
        </w:tc>
        <w:tc>
          <w:tcPr>
            <w:tcW w:type="dxa" w:w="266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6"/>
              </w:rPr>
              <w:t>典型特征</w:t>
            </w:r>
          </w:p>
        </w:tc>
      </w:tr>
      <w:tr>
        <w:trPr>
          <w:cantSplit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给Dialogue Agent可选择的探询姿态或方向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AFFORDANCE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AFFORDANCE_CARD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agentMayDecline通常为true；按当前话语需要选择</w:t>
            </w:r>
          </w:p>
        </w:tc>
      </w:tr>
      <w:tr>
        <w:trPr>
          <w:cantSplit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观察重复、诱导、关系质量、认知负担或停滞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MONITOR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MONITOR_CARD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有eventTriggers/periodicInterval/expirationTurns；低频或事件触发</w:t>
            </w:r>
          </w:p>
        </w:tc>
      </w:tr>
      <w:tr>
        <w:trPr>
          <w:cantSplit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绝对禁止泄露、越权、隐私、危险或多问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HARD_BOUNDARY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HARD_BOUNDARY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constraintLevel=HARD；不可由模型拒绝</w:t>
            </w:r>
          </w:p>
        </w:tc>
      </w:tr>
      <w:tr>
        <w:trPr>
          <w:cantSplit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限定编译和开放性基线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COMPILATION_BOUNDARY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COMPILER_BOUNDARY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主要在会话/编译期使用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Microsoft YaHei" w:hAnsi="Microsoft YaHei" w:eastAsia="Microsoft YaHei"/>
          <w:b w:val="0"/>
          <w:i w:val="0"/>
          <w:color w:val="243247"/>
          <w:sz w:val="21"/>
        </w:rPr>
        <w:t>从当前ID和字段看，最可能的最小修订是：6条T4G-AFF-001—006将runtime_use改为AFFORDANCE_CARD；15条名称含MONITOR的题目政策将runtime_use改为MONITOR_CARD。原则上不需要改变policy_type、policyId或正文。但人工必须查看trigger、event、periodic和agentMayDecline后确认，不能只按名称批量改。</w:t>
      </w:r>
    </w:p>
    <w:p>
      <w:pPr>
        <w:pStyle w:val="Heading2"/>
      </w:pPr>
      <w:r>
        <w:t>4.2 人工怎么做</w:t>
      </w:r>
    </w:p>
    <w:p>
      <w:pPr>
        <w:numPr>
          <w:ilvl w:val="0"/>
          <w:numId w:val="13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在表4 DATA页筛选上述21个dialogue_policy_id，导出到‘路由错配复核表’。</w:t>
      </w:r>
    </w:p>
    <w:p>
      <w:pPr>
        <w:numPr>
          <w:ilvl w:val="0"/>
          <w:numId w:val="13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逐条阅读policy_name、trigger_conditions、event_triggers、periodic_interval、expiration_turns、agent_may_decline和constraint_level。</w:t>
      </w:r>
    </w:p>
    <w:p>
      <w:pPr>
        <w:numPr>
          <w:ilvl w:val="0"/>
          <w:numId w:val="13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先回答一个问题：它是在给Dialogue Agent一个可选方向，还是在监测对话是否需要修复？</w:t>
      </w:r>
    </w:p>
    <w:p>
      <w:pPr>
        <w:numPr>
          <w:ilvl w:val="0"/>
          <w:numId w:val="13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填写建议runtime_use、判断理由、是否改变触发频率、是否影响当前Fixture。</w:t>
      </w:r>
    </w:p>
    <w:p>
      <w:pPr>
        <w:numPr>
          <w:ilvl w:val="0"/>
          <w:numId w:val="13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第二复核者确认后修改Excel；程序员重新编译并验证type→runtimeUse允许矩阵。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FD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9B1C1C"/>
                <w:sz w:val="21"/>
              </w:rPr>
              <w:t>不要修改成硬边界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20"/>
              </w:rPr>
              <w:t>这些21条当前都是AFFORDANCE或MONITOR。即使某条内容很重要，也不能为了‘加强控制’随意改成HARD_BOUNDARY；硬边界必须有明确禁止动作、HARD强度和独立安全/权限理由。</w:t>
            </w:r>
          </w:p>
        </w:tc>
      </w:tr>
    </w:tbl>
    <w:p>
      <w:pPr>
        <w:spacing w:after="40"/>
      </w:pPr>
    </w:p>
    <w:p>
      <w:pPr>
        <w:pStyle w:val="Heading1"/>
      </w:pPr>
      <w:r>
        <w:t>5. 警告三：55条证据政策没有pathRefs</w:t>
      </w:r>
    </w:p>
    <w:p>
      <w:pPr>
        <w:keepLines w:val="0"/>
      </w:pPr>
      <w:r>
        <w:rPr>
          <w:rFonts w:ascii="Microsoft YaHei" w:hAnsi="Microsoft YaHei" w:eastAsia="Microsoft YaHei"/>
          <w:b w:val="0"/>
          <w:i w:val="0"/>
          <w:color w:val="243247"/>
          <w:sz w:val="21"/>
        </w:rPr>
        <w:t>path_refs用于说明表3某条证据命题能够由表2哪些专业实现路径体现。当前55条全部为空，所以系统只能说‘这段原话与某能力命题有关’，不能说明教师采用了哪一种可接受路径，也无法在画像中呈现多路径差异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AF7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16794B"/>
                <w:sz w:val="21"/>
              </w:rPr>
              <w:t>先把55条拆成5+50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20"/>
              </w:rPr>
              <w:t>ALL范围的5条是RO0—RO4来源政策，作用是定义回答来源，而不是描述专业能力路径。它们应显式标记path_refs不适用。Q01—Q10每题5条、共50条才是EvidenceAnchor，应逐条关联路径或明确声明capability-only。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200"/>
        <w:gridCol w:w="1100"/>
        <w:gridCol w:w="7060"/>
      </w:tblGrid>
      <w:tr>
        <w:trPr>
          <w:tblHeader w:val="true"/>
          <w:cantSplit/>
        </w:trPr>
        <w:tc>
          <w:tcPr>
            <w:tcW w:type="dxa" w:w="12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8"/>
              </w:rPr>
              <w:t>范围</w:t>
            </w:r>
          </w:p>
        </w:tc>
        <w:tc>
          <w:tcPr>
            <w:tcW w:type="dxa" w:w="11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8"/>
              </w:rPr>
              <w:t>数量</w:t>
            </w:r>
          </w:p>
        </w:tc>
        <w:tc>
          <w:tcPr>
            <w:tcW w:type="dxa" w:w="706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8"/>
              </w:rPr>
              <w:t>推荐处理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ALL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5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RO来源政策：显式N/A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Q01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5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逐条人工映射表2 path_id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Q02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5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逐条人工映射表2 path_id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Q03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5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逐条人工映射表2 path_id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Q04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5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逐条人工映射表2 path_id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Q05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5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逐条人工映射表2 path_id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Q06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5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逐条人工映射表2 path_id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Q07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5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逐条人工映射表2 path_id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Q08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5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逐条人工映射表2 path_id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Q09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5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逐条人工映射表2 path_id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Q10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5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逐条人工映射表2 path_id</w:t>
            </w:r>
          </w:p>
        </w:tc>
      </w:tr>
    </w:tbl>
    <w:p>
      <w:pPr>
        <w:spacing w:after="40"/>
      </w:pPr>
    </w:p>
    <w:p>
      <w:pPr>
        <w:pStyle w:val="Heading2"/>
      </w:pPr>
      <w:r>
        <w:t>5.1 需要增加的字段语义</w:t>
      </w:r>
    </w:p>
    <w:p>
      <w:pPr>
        <w:keepLines w:val="0"/>
      </w:pPr>
      <w:r>
        <w:rPr>
          <w:rFonts w:ascii="Microsoft YaHei" w:hAnsi="Microsoft YaHei" w:eastAsia="Microsoft YaHei"/>
          <w:b w:val="0"/>
          <w:i w:val="0"/>
          <w:color w:val="243247"/>
          <w:sz w:val="21"/>
        </w:rPr>
        <w:t>为了避免强行填路径，建议在表3和编译合同中新增一种明确表示：path_relation_mode=PATH_BOUND、CAPABILITY_ONLY或NOT_APPLICABLE，并增加path_relation_reason。若暂不改表结构，至少在uncertainty_note/decision_basis中记录同等信息，并让验证器按claim_type区别处理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500"/>
        <w:gridCol w:w="2600"/>
        <w:gridCol w:w="4260"/>
      </w:tblGrid>
      <w:tr>
        <w:trPr>
          <w:tblHeader w:val="true"/>
          <w:cantSplit/>
        </w:trPr>
        <w:tc>
          <w:tcPr>
            <w:tcW w:type="dxa" w:w="25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类型</w:t>
            </w:r>
          </w:p>
        </w:tc>
        <w:tc>
          <w:tcPr>
            <w:tcW w:type="dxa" w:w="26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pathRefs要求</w:t>
            </w:r>
          </w:p>
        </w:tc>
        <w:tc>
          <w:tcPr>
            <w:tcW w:type="dxa" w:w="426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适用情况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ORIGIN_POLICY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允许为空，但必须NOT_APPLICABLE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RO0—RO4来源等级，不是专业路径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CAPABILITY_EVIDENCE / PATH_BOUND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至少1个有效path_id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命题明确对应一种或多种可接受实践路径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CAPABILITY_EVIDENCE / CAPABILITY_ONLY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可为空，但必须写理由并经人工批准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命题位于能力概念层，不能公平地归到某条具体路径</w:t>
            </w:r>
          </w:p>
        </w:tc>
      </w:tr>
    </w:tbl>
    <w:p>
      <w:pPr>
        <w:spacing w:after="40"/>
      </w:pPr>
    </w:p>
    <w:p>
      <w:pPr>
        <w:pStyle w:val="Heading2"/>
      </w:pPr>
      <w:r>
        <w:t>5.2 每条EvidenceAnchor如何人工映射</w:t>
      </w:r>
    </w:p>
    <w:p>
      <w:pPr>
        <w:numPr>
          <w:ilvl w:val="0"/>
          <w:numId w:val="14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打开表3该条记录，阅读claim_template、applicability_conditions、support_anchors、counterevidence、pseudo_evidence和discriminating_observation。</w:t>
      </w:r>
    </w:p>
    <w:p>
      <w:pPr>
        <w:numPr>
          <w:ilvl w:val="0"/>
          <w:numId w:val="14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根据capability_refs在表2找到相关情境能力概念及全部path_id；不要只看相似词。</w:t>
      </w:r>
    </w:p>
    <w:p>
      <w:pPr>
        <w:numPr>
          <w:ilvl w:val="0"/>
          <w:numId w:val="14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逐一判断：如果教师通过该路径表达，是否足以使这条证据命题成立？如果只是部分相关，不应加入。</w:t>
      </w:r>
    </w:p>
    <w:p>
      <w:pPr>
        <w:numPr>
          <w:ilvl w:val="0"/>
          <w:numId w:val="14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通常选择1—3条真正能够产生该证据的路径；若同一命题设计上覆盖该能力的全部替代路径，应明确写出‘多路径等价’理由。</w:t>
      </w:r>
    </w:p>
    <w:p>
      <w:pPr>
        <w:numPr>
          <w:ilvl w:val="0"/>
          <w:numId w:val="14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反向检查：加入pathRef后，系统是否可能把‘没走这条路径’误解释为能力不足？若会，应改为CAPABILITY_ONLY或扩大替代路径集合。</w:t>
      </w:r>
    </w:p>
    <w:p>
      <w:pPr>
        <w:numPr>
          <w:ilvl w:val="0"/>
          <w:numId w:val="14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记录选择理由、排除理由、复核人和不确定性；第二人独立复核后再写Excel。</w:t>
      </w:r>
    </w:p>
    <w:p>
      <w:pPr>
        <w:pStyle w:val="Heading2"/>
      </w:pPr>
      <w:r>
        <w:t>5.3 Q08完整示例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850"/>
        <w:gridCol w:w="2500"/>
        <w:gridCol w:w="4010"/>
      </w:tblGrid>
      <w:tr>
        <w:trPr>
          <w:tblHeader w:val="true"/>
          <w:cantSplit/>
        </w:trPr>
        <w:tc>
          <w:tcPr>
            <w:tcW w:type="dxa" w:w="285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6"/>
              </w:rPr>
              <w:t>表3命题</w:t>
            </w:r>
          </w:p>
        </w:tc>
        <w:tc>
          <w:tcPr>
            <w:tcW w:type="dxa" w:w="25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6"/>
              </w:rPr>
              <w:t>候选pathRefs</w:t>
            </w:r>
          </w:p>
        </w:tc>
        <w:tc>
          <w:tcPr>
            <w:tcW w:type="dxa" w:w="401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6"/>
              </w:rPr>
              <w:t>人工判断理由</w:t>
            </w:r>
          </w:p>
        </w:tc>
      </w:tr>
      <w:tr>
        <w:trPr>
          <w:cantSplit/>
        </w:trPr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Q08-T3-001 识别高度/坡度/受阻位置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PATH-Q08-001-A/B/C</w:t>
            </w:r>
          </w:p>
        </w:tc>
        <w:tc>
          <w:tcPr>
            <w:tcW w:type="dxa" w:w="4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三条路径分别通过追踪水流、比较高低、同伴解释验证，把机制变成可观察线索</w:t>
            </w:r>
          </w:p>
        </w:tc>
      </w:tr>
      <w:tr>
        <w:trPr>
          <w:cantSplit/>
        </w:trPr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Q08-T3-002 依据尝试/兴趣/状态判断帮助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PATH-Q08-002-A/B/C</w:t>
            </w:r>
          </w:p>
        </w:tc>
        <w:tc>
          <w:tcPr>
            <w:tcW w:type="dxa" w:w="4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分别对应继续观察、最轻提示、先处理情绪/时间/拥挤条件</w:t>
            </w:r>
          </w:p>
        </w:tc>
      </w:tr>
      <w:tr>
        <w:trPr>
          <w:cantSplit/>
        </w:trPr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Q08-T3-003 分级支架、升级与退出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PATH-Q08-003-A/B/C</w:t>
            </w:r>
          </w:p>
        </w:tc>
        <w:tc>
          <w:tcPr>
            <w:tcW w:type="dxa" w:w="4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由提示、比较装置、局部示范形成可升级并交还控制权的阶梯</w:t>
            </w:r>
          </w:p>
        </w:tc>
      </w:tr>
      <w:tr>
        <w:trPr>
          <w:cantSplit/>
        </w:trPr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Q08-T3-004 观察—假设—单变量—比较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PATH-Q08-004-A/B/C</w:t>
            </w:r>
          </w:p>
        </w:tc>
        <w:tc>
          <w:tcPr>
            <w:tcW w:type="dxa" w:w="4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三条路径都是探究闭环的不同组织方式</w:t>
            </w:r>
          </w:p>
        </w:tc>
      </w:tr>
      <w:tr>
        <w:trPr>
          <w:cantSplit/>
        </w:trPr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Q08-T3-005 材料服务于比较和观察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PATH-Q08-005-A/B/C</w:t>
            </w:r>
          </w:p>
        </w:tc>
        <w:tc>
          <w:tcPr>
            <w:tcW w:type="dxa" w:w="4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分别通过材料标记、缩小问题、调整人际资源支持观察与再调整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2E5AAC"/>
                <w:sz w:val="21"/>
              </w:rPr>
              <w:t>Q08示例只是候选，不是自动决定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20"/>
              </w:rPr>
              <w:t>人工仍需对照表3 support_anchors与表2 applicability/exclusion/tradeoffs。如果某条路径只支持命题的一部分，应在表3拆分命题或只保留更准确的路径；不能因为编号顺序一致就自动全选。</w:t>
            </w:r>
          </w:p>
        </w:tc>
      </w:tr>
    </w:tbl>
    <w:p>
      <w:pPr>
        <w:spacing w:after="40"/>
      </w:pPr>
    </w:p>
    <w:p>
      <w:pPr>
        <w:pStyle w:val="Heading1"/>
      </w:pPr>
      <w:r>
        <w:t>6. 统一的人工—程序协作流程</w:t>
      </w:r>
    </w:p>
    <w:p>
      <w:pPr>
        <w:numPr>
          <w:ilvl w:val="0"/>
          <w:numId w:val="15"/>
        </w:numPr>
      </w:pPr>
      <w:r>
        <w:rPr>
          <w:rFonts w:ascii="Microsoft YaHei" w:hAnsi="Microsoft YaHei" w:eastAsia="Microsoft YaHei"/>
          <w:b/>
          <w:i w:val="0"/>
          <w:color w:val="183153"/>
          <w:sz w:val="20"/>
        </w:rPr>
        <w:t>准备：</w:t>
      </w: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数据管理员复制五个V0.1工作簿为工作副本，锁定旧版只读；导出本报告附录清单。</w:t>
      </w:r>
    </w:p>
    <w:p>
      <w:pPr>
        <w:numPr>
          <w:ilvl w:val="0"/>
          <w:numId w:val="15"/>
        </w:numPr>
      </w:pPr>
      <w:r>
        <w:rPr>
          <w:rFonts w:ascii="Microsoft YaHei" w:hAnsi="Microsoft YaHei" w:eastAsia="Microsoft YaHei"/>
          <w:b/>
          <w:i w:val="0"/>
          <w:color w:val="183153"/>
          <w:sz w:val="20"/>
        </w:rPr>
        <w:t>专业初审：</w:t>
      </w: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专业复核者A提出父ID、runtimeUse或pathRefs建议，并填写理由、风险与不确定性。</w:t>
      </w:r>
    </w:p>
    <w:p>
      <w:pPr>
        <w:numPr>
          <w:ilvl w:val="0"/>
          <w:numId w:val="15"/>
        </w:numPr>
      </w:pPr>
      <w:r>
        <w:rPr>
          <w:rFonts w:ascii="Microsoft YaHei" w:hAnsi="Microsoft YaHei" w:eastAsia="Microsoft YaHei"/>
          <w:b/>
          <w:i w:val="0"/>
          <w:color w:val="183153"/>
          <w:sz w:val="20"/>
        </w:rPr>
        <w:t>独立复核：</w:t>
      </w: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复核者B不先看A的结论，独立判断；一致项通过，不一致项进入协调会。</w:t>
      </w:r>
    </w:p>
    <w:p>
      <w:pPr>
        <w:numPr>
          <w:ilvl w:val="0"/>
          <w:numId w:val="15"/>
        </w:numPr>
      </w:pPr>
      <w:r>
        <w:rPr>
          <w:rFonts w:ascii="Microsoft YaHei" w:hAnsi="Microsoft YaHei" w:eastAsia="Microsoft YaHei"/>
          <w:b/>
          <w:i w:val="0"/>
          <w:color w:val="183153"/>
          <w:sz w:val="20"/>
        </w:rPr>
        <w:t>协调决定：</w:t>
      </w: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研究负责人只处理不一致和高风险项；记录最终决定及为什么没有采用另一方案。</w:t>
      </w:r>
    </w:p>
    <w:p>
      <w:pPr>
        <w:numPr>
          <w:ilvl w:val="0"/>
          <w:numId w:val="15"/>
        </w:numPr>
      </w:pPr>
      <w:r>
        <w:rPr>
          <w:rFonts w:ascii="Microsoft YaHei" w:hAnsi="Microsoft YaHei" w:eastAsia="Microsoft YaHei"/>
          <w:b/>
          <w:i w:val="0"/>
          <w:color w:val="183153"/>
          <w:sz w:val="20"/>
        </w:rPr>
        <w:t>修改Excel：</w:t>
      </w: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数据管理员只修改批准字段，不改稳定ID；更新version、review_status、decision_basis和变更日志。</w:t>
      </w:r>
    </w:p>
    <w:p>
      <w:pPr>
        <w:numPr>
          <w:ilvl w:val="0"/>
          <w:numId w:val="15"/>
        </w:numPr>
      </w:pPr>
      <w:r>
        <w:rPr>
          <w:rFonts w:ascii="Microsoft YaHei" w:hAnsi="Microsoft YaHei" w:eastAsia="Microsoft YaHei"/>
          <w:b/>
          <w:i w:val="0"/>
          <w:color w:val="183153"/>
          <w:sz w:val="20"/>
        </w:rPr>
        <w:t>重新编译：</w:t>
      </w: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程序员从五表重新生成runtime JSON和新的configFingerprint，禁止手工补JSON。</w:t>
      </w:r>
    </w:p>
    <w:p>
      <w:pPr>
        <w:numPr>
          <w:ilvl w:val="0"/>
          <w:numId w:val="15"/>
        </w:numPr>
      </w:pPr>
      <w:r>
        <w:rPr>
          <w:rFonts w:ascii="Microsoft YaHei" w:hAnsi="Microsoft YaHei" w:eastAsia="Microsoft YaHei"/>
          <w:b/>
          <w:i w:val="0"/>
          <w:color w:val="183153"/>
          <w:sz w:val="20"/>
        </w:rPr>
        <w:t>确定性验证：</w:t>
      </w: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运行父引用、路径非空/显式N/A、type/runtime矩阵、跨表ID、硬边界、TEVV隔离检查。</w:t>
      </w:r>
    </w:p>
    <w:p>
      <w:pPr>
        <w:numPr>
          <w:ilvl w:val="0"/>
          <w:numId w:val="15"/>
        </w:numPr>
      </w:pPr>
      <w:r>
        <w:rPr>
          <w:rFonts w:ascii="Microsoft YaHei" w:hAnsi="Microsoft YaHei" w:eastAsia="Microsoft YaHei"/>
          <w:b/>
          <w:i w:val="0"/>
          <w:color w:val="183153"/>
          <w:sz w:val="20"/>
        </w:rPr>
        <w:t>Fixture/Replay：</w:t>
      </w: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至少重跑十题首问、各一条后续回答、诱导/重复/退出/超时/冲突证据夹具；比较修改前后。</w:t>
      </w:r>
    </w:p>
    <w:p>
      <w:pPr>
        <w:numPr>
          <w:ilvl w:val="0"/>
          <w:numId w:val="15"/>
        </w:numPr>
      </w:pPr>
      <w:r>
        <w:rPr>
          <w:rFonts w:ascii="Microsoft YaHei" w:hAnsi="Microsoft YaHei" w:eastAsia="Microsoft YaHei"/>
          <w:b/>
          <w:i w:val="0"/>
          <w:color w:val="183153"/>
          <w:sz w:val="20"/>
        </w:rPr>
        <w:t>发布候选：</w:t>
      </w: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形成V0.2候选Excel、编译JSON、警告报告、测试报告和迁移说明；研究负责人签字后才替换唯一运行版。</w:t>
      </w:r>
    </w:p>
    <w:p>
      <w:pPr>
        <w:pStyle w:val="Heading2"/>
      </w:pPr>
      <w:r>
        <w:t>6.1 建议的人工复核表字段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字段</w:t>
            </w:r>
          </w:p>
        </w:tc>
        <w:tc>
          <w:tcPr>
            <w:tcW w:type="dxa" w:w="666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填写说明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issue_type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PARENT_REF / RUNTIME_ROUTE / PATH_REF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workbook / sheet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表2/表3/表4；通常为DATA页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record_id / stable_id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保持稳定，不因修订改号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current_value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当前Excel值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proposed_value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建议替换值或新增值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professional_reason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基于能力定义、适用条件、证据命题或监测目标说明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alternative_considered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考虑过但未采用的关系/路径/路由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risk_if_wrong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错误后可能造成的路由、证据或画像影响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reviewer_A / reviewer_B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两人结论与日期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coordination_decision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不一致时由研究负责人记录最终决定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excel_changed_by / compiled_by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区分数据修改责任与工程编译责任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test_case_ids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受影响Fixture与Replay编号</w:t>
            </w:r>
          </w:p>
        </w:tc>
      </w:tr>
    </w:tbl>
    <w:p>
      <w:pPr>
        <w:spacing w:after="40"/>
      </w:pPr>
    </w:p>
    <w:p>
      <w:pPr>
        <w:pStyle w:val="Heading1"/>
      </w:pPr>
      <w:r>
        <w:t>7. 谁做什么，完成后交给谁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600"/>
        <w:gridCol w:w="4900"/>
        <w:gridCol w:w="2860"/>
      </w:tblGrid>
      <w:tr>
        <w:trPr>
          <w:tblHeader w:val="true"/>
          <w:cantSplit/>
        </w:trPr>
        <w:tc>
          <w:tcPr>
            <w:tcW w:type="dxa" w:w="16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角色</w:t>
            </w:r>
          </w:p>
        </w:tc>
        <w:tc>
          <w:tcPr>
            <w:tcW w:type="dxa" w:w="49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主要工作</w:t>
            </w:r>
          </w:p>
        </w:tc>
        <w:tc>
          <w:tcPr>
            <w:tcW w:type="dxa" w:w="286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完成后交给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研究负责人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确认能力体系、争议关系、发布范围和最终风险接受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数据管理员与程序员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专业复核者A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逐条阅读专业内容并提出映射/路由建议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专业复核者B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专业复核者B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独立复核并标记一致/不一致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研究负责人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数据管理员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按批准结论修改Excel、更新版本和变更记录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程序员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程序员/编程AI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重新编译、生成指纹、运行验证和Fixture；不得代替专业决定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研究负责人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TEVV负责人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比较前后Replay、切片结果、错误率和画像边界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研究负责人，决定是否进入候选发布</w:t>
            </w:r>
          </w:p>
        </w:tc>
      </w:tr>
    </w:tbl>
    <w:p>
      <w:pPr>
        <w:spacing w:after="40"/>
      </w:pPr>
    </w:p>
    <w:p>
      <w:pPr>
        <w:pStyle w:val="Heading1"/>
      </w:pPr>
      <w:r>
        <w:t>8. 重新加载配置与兼容检查</w:t>
      </w:r>
    </w:p>
    <w:p>
      <w:pPr>
        <w:numPr>
          <w:ilvl w:val="0"/>
          <w:numId w:val="16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保留V0.1五表和旧runtime JSON，不覆盖历史研究材料。</w:t>
      </w:r>
    </w:p>
    <w:p>
      <w:pPr>
        <w:numPr>
          <w:ilvl w:val="0"/>
          <w:numId w:val="16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编译新Excel生成新dataset版本或至少新configFingerprint；source SHA-256必须同步更新。</w:t>
      </w:r>
    </w:p>
    <w:p>
      <w:pPr>
        <w:numPr>
          <w:ilvl w:val="0"/>
          <w:numId w:val="16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启动时验证全部主键、跨表引用、强制字段、type/runtime矩阵和releaseScope；失败时禁止回退旧五表。</w:t>
      </w:r>
    </w:p>
    <w:p>
      <w:pPr>
        <w:numPr>
          <w:ilvl w:val="0"/>
          <w:numId w:val="16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旧进行中Dialogue Session若保存的是旧指纹，不应静默续接新政策；允许回看，正式继续需新会话或明确迁移。</w:t>
      </w:r>
    </w:p>
    <w:p>
      <w:pPr>
        <w:numPr>
          <w:ilvl w:val="0"/>
          <w:numId w:val="16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历史Canonical Evidence保留原policySchemaVersion和policyConfigFingerprint，报告不得用新政策重写旧证据而不留痕。</w:t>
      </w:r>
    </w:p>
    <w:p>
      <w:pPr>
        <w:numPr>
          <w:ilvl w:val="0"/>
          <w:numId w:val="16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十题评分与三题遴选对拍必须保持一致；五表治理不应改变确定性评分结果。</w:t>
      </w:r>
    </w:p>
    <w:p>
      <w:pPr>
        <w:numPr>
          <w:ilvl w:val="0"/>
          <w:numId w:val="16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比较修改前后问话：关注方向变化、复问率、诱导率、Evidence接受/拒绝、画像维度和平均/P95延时。</w:t>
      </w:r>
    </w:p>
    <w:p>
      <w:pPr>
        <w:pStyle w:val="Heading1"/>
      </w:pPr>
      <w:r>
        <w:t>9. 完成定义（Definition of Done）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三类警告按新规则归零：父引用0；路由错配0；50条EvidenceAnchor有pathRefs或批准的CAPABILITY_ONLY，5条ORIGIN_POLICY为显式NOT_APPLICABLE。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所有修改都有record_id级理由、双人复核和协调记录。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新五表源文件、runtime JSON、source hashes、configFingerprint和版本说明彼此一致。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全量自动测试、十题Fixture、关键Replay与报告画像测试通过。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旧会话兼容策略经过验证，不发生旧证据被新政策静默改写。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发布说明仍明确SIMULATION_ACTIVE，除非真实专家与教师TEVV另行批准。</w:t>
      </w:r>
    </w:p>
    <w:p>
      <w:pPr>
        <w:pStyle w:val="Heading1"/>
      </w:pPr>
      <w:r>
        <w:t>附录A：21条路由错配逐条清单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850"/>
        <w:gridCol w:w="3350"/>
        <w:gridCol w:w="2600"/>
        <w:gridCol w:w="2560"/>
      </w:tblGrid>
      <w:tr>
        <w:trPr>
          <w:tblHeader w:val="true"/>
          <w:cantSplit/>
        </w:trPr>
        <w:tc>
          <w:tcPr>
            <w:tcW w:type="dxa" w:w="85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6"/>
              </w:rPr>
              <w:t>范围</w:t>
            </w:r>
          </w:p>
        </w:tc>
        <w:tc>
          <w:tcPr>
            <w:tcW w:type="dxa" w:w="335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6"/>
              </w:rPr>
              <w:t>policyId</w:t>
            </w:r>
          </w:p>
        </w:tc>
        <w:tc>
          <w:tcPr>
            <w:tcW w:type="dxa" w:w="26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6"/>
              </w:rPr>
              <w:t>当前type/runtimeUse</w:t>
            </w:r>
          </w:p>
        </w:tc>
        <w:tc>
          <w:tcPr>
            <w:tcW w:type="dxa" w:w="256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6"/>
              </w:rPr>
              <w:t>候选修订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ALL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T4G-AFF-001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AFFORDANCE / MONITOR_CARD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AFFORDANCE_CARD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ALL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T4G-AFF-002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AFFORDANCE / MONITOR_CARD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AFFORDANCE_CARD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ALL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T4G-AFF-003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AFFORDANCE / MONITOR_CARD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AFFORDANCE_CARD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ALL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T4G-AFF-004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AFFORDANCE / MONITOR_CARD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AFFORDANCE_CARD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ALL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T4G-AFF-005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AFFORDANCE / MONITOR_CARD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AFFORDANCE_CARD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ALL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T4G-AFF-006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AFFORDANCE / MONITOR_CARD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AFFORDANCE_CARD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Q01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DP-Q01-MONITOR-MISSION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MONITOR / AFFORDANCE_CARD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MONITOR_CARD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Q01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DP-Q01-MONITOR-INDUCTION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MONITOR / AFFORDANCE_CARD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MONITOR_CARD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Q02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DP-Q02-MONITOR-EVIDENCE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MONITOR / AFFORDANCE_CARD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MONITOR_CARD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Q02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DP-Q02-MONITOR-RELATION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MONITOR / AFFORDANCE_CARD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MONITOR_CARD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Q03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DP-Q03-MONITOR-TIME-FIXATION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MONITOR / AFFORDANCE_CARD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MONITOR_CARD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Q03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DP-Q03-MONITOR-FAIRNESS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MONITOR / AFFORDANCE_CARD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MONITOR_CARD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Q04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DP-Q04-MONITOR-ONE-SIDED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MONITOR / AFFORDANCE_CARD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MONITOR_CARD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Q04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DP-Q04-MONITOR-CONTROL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MONITOR / AFFORDANCE_CARD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MONITOR_CARD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Q05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DP-Q05-MONITOR-MORALIZE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MONITOR / AFFORDANCE_CARD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MONITOR_CARD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Q05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DP-Q05-MONITOR-INDUCTION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MONITOR / AFFORDANCE_CARD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MONITOR_CARD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Q06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Q06-T4-003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MONITOR / AFFORDANCE_CARD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MONITOR_CARD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Q07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Q07-T4-003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MONITOR / AFFORDANCE_CARD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MONITOR_CARD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Q08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Q08-T4-003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MONITOR / AFFORDANCE_CARD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MONITOR_CARD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Q09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Q09-T4-003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MONITOR / AFFORDANCE_CARD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MONITOR_CARD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Q10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Q10-T4-003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MONITOR / AFFORDANCE_CARD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MONITOR_CARD</w:t>
            </w:r>
          </w:p>
        </w:tc>
      </w:tr>
    </w:tbl>
    <w:p>
      <w:pPr>
        <w:spacing w:after="40"/>
      </w:pPr>
    </w:p>
    <w:p>
      <w:pPr>
        <w:pStyle w:val="Heading1"/>
      </w:pPr>
      <w:r>
        <w:t>附录B：59个父标签的分布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000"/>
        <w:gridCol w:w="900"/>
        <w:gridCol w:w="700"/>
        <w:gridCol w:w="900"/>
        <w:gridCol w:w="3860"/>
      </w:tblGrid>
      <w:tr>
        <w:trPr>
          <w:tblHeader w:val="true"/>
          <w:cantSplit/>
        </w:trPr>
        <w:tc>
          <w:tcPr>
            <w:tcW w:type="dxa" w:w="30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5"/>
              </w:rPr>
              <w:t>当前父标签</w:t>
            </w:r>
          </w:p>
        </w:tc>
        <w:tc>
          <w:tcPr>
            <w:tcW w:type="dxa" w:w="9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5"/>
              </w:rPr>
              <w:t>候选ID</w:t>
            </w:r>
          </w:p>
        </w:tc>
        <w:tc>
          <w:tcPr>
            <w:tcW w:type="dxa" w:w="7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5"/>
              </w:rPr>
              <w:t>次数</w:t>
            </w:r>
          </w:p>
        </w:tc>
        <w:tc>
          <w:tcPr>
            <w:tcW w:type="dxa" w:w="9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5"/>
              </w:rPr>
              <w:t>题目</w:t>
            </w:r>
          </w:p>
        </w:tc>
        <w:tc>
          <w:tcPr>
            <w:tcW w:type="dxa" w:w="386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5"/>
              </w:rPr>
              <w:t>受影响能力ID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C11_现实压力与价值张力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C11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10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Q01、Q04、Q05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C11-Q01-RISK-PUBLIC、C11-Q01-RULE-AUTONOMY、C11-Q04-REVISABLE-PLAN、C11-Q05-NONJUDGMENT、C11-Q05-SAFETY-TIMING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C06_选择支架方式与剂量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C06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8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Q01、Q02、Q04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C06-Q01-TRANSITION、C06-Q02-DEMONSTRATION-BOUNDARY、C06-Q02-SELF-REGULATION、C06-Q04-LOW-CONTROL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C07_调节材料空间与同伴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C07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7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Q03、Q04、Q05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C07-Q03-MATCHED-SUPPORT、C07-Q04-INTEREST-BRIDGE、C07-Q05-PLAY-EXTEND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C05_判断介入时机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C05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6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Q01、Q03、Q04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C05-Q01-TIMING、C05-Q03-OBSERVE-PARTICIPATE、C05-Q04-TIMING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C03_区分事实与解释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C03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6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Q02、Q03、Q05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C03-Q02-LANGUAGE-ACTION、C03-Q03-NONPATHOLOGIZE、C03-Q05-MEANING-CLARIFY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C01_观察儿童线索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C01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6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Q02、Q03、Q05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C01-Q02-PATTERN-OBSERVE、C01-Q03-CROSS-ZONE、C01-Q05-OPEN-NARRATIVE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C04_生成并比较解释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C04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6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Q02、Q03、Q04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C04-Q02-FUNCTION-HYPOTHESES、C04-Q03-ALTERNATIVES、C04-Q04-DUAL-READING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C02_理解游戏意图与进程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C02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4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Q01、Q05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C02-Q01-PLAY-FRAME、C02-Q05-PLAY-REALITY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C10_迭代调整与退出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C10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2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Q02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C10-Q02-FEEDBACK-FADE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C08_回应差异与包容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C08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2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Q03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C08-Q03-INCLUSION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C12_反思迁移与自我校准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C12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2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Q04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C12-Q04-SHARED-REFLECTION</w:t>
            </w:r>
          </w:p>
        </w:tc>
      </w:tr>
    </w:tbl>
    <w:p>
      <w:pPr>
        <w:spacing w:after="40"/>
      </w:pPr>
    </w:p>
    <w:p>
      <w:pPr>
        <w:pStyle w:val="Heading1"/>
      </w:pPr>
      <w:r>
        <w:t>附录C：55条无pathRefs记录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700"/>
        <w:gridCol w:w="2750"/>
        <w:gridCol w:w="1900"/>
        <w:gridCol w:w="1600"/>
        <w:gridCol w:w="2410"/>
      </w:tblGrid>
      <w:tr>
        <w:trPr>
          <w:tblHeader w:val="true"/>
          <w:cantSplit/>
        </w:trPr>
        <w:tc>
          <w:tcPr>
            <w:tcW w:type="dxa" w:w="7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5"/>
              </w:rPr>
              <w:t>范围</w:t>
            </w:r>
          </w:p>
        </w:tc>
        <w:tc>
          <w:tcPr>
            <w:tcW w:type="dxa" w:w="275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5"/>
              </w:rPr>
              <w:t>evidenceClaimId</w:t>
            </w:r>
          </w:p>
        </w:tc>
        <w:tc>
          <w:tcPr>
            <w:tcW w:type="dxa" w:w="19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5"/>
              </w:rPr>
              <w:t>understandingId</w:t>
            </w:r>
          </w:p>
        </w:tc>
        <w:tc>
          <w:tcPr>
            <w:tcW w:type="dxa" w:w="16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5"/>
              </w:rPr>
              <w:t>recordId</w:t>
            </w:r>
          </w:p>
        </w:tc>
        <w:tc>
          <w:tcPr>
            <w:tcW w:type="dxa" w:w="241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5"/>
              </w:rPr>
              <w:t>处理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ALL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ECL-ORIGIN-RO0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UND-ORIGIN-RO0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T3-ALL-001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NOT_APPLICABLE（来源政策）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ALL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ECL-ORIGIN-RO1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UND-ORIGIN-RO1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T3-ALL-002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NOT_APPLICABLE（来源政策）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ALL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ECL-ORIGIN-RO2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UND-ORIGIN-RO2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T3-ALL-003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NOT_APPLICABLE（来源政策）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ALL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ECL-ORIGIN-RO3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UND-ORIGIN-RO3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T3-ALL-004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NOT_APPLICABLE（来源政策）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ALL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ECL-ORIGIN-RO4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UND-ORIGIN-RO4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T3-ALL-005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NOT_APPLICABLE（来源政策）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Q01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ECL-Q01-PLAY-FRAME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UND-Q01-001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T3-Q01-001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Q01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ECL-Q01-RISK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UND-Q01-002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T3-Q01-002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Q01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ECL-Q01-TIMING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UND-Q01-003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T3-Q01-003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Q01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ECL-Q01-TRANSITION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UND-Q01-004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T3-Q01-004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Q01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ECL-Q01-RULE-AUTONOMY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UND-Q01-005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T3-Q01-005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Q02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ECL-Q02-LANGUAGE-ACTION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UND-Q02-001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T3-Q02-001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Q02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ECL-Q02-OBSERVE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UND-Q02-002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T3-Q02-002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Q02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ECL-Q02-FUNCTIONS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UND-Q02-003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T3-Q02-003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Q02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ECL-Q02-SCAFFOLD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UND-Q02-004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T3-Q02-004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Q02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ECL-Q02-FEEDBACK-FADE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UND-Q02-005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T3-Q02-005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Q03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ECL-Q03-REPRESENTATION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UND-Q03-001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T3-Q03-001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Q03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ECL-Q03-OBSERVE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UND-Q03-002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T3-Q03-002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Q03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ECL-Q03-HYPOTHESES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UND-Q03-003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T3-Q03-003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Q03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ECL-Q03-TIMING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UND-Q03-004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T3-Q03-004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Q03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ECL-Q03-MATCHED-SUPPORT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UND-Q03-005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T3-Q03-005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Q04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ECL-Q04-DUAL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UND-Q04-001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T3-Q04-001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Q04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ECL-Q04-BRIDGE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UND-Q04-002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T3-Q04-002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Q04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ECL-Q04-COLLABORATOR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UND-Q04-003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T3-Q04-003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Q04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ECL-Q04-TIMING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UND-Q04-004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T3-Q04-004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Q04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ECL-Q04-PLAN-PEERS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UND-Q04-005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T3-Q04-005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Q05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ECL-Q05-PLAY-REALITY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UND-Q05-001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T3-Q05-001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Q05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ECL-Q05-CLARIFY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UND-Q05-002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T3-Q05-002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Q05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ECL-Q05-NARRATIVE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UND-Q05-003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T3-Q05-003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Q05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ECL-Q05-SAFETY-TIMING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UND-Q05-004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T3-Q05-004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Q05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ECL-Q05-NONJUDGMENT-EXTEND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UND-Q05-005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T3-Q05-005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Q06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Q06-T3-001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UND-Q06-001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T3-Q06-001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Q06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Q06-T3-002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UND-Q06-002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T3-Q06-002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Q06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Q06-T3-003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UND-Q06-003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T3-Q06-003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Q06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Q06-T3-004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UND-Q06-004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T3-Q06-004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Q06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Q06-T3-005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UND-Q06-005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T3-Q06-005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Q07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Q07-T3-001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UND-Q07-001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T3-Q07-001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Q07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Q07-T3-002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UND-Q07-002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T3-Q07-002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Q07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Q07-T3-003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UND-Q07-003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T3-Q07-003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Q07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Q07-T3-004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UND-Q07-004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T3-Q07-004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Q07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Q07-T3-005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UND-Q07-005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T3-Q07-005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Q08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Q08-T3-001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UND-Q08-001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T3-Q08-001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Q08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Q08-T3-002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UND-Q08-002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T3-Q08-002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Q08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Q08-T3-003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UND-Q08-003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T3-Q08-003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Q08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Q08-T3-004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UND-Q08-004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T3-Q08-004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Q08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Q08-T3-005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UND-Q08-005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T3-Q08-005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Q09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Q09-T3-001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UND-Q09-001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T3-Q09-001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Q09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Q09-T3-002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UND-Q09-002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T3-Q09-002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Q09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Q09-T3-003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UND-Q09-003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T3-Q09-003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Q09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Q09-T3-004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UND-Q09-004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T3-Q09-004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Q09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Q09-T3-005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UND-Q09-005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T3-Q09-005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Q10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Q10-T3-001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UND-Q10-001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T3-Q10-001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Q10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Q10-T3-002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UND-Q10-002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T3-Q10-002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Q10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Q10-T3-003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UND-Q10-003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T3-Q10-003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Q10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Q10-T3-004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UND-Q10-004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T3-Q10-004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Q10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Q10-T3-005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UND-Q10-005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T3-Q10-005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5"/>
              </w:rPr>
              <w:t>人工选择path_id或批准CAPABILITY_ONLY</w:t>
            </w:r>
          </w:p>
        </w:tc>
      </w:tr>
    </w:tbl>
    <w:p>
      <w:pPr>
        <w:spacing w:after="40"/>
      </w:pPr>
    </w:p>
    <w:p>
      <w:pPr>
        <w:pStyle w:val="Heading1"/>
      </w:pPr>
      <w:r>
        <w:t>附录D：人工复核示例记录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字段</w:t>
            </w:r>
          </w:p>
        </w:tc>
        <w:tc>
          <w:tcPr>
            <w:tcW w:type="dxa" w:w="656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issue_type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PATH_REF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record_id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T3-Q08-003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current_value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path_refs为空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proposed_value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PATH-Q08-003-A | PATH-Q08-003-B | PATH-Q08-003-C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professional_reason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三条路径共同构成由轻到重、可升级、可交还控制权的支架阶梯，与命题及支持锚点一致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alternative_considered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仅选A；被否决，因为命题要求升级条件，A单独不足以覆盖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risk_if_wrong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若仅绑定A，可能把比较装置或局部示范的合理路径排除；若无差别全绑，会削弱路径区分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review_status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A同意 / B同意 / 研究负责人批准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test_case_ids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FIX-Q08-PATH-01、REPLAY-Q08-03</w:t>
            </w:r>
          </w:p>
        </w:tc>
      </w:tr>
    </w:tbl>
    <w:p>
      <w:pPr>
        <w:spacing w:after="40"/>
      </w:pPr>
    </w:p>
    <w:p>
      <w:pPr>
        <w:pStyle w:val="Heading1"/>
      </w:pPr>
      <w:r>
        <w:t>附录E：依据文件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config/new-five-tables/source/ 下五个V0.1唯一运行版Excel。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web/src/generated/tcim-new-five-tables.runtime.v0.1.json。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web/scripts/verify-new-five-runtime.mjs。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docs/dev/new-five-tables-analysis.md。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本报告统计基于当前配置指纹：f729a09c81ab1937aa09544b61d13bad2673de04af067c3ad892f48f036c8ab7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67085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b/>
        <w:i w:val="0"/>
        <w:color w:val="667085"/>
        <w:sz w:val="17"/>
      </w:rPr>
      <w:t>TCIM新五表数据警告与人工治理操作手册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432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AA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AA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315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8315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TCIM新五表三类数据警告与人工治理操作手册</dc:title>
  <dc:subject>父能力引用、对话政策路由和Evidence路径关联治理</dc:subject>
  <dc:creator>TCIM研究项目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