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left"/>
      </w:pPr>
      <w:r>
        <w:rPr>
          <w:rFonts w:ascii="Times New Roman" w:eastAsia="宋体" w:hAnsi="Times New Roman"/>
        </w:rPr>
        <w:t xml:space="preserve">美股7月2日行业日报：弱就业数据引爆"风格大切换"——道指创历史新高，半导体续崩，防御板块全面爆发</w:t>
      </w:r>
    </w:p>
    <w:p>
      <w:pPr>
        <w:pStyle w:val="Quote"/>
      </w:pPr>
      <w:r>
        <w:rPr>
          <w:rFonts w:ascii="Times New Roman" w:eastAsia="宋体" w:hAnsi="Times New Roman"/>
        </w:rPr>
        <w:t xml:space="preserve">交易日：2026年7月2日（周四）| 美股独立日假期前最后一个交易日</w:t>
      </w:r>
    </w:p>
    <w:p>
      <w:pPr>
        <w:pStyle w:val="Heading2"/>
        <w:spacing w:line="240"/>
        <w:jc w:val="left"/>
      </w:pPr>
      <w:r>
        <w:rPr>
          <w:rFonts w:ascii="Times New Roman" w:eastAsia="宋体" w:hAnsi="Times New Roman"/>
        </w:rPr>
        <w:t xml:space="preserve">核心结论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7月2日是美国股市2026年Q3开局以来最具"风格切换"特征的一天。</w:t>
      </w:r>
      <w:r>
        <w:rPr>
          <w:rFonts w:ascii="Times New Roman" w:eastAsia="宋体" w:hAnsi="Times New Roman"/>
        </w:rPr>
        <w:t xml:space="preserve">6月非农就业仅新增</w:t>
      </w:r>
      <w:r>
        <w:rPr>
          <w:rFonts w:ascii="Times New Roman" w:eastAsia="宋体" w:hAnsi="Times New Roman"/>
          <w:b/>
          <w:bCs/>
        </w:rPr>
        <w:t xml:space="preserve">5.7万人</w:t>
      </w:r>
      <w:r>
        <w:rPr>
          <w:rFonts w:ascii="Times New Roman" w:eastAsia="宋体" w:hAnsi="Times New Roman"/>
        </w:rPr>
        <w:t xml:space="preserve">，远低于预期的</w:t>
      </w:r>
      <w:r>
        <w:rPr>
          <w:rFonts w:ascii="Times New Roman" w:eastAsia="宋体" w:hAnsi="Times New Roman"/>
          <w:b/>
          <w:bCs/>
        </w:rPr>
        <w:t xml:space="preserve">11万人</w:t>
      </w:r>
      <w:r>
        <w:rPr>
          <w:rFonts w:ascii="Times New Roman" w:eastAsia="宋体" w:hAnsi="Times New Roman"/>
        </w:rPr>
        <w:t xml:space="preserve">，5月数据还被下修至</w:t>
      </w:r>
      <w:r>
        <w:rPr>
          <w:rFonts w:ascii="Times New Roman" w:eastAsia="宋体" w:hAnsi="Times New Roman"/>
          <w:b/>
          <w:bCs/>
        </w:rPr>
        <w:t xml:space="preserve">12.9万人</w:t>
      </w:r>
      <w:r>
        <w:rPr>
          <w:rFonts w:ascii="Times New Roman" w:eastAsia="宋体" w:hAnsi="Times New Roman"/>
        </w:rPr>
        <w:t xml:space="preserve">（原值17.2万），这一"双重利空"直接瓦解了市场对美联储7月或9月加息的预期——CME数据显示7月FOMC加息25bp概率已降至</w:t>
      </w:r>
      <w:r>
        <w:rPr>
          <w:rFonts w:ascii="Times New Roman" w:eastAsia="宋体" w:hAnsi="Times New Roman"/>
          <w:b/>
          <w:bCs/>
        </w:rPr>
        <w:t xml:space="preserve">18%</w:t>
      </w:r>
      <w:r>
        <w:rPr>
          <w:rFonts w:ascii="Times New Roman" w:eastAsia="宋体" w:hAnsi="Times New Roman"/>
        </w:rPr>
        <w:t xml:space="preserve">，全年仅剩12月一次加息被定价。</w:t>
      </w:r>
      <w:r>
        <w:t xml:space="preserve"/>
      </w:r>
      <w:r>
        <w:rPr>
          <w:rFonts w:ascii="Times New Roman" w:eastAsia="宋体" w:hAnsi="Times New Roman"/>
        </w:rPr>
        <w:t xml:space="preserve">利率预期回落→美元走弱（DXY -0.56%至100.82）→2年期美债收益率下滑6bp至4.11%→资金从"高拥挤AI硬件"大规模撤离，涌入"被低估的周期价值+防御高息"板块。</w:t>
      </w:r>
      <w:r>
        <w:t xml:space="preserve"/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道指暴涨594.83点（+1.14%）至52,900.07，创下历史新高；标普500收平于7,483.24（+0.01）；纳斯达克综合指数跌207.36点（-0.8%）至25,382.67。</w:t>
      </w:r>
      <w:r>
        <w:t xml:space="preserve"/>
      </w:r>
      <w:r>
        <w:rPr>
          <w:rFonts w:ascii="Times New Roman" w:eastAsia="宋体" w:hAnsi="Times New Roman"/>
        </w:rPr>
        <w:t xml:space="preserve">三大指数分化本身就是最清晰的市场信号：</w:t>
      </w:r>
      <w:r>
        <w:rPr>
          <w:rFonts w:ascii="Times New Roman" w:eastAsia="宋体" w:hAnsi="Times New Roman"/>
          <w:b/>
          <w:bCs/>
        </w:rPr>
        <w:t xml:space="preserve">传统蓝筹/周期/防御全面走强，科技巨头和半导体继续承压。</w:t>
      </w:r>
      <w:r>
        <w:rPr>
          <w:rFonts w:ascii="Times New Roman" w:eastAsia="宋体" w:hAnsi="Times New Roman"/>
        </w:rPr>
        <w:t xml:space="preserve">市场广度极佳——纽交所涨跌比3.85:1，纳斯达克涨跌比2.48:1，标普500十一大板块中十个收涨。</w:t>
      </w:r>
      <w:r>
        <w:t xml:space="preserve"/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半导体板块延续了7月1日的"去拥挤"暴跌，SOXX单日再跌5.57%至566.32美元。</w:t>
      </w:r>
      <w:r>
        <w:rPr>
          <w:rFonts w:ascii="Times New Roman" w:eastAsia="宋体" w:hAnsi="Times New Roman"/>
        </w:rPr>
        <w:t xml:space="preserve">个股层面，拉姆研究暴跌</w:t>
      </w:r>
      <w:r>
        <w:rPr>
          <w:rFonts w:ascii="Times New Roman" w:eastAsia="宋体" w:hAnsi="Times New Roman"/>
          <w:b/>
          <w:bCs/>
        </w:rPr>
        <w:t xml:space="preserve">10.19%</w:t>
      </w:r>
      <w:r>
        <w:rPr>
          <w:rFonts w:ascii="Times New Roman" w:eastAsia="宋体" w:hAnsi="Times New Roman"/>
        </w:rPr>
        <w:t xml:space="preserve">，应用材料跌</w:t>
      </w:r>
      <w:r>
        <w:rPr>
          <w:rFonts w:ascii="Times New Roman" w:eastAsia="宋体" w:hAnsi="Times New Roman"/>
          <w:b/>
          <w:bCs/>
        </w:rPr>
        <w:t xml:space="preserve">7.35%</w:t>
      </w:r>
      <w:r>
        <w:rPr>
          <w:rFonts w:ascii="Times New Roman" w:eastAsia="宋体" w:hAnsi="Times New Roman"/>
        </w:rPr>
        <w:t xml:space="preserve">，美光跌</w:t>
      </w:r>
      <w:r>
        <w:rPr>
          <w:rFonts w:ascii="Times New Roman" w:eastAsia="宋体" w:hAnsi="Times New Roman"/>
          <w:b/>
          <w:bCs/>
        </w:rPr>
        <w:t xml:space="preserve">5.49%</w:t>
      </w:r>
      <w:r>
        <w:rPr>
          <w:rFonts w:ascii="Times New Roman" w:eastAsia="宋体" w:hAnsi="Times New Roman"/>
        </w:rPr>
        <w:t xml:space="preserve">，英特尔跌</w:t>
      </w:r>
      <w:r>
        <w:rPr>
          <w:rFonts w:ascii="Times New Roman" w:eastAsia="宋体" w:hAnsi="Times New Roman"/>
          <w:b/>
          <w:bCs/>
        </w:rPr>
        <w:t xml:space="preserve">5.25%</w:t>
      </w:r>
      <w:r>
        <w:rPr>
          <w:rFonts w:ascii="Times New Roman" w:eastAsia="宋体" w:hAnsi="Times New Roman"/>
        </w:rPr>
        <w:t xml:space="preserve">，AMD跌</w:t>
      </w:r>
      <w:r>
        <w:rPr>
          <w:rFonts w:ascii="Times New Roman" w:eastAsia="宋体" w:hAnsi="Times New Roman"/>
          <w:b/>
          <w:bCs/>
        </w:rPr>
        <w:t xml:space="preserve">4.26%</w:t>
      </w:r>
      <w:r>
        <w:rPr>
          <w:rFonts w:ascii="Times New Roman" w:eastAsia="宋体" w:hAnsi="Times New Roman"/>
        </w:rPr>
        <w:t xml:space="preserve">，英伟达跌</w:t>
      </w:r>
      <w:r>
        <w:rPr>
          <w:rFonts w:ascii="Times New Roman" w:eastAsia="宋体" w:hAnsi="Times New Roman"/>
          <w:b/>
          <w:bCs/>
        </w:rPr>
        <w:t xml:space="preserve">1.39%</w:t>
      </w:r>
      <w:r>
        <w:rPr>
          <w:rFonts w:ascii="Times New Roman" w:eastAsia="宋体" w:hAnsi="Times New Roman"/>
        </w:rPr>
        <w:t xml:space="preserve">。</w:t>
      </w:r>
      <w:r>
        <w:t xml:space="preserve"/>
      </w:r>
      <w:r>
        <w:rPr>
          <w:rFonts w:ascii="Times New Roman" w:eastAsia="宋体" w:hAnsi="Times New Roman"/>
        </w:rPr>
        <w:t xml:space="preserve">连续两天的大幅回撤标志着AI硬件链条从"无差别追涨"转向"集中杀估值"。与此同时，医疗保健（XLV +2.63%）、公用事业（XLU +2.21%）、必需消费（XLP +2.03%）和金融（XLF +1.53%）全面爆发，资金流向与半导体形成完美的镜像。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油价方面，布伦特原油跌至约</w:t>
      </w:r>
      <m:oMath>
        <m:r>
          <m:t>70.80/桶（-1.09%），WTI跌至</m:t>
        </m:r>
      </m:oMath>
      <w:r>
        <w:rPr>
          <w:rFonts w:ascii="Times New Roman" w:eastAsia="宋体" w:hAnsi="Times New Roman"/>
          <w:b/>
          <w:bCs/>
        </w:rPr>
        <w:t xml:space="preserve">67.75/桶（-1.28%），均回到美伊战争前水平。</w:t>
      </w:r>
      <w:r>
        <w:rPr>
          <w:rFonts w:ascii="Times New Roman" w:eastAsia="宋体" w:hAnsi="Times New Roman"/>
        </w:rPr>
        <w:t xml:space="preserve">卡塔尔调解下的美伊间接谈判取得"积极进展"，霍尔木兹海峡航运部分恢复，地缘风险溢价持续消退。</w:t>
      </w:r>
      <w:r>
        <w:t xml:space="preserve"/>
      </w:r>
      <w:r>
        <w:rPr>
          <w:rFonts w:ascii="Times New Roman" w:eastAsia="宋体" w:hAnsi="Times New Roman"/>
        </w:rPr>
        <w:t xml:space="preserve">油价回落进一步压制通胀预期，与弱就业数据形成"双重去加息"合力。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操作层面：当前是典型的"风格轮动加速期"，而非"全面熊市"。</w:t>
      </w:r>
      <w:r>
        <w:rPr>
          <w:rFonts w:ascii="Times New Roman" w:eastAsia="宋体" w:hAnsi="Times New Roman"/>
        </w:rPr>
        <w:t xml:space="preserve">策略上应：①半导体暂避锋芒，等两天暴跌后的技术企稳信号再介入；②拥抱利率敏感+防御高息板块的顺风（XLF/XLU/XLV/XLP），但需注意独立日后获利回吐风险；③关注RSP持续跑赢SPY的广度信号，这通常意味着市场内生动力仍在；④特斯拉Q2交付超预期（48万辆，+25% YoY）但股价下跌，属"利好出尽"，不宜追高。</w:t>
      </w:r>
      <w:r>
        <w:t xml:space="preserve"/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rPr>
          <w:rFonts w:ascii="Times New Roman" w:eastAsia="宋体" w:hAnsi="Times New Roman"/>
        </w:rPr>
        <w:t xml:space="preserve">一、市场全景：弱就业数据引爆"风格大切换"</w: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1. 宏观背景：6月非农"爆冷"，加息预期瓦解</w:t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7月2日盘前公布的核心数据——6月非农就业报告——成为全天交易的绝对主线：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实际值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预期值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前值（修正后）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信号含义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6月非农新增就业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+57,000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+110,000~113,000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+129,000（原172,000下修）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就业市场显著降温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6月失业率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4.2%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4.3%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4.3%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降至1年低点，但部分因劳动参与率下降 </w:t>
            </w:r>
            <w:r>
              <w:t xml:space="preserve"/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7月FOMC加息25bp概率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18%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加息预期大幅回落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2年期美债收益率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4.11%</w:t>
            </w:r>
            <w:r>
              <w:rPr>
                <w:rFonts w:ascii="Times New Roman" w:eastAsia="宋体" w:hAnsi="Times New Roman"/>
              </w:rPr>
              <w:t xml:space="preserve">（-6bp）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短端利率回落，反映加息预期降温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10年期美债收益率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4.461%</w:t>
            </w:r>
            <w:r>
              <w:rPr>
                <w:rFonts w:ascii="Times New Roman" w:eastAsia="宋体" w:hAnsi="Times New Roman"/>
              </w:rPr>
              <w:t xml:space="preserve">（-1.8bp）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长端利率同步走低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美元指数（DXY）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100.82</w:t>
            </w:r>
            <w:r>
              <w:rPr>
                <w:rFonts w:ascii="Times New Roman" w:eastAsia="宋体" w:hAnsi="Times New Roman"/>
              </w:rPr>
              <w:t xml:space="preserve">（-0.56%）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美元走弱利好风险资产和大宗商品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布伦特原油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~$70.80/桶</w:t>
            </w:r>
            <w:r>
              <w:rPr>
                <w:rFonts w:ascii="Times New Roman" w:eastAsia="宋体" w:hAnsi="Times New Roman"/>
              </w:rPr>
              <w:t xml:space="preserve">（-1.09%）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回到美伊战前水平，地缘溢价消退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WTI原油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~$67.75/桶</w:t>
            </w:r>
            <w:r>
              <w:rPr>
                <w:rFonts w:ascii="Times New Roman" w:eastAsia="宋体" w:hAnsi="Times New Roman"/>
              </w:rPr>
              <w:t xml:space="preserve">（-1.28%）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—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4个月新低</w:t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核心逻辑链：弱就业→加息预期瓦解→美债收益率下行+美元走弱→"债券替代品"板块（REITs/公用事业/必需消费）估值修复+利率敏感板块（金融/小盘）受益→同时AI硬件链因前期过度拥挤继续去杠杆。</w:t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美联储主席沃什在此前一天的表态中称"通胀风险已经下降"，但同时重申不会接受高于2%的通胀目标。</w:t>
      </w:r>
      <w:r>
        <w:t xml:space="preserve"/>
      </w:r>
      <w:r>
        <w:rPr>
          <w:rFonts w:ascii="Times New Roman" w:eastAsia="宋体" w:hAnsi="Times New Roman"/>
        </w:rPr>
        <w:t xml:space="preserve">然而6月非农的疲软数据让市场判断：</w:t>
      </w:r>
      <w:r>
        <w:rPr>
          <w:rFonts w:ascii="Times New Roman" w:eastAsia="宋体" w:hAnsi="Times New Roman"/>
          <w:b/>
          <w:bCs/>
        </w:rPr>
        <w:t xml:space="preserve">在经济放缓+油价回落的双重背景下，联储鹰派失去了继续加息的最强论据。</w:t>
      </w:r>
      <w:r>
        <w:rPr>
          <w:rFonts w:ascii="Times New Roman" w:eastAsia="宋体" w:hAnsi="Times New Roman"/>
        </w:rPr>
        <w:t xml:space="preserve">有分析认为，如果数据维持当前态势，2026年全年可能不再加息，仅12月有一次被定价。</w:t>
      </w:r>
      <w:r>
        <w:t xml:space="preserve"/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地缘方面，美伊在多哈的间接谈判取得"积极进展"，特朗普称"伊朗去核化进展顺利"，霍尔木兹海峡航运部分恢复，油价回到2月27日（战争爆发前一天）水平。</w:t>
      </w:r>
      <w:r>
        <w:t xml:space="preserve"/>
      </w:r>
      <w:r>
        <w:rPr>
          <w:rFonts w:ascii="Times New Roman" w:eastAsia="宋体" w:hAnsi="Times New Roman"/>
        </w:rPr>
        <w:t xml:space="preserve">这进一步强化了"通胀压力消退"的叙事。</w: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2. 三大指数表现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指数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7月2日收盘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单日涨跌点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信号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道琼斯工业指数（^DJI）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52,900.07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+1.14%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+594.83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📈 </w:t>
            </w:r>
            <w:r>
              <w:rPr>
                <w:rFonts w:ascii="Times New Roman" w:eastAsia="宋体" w:hAnsi="Times New Roman"/>
                <w:b/>
                <w:bCs/>
              </w:rPr>
              <w:t xml:space="preserve">历史新高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标普500（^GSPC）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7,483.24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≈0%（+0.01）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+0.01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➡️ 表面平收，内部剧烈分化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纳斯达克综合指数（^IXIC）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25,382.67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-0.8%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-207.36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📉 科技拖累</w:t>
            </w:r>
          </w:p>
        </w:tc>
      </w:tr>
      <w:tr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纳斯达克100（NDX）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29,329.21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-1.61%</w:t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-479.92 </w:t>
            </w:r>
            <w:r>
              <w:t xml:space="preserve"/>
            </w:r>
          </w:p>
        </w:tc>
        <w:tc>
          <w:tcPr>
            <w:tcW w:type="dxa" w:w="1662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📉 大型科技股更弱</w:t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</w:rPr>
        <w:t xml:space="preserve">道指创历史新高而纳指下跌，这种分化极为罕见，清晰表明资金从科技巨头向传统蓝筹/周期/防御板块的大规模迁移。标普500表面"平收"具有极大欺骗性——</w:t>
      </w:r>
      <w:r>
        <w:rPr>
          <w:rFonts w:ascii="Times New Roman" w:eastAsia="宋体" w:hAnsi="Times New Roman"/>
          <w:b/>
          <w:bCs/>
        </w:rPr>
        <w:t xml:space="preserve">十只股票中有七只上涨，但权重最大的科技巨头拖累了指数。</w:t>
      </w:r>
      <w:r>
        <w:t xml:space="preserve"/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3. 宽基ETF风向标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ETF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vs 50日均价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vs 200日均价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信号解读</w:t>
            </w:r>
          </w:p>
        </w:tc>
      </w:tr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SPY</w:t>
            </w:r>
            <w:r>
              <w:rPr>
                <w:rFonts w:ascii="Times New Roman" w:eastAsia="宋体" w:hAnsi="Times New Roman"/>
              </w:rPr>
              <w:t xml:space="preserve">（标普500）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$744.78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-0.13%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+1.1%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+7.6%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表面微跌，掩盖内部巨幅分化</w:t>
            </w:r>
          </w:p>
        </w:tc>
      </w:tr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RSP</w:t>
            </w:r>
            <w:r>
              <w:rPr>
                <w:rFonts w:ascii="Times New Roman" w:eastAsia="宋体" w:hAnsi="Times New Roman"/>
              </w:rPr>
              <w:t xml:space="preserve">（标普500等权）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$214.91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+0.70%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+4.0%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+9.1%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📈 </w:t>
            </w:r>
            <w:r>
              <w:rPr>
                <w:rFonts w:ascii="Times New Roman" w:eastAsia="宋体" w:hAnsi="Times New Roman"/>
                <w:b/>
                <w:bCs/>
              </w:rPr>
              <w:t xml:space="preserve">创年内新高</w:t>
            </w:r>
            <w:r>
              <w:rPr>
                <w:rFonts w:ascii="Times New Roman" w:eastAsia="宋体" w:hAnsi="Times New Roman"/>
              </w:rPr>
              <w:t xml:space="preserve">，广度爆发</w:t>
            </w:r>
          </w:p>
        </w:tc>
      </w:tr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QQQ</w:t>
            </w:r>
            <w:r>
              <w:rPr>
                <w:rFonts w:ascii="Times New Roman" w:eastAsia="宋体" w:hAnsi="Times New Roman"/>
              </w:rPr>
              <w:t xml:space="preserve">（纳斯达克100）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$712.60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-1.73%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+0.7%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+12.3%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科技巨头集体回调</w:t>
            </w:r>
          </w:p>
        </w:tc>
      </w:tr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QQQJ</w:t>
            </w:r>
            <w:r>
              <w:rPr>
                <w:rFonts w:ascii="Times New Roman" w:eastAsia="宋体" w:hAnsi="Times New Roman"/>
              </w:rPr>
              <w:t xml:space="preserve">（纳指下一代100）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$45.42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-0.20%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+5.8%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+17.6%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跌幅远小于QQQ，二线科技韧性更强</w:t>
            </w:r>
          </w:p>
        </w:tc>
      </w:tr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IWM</w:t>
            </w:r>
            <w:r>
              <w:rPr>
                <w:rFonts w:ascii="Times New Roman" w:eastAsia="宋体" w:hAnsi="Times New Roman"/>
              </w:rPr>
              <w:t xml:space="preserve">（罗素2000）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$297.58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-0.58%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+4.0%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+14.2%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小幅回调，利率利好未完全兑现</w:t>
            </w:r>
          </w:p>
        </w:tc>
      </w:tr>
      <w:tr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MAGS</w:t>
            </w:r>
            <w:r>
              <w:rPr>
                <w:rFonts w:ascii="Times New Roman" w:eastAsia="宋体" w:hAnsi="Times New Roman"/>
              </w:rPr>
              <w:t xml:space="preserve">（七巨头）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$65.10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-1.12%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-3.0%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+0.3%</w:t>
            </w:r>
          </w:p>
        </w:tc>
        <w:tc>
          <w:tcPr>
            <w:tcW w:type="dxa" w:w="1385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七巨头集体走弱，跌破50日均线</w:t>
            </w:r>
          </w:p>
        </w:tc>
      </w:tr>
    </w:tbl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4. 宽基相对强弱信号深度解读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① RSP vs SPY：市场广度信号——"冰火两重天"</w:t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RSP涨</w:t>
      </w:r>
      <w:r>
        <w:rPr>
          <w:rFonts w:ascii="Times New Roman" w:eastAsia="宋体" w:hAnsi="Times New Roman"/>
          <w:b/>
          <w:bCs/>
        </w:rPr>
        <w:t xml:space="preserve">+0.70%</w:t>
      </w:r>
      <w:r>
        <w:rPr>
          <w:rFonts w:ascii="Times New Roman" w:eastAsia="宋体" w:hAnsi="Times New Roman"/>
        </w:rPr>
        <w:t xml:space="preserve">而SPY跌</w:t>
      </w:r>
      <w:r>
        <w:rPr>
          <w:rFonts w:ascii="Times New Roman" w:eastAsia="宋体" w:hAnsi="Times New Roman"/>
          <w:b/>
          <w:bCs/>
        </w:rPr>
        <w:t xml:space="preserve">-0.13%</w:t>
      </w:r>
      <w:r>
        <w:rPr>
          <w:rFonts w:ascii="Times New Roman" w:eastAsia="宋体" w:hAnsi="Times New Roman"/>
        </w:rPr>
        <w:t xml:space="preserve">，RSP跑赢SPY约</w:t>
      </w:r>
      <w:r>
        <w:rPr>
          <w:rFonts w:ascii="Times New Roman" w:eastAsia="宋体" w:hAnsi="Times New Roman"/>
          <w:b/>
          <w:bCs/>
        </w:rPr>
        <w:t xml:space="preserve">83个基点</w:t>
      </w:r>
      <w:r>
        <w:rPr>
          <w:rFonts w:ascii="Times New Roman" w:eastAsia="宋体" w:hAnsi="Times New Roman"/>
        </w:rPr>
        <w:t xml:space="preserve">。</w:t>
      </w:r>
      <w:r>
        <w:t xml:space="preserve"/>
      </w:r>
      <w:r>
        <w:rPr>
          <w:rFonts w:ascii="Times New Roman" w:eastAsia="宋体" w:hAnsi="Times New Roman"/>
        </w:rPr>
        <w:t xml:space="preserve">这是极为强烈的市场广度信号——</w:t>
      </w:r>
      <w:r>
        <w:rPr>
          <w:rFonts w:ascii="Times New Roman" w:eastAsia="宋体" w:hAnsi="Times New Roman"/>
          <w:b/>
          <w:bCs/>
        </w:rPr>
        <w:t xml:space="preserve">当等权指数大幅跑赢市值加权指数时，意味着上涨股票的广度极宽，资金正在从少数权重股扩散到更广泛的市场。</w:t>
      </w:r>
      <w:r>
        <w:rPr>
          <w:rFonts w:ascii="Times New Roman" w:eastAsia="宋体" w:hAnsi="Times New Roman"/>
        </w:rPr>
        <w:t xml:space="preserve">结合纽交所涨跌比3.85:1和标普十一大板块十个收涨的数据</w:t>
      </w:r>
      <w:r>
        <w:t xml:space="preserve"/>
      </w:r>
      <w:r>
        <w:rPr>
          <w:rFonts w:ascii="Times New Roman" w:eastAsia="宋体" w:hAnsi="Times New Roman"/>
        </w:rPr>
        <w:t xml:space="preserve">，这说明当前市场并非"风险偏好崩塌"，而是"资金结构性再分配"——从拥挤的AI硬件链流向被长期低估的周期价值+防御高息板块。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RSP同时创出年内新高（</w:t>
      </w:r>
      <m:oMath>
        <m:r>
          <m:t>214.91，上探</m:t>
        </m:r>
      </m:oMath>
      <w:r>
        <w:rPr>
          <w:rFonts w:ascii="Times New Roman" w:eastAsia="宋体" w:hAnsi="Times New Roman"/>
          <w:b/>
          <w:bCs/>
        </w:rPr>
        <w:t xml:space="preserve">215.61日内高点）</w:t>
      </w:r>
      <w:r>
        <w:t xml:space="preserve"/>
      </w:r>
      <w:r>
        <w:rPr>
          <w:rFonts w:ascii="Times New Roman" w:eastAsia="宋体" w:hAnsi="Times New Roman"/>
        </w:rPr>
        <w:t xml:space="preserve">，这是一个重要的积极信号：美国本土实体经济的代表——中小市值/传统行业——正在获得增量资金青睐。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② QQQJ vs QQQ：风险偏好信号——"二线科技更抗跌"</w:t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QQQJ仅跌</w:t>
      </w:r>
      <w:r>
        <w:rPr>
          <w:rFonts w:ascii="Times New Roman" w:eastAsia="宋体" w:hAnsi="Times New Roman"/>
          <w:b/>
          <w:bCs/>
        </w:rPr>
        <w:t xml:space="preserve">-0.20%</w:t>
      </w:r>
      <w:r>
        <w:rPr>
          <w:rFonts w:ascii="Times New Roman" w:eastAsia="宋体" w:hAnsi="Times New Roman"/>
        </w:rPr>
        <w:t xml:space="preserve">而QQQ跌</w:t>
      </w:r>
      <w:r>
        <w:rPr>
          <w:rFonts w:ascii="Times New Roman" w:eastAsia="宋体" w:hAnsi="Times New Roman"/>
          <w:b/>
          <w:bCs/>
        </w:rPr>
        <w:t xml:space="preserve">-1.73%</w:t>
      </w:r>
      <w:r>
        <w:rPr>
          <w:rFonts w:ascii="Times New Roman" w:eastAsia="宋体" w:hAnsi="Times New Roman"/>
        </w:rPr>
        <w:t xml:space="preserve">，QQQJ大幅跑赢QQQ约</w:t>
      </w:r>
      <w:r>
        <w:rPr>
          <w:rFonts w:ascii="Times New Roman" w:eastAsia="宋体" w:hAnsi="Times New Roman"/>
          <w:b/>
          <w:bCs/>
        </w:rPr>
        <w:t xml:space="preserve">153个基点</w:t>
      </w:r>
      <w:r>
        <w:rPr>
          <w:rFonts w:ascii="Times New Roman" w:eastAsia="宋体" w:hAnsi="Times New Roman"/>
        </w:rPr>
        <w:t xml:space="preserve">。</w:t>
      </w:r>
      <w:r>
        <w:t xml:space="preserve"/>
      </w:r>
      <w:r>
        <w:rPr>
          <w:rFonts w:ascii="Times New Roman" w:eastAsia="宋体" w:hAnsi="Times New Roman"/>
        </w:rPr>
        <w:t xml:space="preserve">这看似反直觉——通常QQQJ跑赢QQQ代表风险偏好高，但今天的情况略有不同：</w:t>
      </w:r>
      <w:r>
        <w:rPr>
          <w:rFonts w:ascii="Times New Roman" w:eastAsia="宋体" w:hAnsi="Times New Roman"/>
          <w:b/>
          <w:bCs/>
        </w:rPr>
        <w:t xml:space="preserve">QQQJ的跌幅小，更多是因为它的成分股（二线SaaS、云计算、前沿生物科技）与"AI半导体去拥挤"的相关性较低</w:t>
      </w:r>
      <w:r>
        <w:rPr>
          <w:rFonts w:ascii="Times New Roman" w:eastAsia="宋体" w:hAnsi="Times New Roman"/>
        </w:rPr>
        <w:t xml:space="preserve">，而非市场在主动下沉寻找高弹性。换言之，今天QQQJ跑赢QQQ不是因为"资金主动追涨二线"，而是因为"一线AI硬件暴跌拖累QQQ"。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③ MAGS：七巨头信号——"龙头集体熄火"</w:t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MAGS跌</w:t>
      </w:r>
      <w:r>
        <w:rPr>
          <w:rFonts w:ascii="Times New Roman" w:eastAsia="宋体" w:hAnsi="Times New Roman"/>
          <w:b/>
          <w:bCs/>
        </w:rPr>
        <w:t xml:space="preserve">-1.12%</w:t>
      </w:r>
      <w:r>
        <w:rPr>
          <w:rFonts w:ascii="Times New Roman" w:eastAsia="宋体" w:hAnsi="Times New Roman"/>
        </w:rPr>
        <w:t xml:space="preserve">至</w:t>
      </w:r>
      <m:oMath>
        <m:r>
          <m:t>65.10，已跌破50日均价</m:t>
        </m:r>
      </m:oMath>
      <w:r>
        <w:rPr>
          <w:rFonts w:ascii="Times New Roman" w:eastAsia="宋体" w:hAnsi="Times New Roman"/>
        </w:rPr>
        <w:t xml:space="preserve">67.09（偏离-3.0%），逼近200日均价$64.91（仅+0.3%上方）。</w:t>
      </w:r>
      <w:r>
        <w:t xml:space="preserve"/>
      </w:r>
      <w:r>
        <w:rPr>
          <w:rFonts w:ascii="Times New Roman" w:eastAsia="宋体" w:hAnsi="Times New Roman"/>
        </w:rPr>
        <w:t xml:space="preserve">七巨头（苹果、微软、谷歌、亚马逊、英伟达、Meta、特斯拉）集体走弱，但需注意分化——前一天Meta大涨8.81%后可能面临获利回吐，英伟达续跌1.39%，特斯拉尽管交付超预期但股价下跌。</w:t>
      </w:r>
      <w:r>
        <w:t xml:space="preserve"/>
      </w:r>
      <w:r>
        <w:rPr>
          <w:rFonts w:ascii="Times New Roman" w:eastAsia="宋体" w:hAnsi="Times New Roman"/>
        </w:rPr>
        <w:t xml:space="preserve">MAGS跌破50日均线是一个值得警惕的技术信号，若后续跌破200日均线，可能意味着七巨头主导的"集中牛市"进入更深层次调整。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④ IWM：利率敏感度信号——"利好兑现不充分"</w:t>
      </w:r>
    </w:p>
    <w:p>
      <w:pPr>
        <w:spacing w:line="240"/>
        <w:jc w:val="left"/>
      </w:pPr>
      <w:r>
        <w:rPr>
          <w:rFonts w:ascii="Times New Roman" w:eastAsia="宋体" w:hAnsi="Times New Roman"/>
        </w:rPr>
        <w:t xml:space="preserve">IWM跌</w:t>
      </w:r>
      <w:r>
        <w:rPr>
          <w:rFonts w:ascii="Times New Roman" w:eastAsia="宋体" w:hAnsi="Times New Roman"/>
          <w:b/>
          <w:bCs/>
        </w:rPr>
        <w:t xml:space="preserve">-0.58%</w:t>
      </w:r>
      <w:r>
        <w:rPr>
          <w:rFonts w:ascii="Times New Roman" w:eastAsia="宋体" w:hAnsi="Times New Roman"/>
        </w:rPr>
        <w:t xml:space="preserve">至$297.58。</w:t>
      </w:r>
      <w:r>
        <w:t xml:space="preserve"/>
      </w:r>
      <w:r>
        <w:rPr>
          <w:rFonts w:ascii="Times New Roman" w:eastAsia="宋体" w:hAnsi="Times New Roman"/>
        </w:rPr>
        <w:t xml:space="preserve">按框架逻辑，弱就业→加息预期降温→小盘股（极度依赖银行贷款）应受益。但IWM当天不涨反跌，略有回调。可能原因：①前一交易日已有部分抢跑；②独立日假期前获利了结；③市场对经济放缓本身的担忧开始浮现——弱就业不只是"利好降息"，也可能暗示经济动能减弱，对中小企业基本面不利。</w:t>
      </w:r>
      <w:r>
        <w:rPr>
          <w:rFonts w:ascii="Times New Roman" w:eastAsia="宋体" w:hAnsi="Times New Roman"/>
          <w:b/>
          <w:bCs/>
        </w:rPr>
        <w:t xml:space="preserve">这种"利好不涨"的信号值得持续观察。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rPr>
          <w:rFonts w:ascii="Times New Roman" w:eastAsia="宋体" w:hAnsi="Times New Roman"/>
        </w:rPr>
        <w:t xml:space="preserve">二、顺周期成长进攻板块</w: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1. SOXX —— 半导体：连续两天暴跌，"去拥挤"进入深水区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$566.32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-5.57%</w:t>
            </w:r>
            <w:r>
              <w:rPr>
                <w:rFonts w:ascii="Times New Roman" w:eastAsia="宋体" w:hAnsi="Times New Roman"/>
              </w:rPr>
              <w:t xml:space="preserve">（-$33.38）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$542.72（收盘高于50日+4.3%）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$374.83（收盘高于200日+51.1%）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日内振幅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m:oMath>
              <m:r>
                <m:t>554.91 ~</m:t>
              </m:r>
            </m:oMath>
            <w:r>
              <w:rPr>
                <w:rFonts w:ascii="Times New Roman" w:eastAsia="宋体" w:hAnsi="Times New Roman"/>
              </w:rPr>
              <w:t xml:space="preserve">608.11（振幅9.4%）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SOXX的核心驱动力是"科技巨头资本开支周期+芯片3-4年库存周期"。当前正处于</w:t>
      </w:r>
      <w:r>
        <w:rPr>
          <w:rFonts w:ascii="Times New Roman" w:eastAsia="宋体" w:hAnsi="Times New Roman"/>
          <w:b/>
          <w:bCs/>
        </w:rPr>
        <w:t xml:space="preserve">上半年暴涨后的"集中获利了结+供给过剩担忧"阶段</w:t>
      </w:r>
      <w:r>
        <w:rPr>
          <w:rFonts w:ascii="Times New Roman" w:eastAsia="宋体" w:hAnsi="Times New Roman"/>
        </w:rPr>
        <w:t xml:space="preserve">。7月1日SOXX已暴跌（前一交易日数据），7月2日再跌5.57%，</w:t>
      </w:r>
      <w:r>
        <w:rPr>
          <w:rFonts w:ascii="Times New Roman" w:eastAsia="宋体" w:hAnsi="Times New Roman"/>
          <w:b/>
          <w:bCs/>
        </w:rPr>
        <w:t xml:space="preserve">两天累计回撤超过10%</w:t>
      </w:r>
      <w:r>
        <w:rPr>
          <w:rFonts w:ascii="Times New Roman" w:eastAsia="宋体" w:hAnsi="Times New Roman"/>
        </w:rPr>
        <w:t xml:space="preserve">，属于教科书级别的"拥挤交易去杠杆"。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弱就业数据理论上利好科技（加息预期降温→折现率降低→成长股估值抬升），但半导体完全不买账。这说明：①利率利好已被"去拥挤"的卖压完全淹没；②市场对AI算力供给过剩的担忧已从"假设"变成"共识"——前一天Meta大涨的逻辑（平台自建云→算力供给扩张→硬件链估值压缩）仍在发酵；③拉姆研究跌10.19%、应用材料跌7.35%、美光跌5.49%等个股暴跌</w:t>
      </w:r>
      <w:r>
        <w:t xml:space="preserve"/>
      </w:r>
      <w:r>
        <w:rPr>
          <w:rFonts w:ascii="Times New Roman" w:eastAsia="宋体" w:hAnsi="Times New Roman"/>
        </w:rPr>
        <w:t xml:space="preserve">，说明存储和设备链条的抛压最重，因为这些环节对"资本开支上修斜率"最敏感。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边际变化信号：</w:t>
      </w:r>
      <w:r>
        <w:rPr>
          <w:rFonts w:ascii="Times New Roman" w:eastAsia="宋体" w:hAnsi="Times New Roman"/>
        </w:rPr>
        <w:t xml:space="preserve"> SOXX收盘</w:t>
      </w:r>
      <m:oMath>
        <m:r>
          <m:t>566.32仍高于50日均价</m:t>
        </m:r>
      </m:oMath>
      <w:r>
        <w:rPr>
          <w:rFonts w:ascii="Times New Roman" w:eastAsia="宋体" w:hAnsi="Times New Roman"/>
        </w:rPr>
        <w:t xml:space="preserve">542.72，但日内最低触及</w:t>
      </w:r>
      <m:oMath>
        <m:r>
          <m:t>554.91，距50日均线仅2.2%的距离。**若下周继续跌破50日均线，技术上将从"强势回调"转为"趋势走弱"。**200日均价</m:t>
        </m:r>
      </m:oMath>
      <w:r>
        <w:rPr>
          <w:rFonts w:ascii="Times New Roman" w:eastAsia="宋体" w:hAnsi="Times New Roman"/>
        </w:rPr>
        <w:t xml:space="preserve">374.83仍远低于现价（+51%），中期上升趋势未破，但短期技术面正在快速恶化。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操作判断：⚠️ 坚决回避，不抄底。</w:t>
      </w:r>
      <w:r>
        <w:rPr>
          <w:rFonts w:ascii="Times New Roman" w:eastAsia="宋体" w:hAnsi="Times New Roman"/>
        </w:rPr>
        <w:t xml:space="preserve"> 连续两天暴跌后的第一个反弹通常是"死猫弹"，真正的买点需要等：①成交量萎缩（抛压衰竭信号）；②收盘站回50日均线上方；③有明确的产业催化剂（如业绩超预期或资本开支指引上修）。当前三个条件均不满足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2. IGV —— 软件：逆势微涨，AI变现入口的"避风港"效应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$93.57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+0.25%</w:t>
            </w:r>
            <w:r>
              <w:rPr>
                <w:rFonts w:ascii="Times New Roman" w:eastAsia="宋体" w:hAnsi="Times New Roman"/>
              </w:rPr>
              <w:t xml:space="preserve">（+$0.23）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$91.13（收盘高于50日+2.7%）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$97.11（收盘低于200日-3.6%）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IGV的核心驱动力是"AI从硬件到软件的变现验证——微软Copilot、Salesforce Einstein AI等关键测试"。当硬件链因"供给过剩"担忧下跌时，软件作为"需求入口和变现层"反而受益，这完全符合7月1日Meta大涨所揭示的"AI利润池重新分配"逻辑。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在半导体暴跌5.57%的背景下，IGV逆势微涨0.25%，形成了鲜明的对比。这验证了框架的核心判断——</w:t>
      </w:r>
      <w:r>
        <w:rPr>
          <w:rFonts w:ascii="Times New Roman" w:eastAsia="宋体" w:hAnsi="Times New Roman"/>
          <w:b/>
          <w:bCs/>
        </w:rPr>
        <w:t xml:space="preserve">"市场已经为英伟达硬件买单，现在焦点全在IGV身上。"</w:t>
      </w:r>
      <w:r>
        <w:rPr>
          <w:rFonts w:ascii="Times New Roman" w:eastAsia="宋体" w:hAnsi="Times New Roman"/>
        </w:rPr>
        <w:t xml:space="preserve">弱就业→加息预期降温→折现率降低→对利率敏感的高久期SaaS资产估值受益，这也是IGV走强的额外支撑。但需注意IGV仍低于200日均价（-3.6%），说明软件板块中期趋势仍偏弱，今天的微涨更多是"相对抗跌"而非"趋势反转"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操作判断：🟡 观察为主，可列入关注池。</w:t>
      </w:r>
      <w:r>
        <w:rPr>
          <w:rFonts w:ascii="Times New Roman" w:eastAsia="宋体" w:hAnsi="Times New Roman"/>
        </w:rPr>
        <w:t xml:space="preserve"> IGV的相对强势提供了软件板块正在接棒AI叙事的线索，但绝对趋势尚未转正（低于200日均线）。若后续IGV能站回200日均价$97.11上方，将是更积极的信号。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3. XLC —— 通信服务：微跌持平，谷歌Meta权重主导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$109.60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-0.13%</w:t>
            </w:r>
            <w:r>
              <w:rPr>
                <w:rFonts w:ascii="Times New Roman" w:eastAsia="宋体" w:hAnsi="Times New Roman"/>
              </w:rPr>
              <w:t xml:space="preserve">（-$0.14）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$113.63（收盘低于50日-3.5%）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$115.12（收盘低于200日-4.8%）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XLC的驱动力是"谷歌+Meta的广告变现能力+美债利率影响"。谷歌和Meta合计占约95%权重，底层商业模式是卖广告，企业盈利预期良好时迎业绩爆发。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C微跌0.13%，基本持平。前一天Meta暴涨8.81%后的获利回吐可能部分抵消了利率利好。同时，XLC已跌破50日和200日均价，中期技术面偏弱，说明广告板块在当前宏观环境下（经济放缓担忧+AI对搜索广告格局的潜在冲击）尚未获得资金持续青睐。弱就业虽然利好利率敏感型资产，但也隐含企业广告支出可能放缓的风险——这种"双向拉扯"使得XLC表现中性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操作判断：🟡 中性观望。</w:t>
      </w:r>
      <w:r>
        <w:rPr>
          <w:rFonts w:ascii="Times New Roman" w:eastAsia="宋体" w:hAnsi="Times New Roman"/>
        </w:rPr>
        <w:t xml:space="preserve"> XLC同时受利率利好和经济放缓利空双向影响，方向不明确。需等待Q2业绩季中谷歌和Meta的广告收入数据来验证基本面。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4. XLY —— 非必需消费：微跌，特斯拉"利好出尽"拖累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$117.12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-0.82%</w:t>
            </w:r>
            <w:r>
              <w:rPr>
                <w:rFonts w:ascii="Times New Roman" w:eastAsia="宋体" w:hAnsi="Times New Roman"/>
              </w:rPr>
              <w:t xml:space="preserve">（-$0.97）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$117.55（收盘略低于50日-0.4%）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$117.56（收盘略低于200日-0.4%）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XLY的驱动力是"消费者信心与就业市场"。涵盖亚马逊、特斯拉，居民支配收入上升、信贷宽松时弹性巨大。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弱就业数据对XLY是"双刃剑"——加息预期降温利好信贷环境，但就业增长放缓直接威胁消费者支出前景。特斯拉Q2交付48.01万辆（同比+25%），超出市场预期，但股价下跌，属于典型的"利好出尽"——欧洲需求受高油价推动增长，但美国市场因电动车税收抵免取消持续萎缩。</w:t>
      </w:r>
      <w:r>
        <w:t xml:space="preserve"/>
      </w:r>
      <w:r>
        <w:rPr>
          <w:rFonts w:ascii="Times New Roman" w:eastAsia="宋体" w:hAnsi="Times New Roman"/>
        </w:rPr>
        <w:t xml:space="preserve">特斯拉在XLY中权重较大，其下跌拖累了整个ETF。XLY收盘恰好位于50日和200日均价附近（偏离均&lt;0.5%），处于关键技术十字路口。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操作判断：🟡 谨慎观望。</w:t>
      </w:r>
      <w:r>
        <w:rPr>
          <w:rFonts w:ascii="Times New Roman" w:eastAsia="宋体" w:hAnsi="Times New Roman"/>
        </w:rPr>
        <w:t xml:space="preserve"> XLY处于均线交汇处的方向选择期。弱就业对消费者信心的负面影响可能在未来几个月逐步显现，不宜在当前位置追多。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5. XLI —— 工业：小幅收涨，PMI逻辑待验证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$183.91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+0.30%</w:t>
            </w:r>
            <w:r>
              <w:rPr>
                <w:rFonts w:ascii="Times New Roman" w:eastAsia="宋体" w:hAnsi="Times New Roman"/>
              </w:rPr>
              <w:t xml:space="preserve">（+$0.55）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$175.03（收盘高于50日+5.1%）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$164.37（收盘高于200日+11.9%）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XLI的驱动力是"PMI突破50荣枯线并上升趋势时迎戴维斯双击"。当前利率预期改善对工业板块有利（融资成本下降→企业资本开支意愿回升），但弱就业暗示制造业景气可能仍偏弱。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I收涨0.30%，表现温和积极。加息预期降温直接利好工业板块（降低企业融资成本、刺激设备投资），但弱就业隐含的经济放缓担忧限制了涨幅。XLI远高于50日（+5.1%）和200日（+11.9%）均价，中期上行趋势完好。道指创历史新高也带动了卡特彼勒、UPS等工业权重股走强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 偏多持有。</w:t>
      </w:r>
      <w:r>
        <w:rPr>
          <w:rFonts w:ascii="Times New Roman" w:eastAsia="宋体" w:hAnsi="Times New Roman"/>
        </w:rPr>
        <w:t xml:space="preserve"> XLI趋势完好，利率预期改善构成顺风。关键验证点是后续ISM制造业PMI数据——若能突破50荣枯线，将触发框架所述的"戴维斯双击"行情。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6. XLB —— 材料：涨幅领先，铜金矿+特种气体双重驱动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$52.01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+1.94%</w:t>
            </w:r>
            <w:r>
              <w:rPr>
                <w:rFonts w:ascii="Times New Roman" w:eastAsia="宋体" w:hAnsi="Times New Roman"/>
              </w:rPr>
              <w:t xml:space="preserve">（+$0.99）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$51.26（收盘高于50日+1.5%）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$48.29（收盘高于200日+7.7%）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XLB的驱动力是"宏观经济周期+新产业趋势重塑"。50%化工（林德气体等特种气体是半导体制造关键材料）、24%有色金属（麦克莫兰铜金FCX是全球电气化核心受益者）。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XLB涨1.94%，是顺周期板块中表现最强的。多重利好叠加：①美元走弱（DXY -0.56%）直接利好以美元计价的大宗商品和材料股；②加息预期降温降低融资成本；③油价回落降低化工企业原料成本；④半导体暴跌反而凸显特种气体（半导体制造上游）的"卖水人"价值。XLB高于50日和200日均价，趋势健康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 偏多。</w:t>
      </w:r>
      <w:r>
        <w:rPr>
          <w:rFonts w:ascii="Times New Roman" w:eastAsia="宋体" w:hAnsi="Times New Roman"/>
        </w:rPr>
        <w:t xml:space="preserve"> XLB受益于美元走弱+利率下行+大宗商品企稳的三重顺风。但需注意：若弱就业后续演变为经济衰退，工业金属需求将受冲击。当前阶段"软着陆+降息预期"组合对XLB最为有利。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rPr>
          <w:rFonts w:ascii="Times New Roman" w:eastAsia="宋体" w:hAnsi="Times New Roman"/>
        </w:rPr>
        <w:t xml:space="preserve">三、利率宏观敏感板块</w: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1. XLF —— 金融：加息预期降温最大受益者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$55.62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+1.53%</w:t>
            </w:r>
            <w:r>
              <w:rPr>
                <w:rFonts w:ascii="Times New Roman" w:eastAsia="宋体" w:hAnsi="Times New Roman"/>
              </w:rPr>
              <w:t xml:space="preserve">（+$0.84）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$52.25（收盘高于50日+6.5%）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$52.56（收盘高于200日+5.8%）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XLF的驱动力是"净息差（10年期减2年期）+牛市中企业CEO信心爆棚推动并购/IPO"。涵盖伯克希尔、四大银行、Visa/万事达、高盛/摩根斯坦利。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F涨1.53%，是利率敏感板块中表现最强的。弱就业→加息预期瓦解→短端利率（2年期）下行更快→收益率曲线可能陡峭化→银行净息差预期改善。同时，道指创历史新高+市场广度爆发提振了金融市场的整体活跃度，利好交易业务和并购活动。CME集团涨2.42%、Robinhood涨3.76%、Coinbase涨3.92%等金融基础设施/交易平台的强势也反映了这一逻辑。</w:t>
      </w:r>
      <w:r>
        <w:t xml:space="preserve"/>
      </w:r>
      <w:r>
        <w:rPr>
          <w:rFonts w:ascii="Times New Roman" w:eastAsia="宋体" w:hAnsi="Times New Roman"/>
        </w:rPr>
        <w:t xml:space="preserve">XLF已站上50日和200日均价上方，技术面转多。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 偏多。</w:t>
      </w:r>
      <w:r>
        <w:rPr>
          <w:rFonts w:ascii="Times New Roman" w:eastAsia="宋体" w:hAnsi="Times New Roman"/>
        </w:rPr>
        <w:t xml:space="preserve"> 加息预期降温是XLF最直接的催化剂。但需警惕：若弱就业演变为经济衰退，银行资产质量将恶化（坏账率上升），这将抵消净息差改善的利好。当前"软着陆+不再加息"组合对XLF最优。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2. VNQ —— 房地产REITs：利率下行直接催化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$98.02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+1.24%</w:t>
            </w:r>
            <w:r>
              <w:rPr>
                <w:rFonts w:ascii="Times New Roman" w:eastAsia="宋体" w:hAnsi="Times New Roman"/>
              </w:rPr>
              <w:t xml:space="preserve">（+$1.20）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$96.27（收盘高于50日+1.8%）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$92.33（收盘高于200日+6.2%）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VNQ的驱动力是"债券替代品效应——当美债收益率下降时，REITs的股息收益率相对吸引力上升"。涵盖通信塔、医疗、零售等收租物业。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VNQ涨1.24%，完全符合框架逻辑——10年期美债收益率下行1.8bp至4.461%</w:t>
      </w:r>
      <w:r>
        <w:t xml:space="preserve"/>
      </w:r>
      <w:r>
        <w:rPr>
          <w:rFonts w:ascii="Times New Roman" w:eastAsia="宋体" w:hAnsi="Times New Roman"/>
        </w:rPr>
        <w:t xml:space="preserve">，REITs作为"债券替代品"的相对吸引力提升。弱就业+加息预期降温=利率下行=REITs估值修复，这是最直接的"教科书式"交易。VNQ高于50日和200日均价，趋势偏多。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 偏多。</w:t>
      </w:r>
      <w:r>
        <w:rPr>
          <w:rFonts w:ascii="Times New Roman" w:eastAsia="宋体" w:hAnsi="Times New Roman"/>
        </w:rPr>
        <w:t xml:space="preserve"> VNQ的逻辑非常清晰——利率下行即利好。但需注意：若经济放缓导致商业地产空置率上升，租金收入将受影响。当前利率下行的催化强于经济放缓的担忧，可偏多持有。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rPr>
          <w:rFonts w:ascii="Times New Roman" w:eastAsia="宋体" w:hAnsi="Times New Roman"/>
        </w:rPr>
        <w:t xml:space="preserve">四、防御高股息板块</w: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1. XLU —— 公用事业：涨幅仅次于医疗，"AI算力物理瓶颈"叙事加持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$45.76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+2.21%</w:t>
            </w:r>
            <w:r>
              <w:rPr>
                <w:rFonts w:ascii="Times New Roman" w:eastAsia="宋体" w:hAnsi="Times New Roman"/>
              </w:rPr>
              <w:t xml:space="preserve">（+$0.99）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$45.00（收盘高于50日+1.7%）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$44.69（收盘高于200日+2.4%）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XLU已从传统"债券替代品"裂变为"AI算力爆发的物理瓶颈"——数据中心电力需求激增使得公用事业公司获得新的增长引擎。同时仍保留利率敏感属性。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U涨2.21%，涨幅在所有18个ETF中排名第二（仅次于XLV的+2.63%）。双重驱动：①利率下行→债券替代品估值修复；②AI数据中心电力需求叙事→增长期权定价。弱就业+油价回落→通胀预期降温→利率下行→公用事业"双重属性"同时受益。XLU站上50日和200日均价，技术面偏多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 偏多。</w:t>
      </w:r>
      <w:r>
        <w:rPr>
          <w:rFonts w:ascii="Times New Roman" w:eastAsia="宋体" w:hAnsi="Times New Roman"/>
        </w:rPr>
        <w:t xml:space="preserve"> XLU兼具"利率下行受益+AI基础设施受益"双重逻辑，是当前环境下攻守兼备的标的。独立日后若利率继续下行，XLU有望延续强势。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2. XLP —— 必需消费品：避险资金涌入，经典防御走强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$84.99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+2.03%</w:t>
            </w:r>
            <w:r>
              <w:rPr>
                <w:rFonts w:ascii="Times New Roman" w:eastAsia="宋体" w:hAnsi="Times New Roman"/>
              </w:rPr>
              <w:t xml:space="preserve">（+$1.69）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$83.90（收盘高于50日+1.3%）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$81.70（收盘高于200日+4.0%）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XLP的驱动力是"市场恐慌/抛售科技股时资金涌入稳定现金流和高分红避险"。涵盖宝洁、好市多、沃尔玛、可口可乐等。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P涨2.03%，涨幅排名第三。逻辑完全符合框架——当科技股（尤其是半导体）暴跌时，资金涌入必需消费品避险。弱就业数据虽然隐含经济放缓风险，但必需消费品作为"刚需"板块对经济周期不敏感，反而因其防御属性获得资金青睐。Dollar Tree涨2.39%也反映了"消费降级"逻辑下的避险需求。</w:t>
      </w:r>
      <w:r>
        <w:t xml:space="preserve"/>
      </w:r>
      <w:r>
        <w:rPr>
          <w:rFonts w:ascii="Times New Roman" w:eastAsia="宋体" w:hAnsi="Times New Roman"/>
        </w:rPr>
        <w:t xml:space="preserve">XLP站上50日和200日均价，趋势偏多。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 偏多。</w:t>
      </w:r>
      <w:r>
        <w:rPr>
          <w:rFonts w:ascii="Times New Roman" w:eastAsia="宋体" w:hAnsi="Times New Roman"/>
        </w:rPr>
        <w:t xml:space="preserve"> XLP是当前"科技去拥挤+经济放缓担忧"环境下的经典避风港。但需注意：当半导体企稳反弹时，XLP可能面临资金回流科技的压力。适合作为组合中的防御底仓。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3. XLV —— 医疗保健：全天最强板块，多重利好叠加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$163.74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+2.63%</w:t>
            </w:r>
            <w:r>
              <w:rPr>
                <w:rFonts w:ascii="Times New Roman" w:eastAsia="宋体" w:hAnsi="Times New Roman"/>
              </w:rPr>
              <w:t xml:space="preserve">（+$4.20）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$149.24（收盘高于50日+9.7%）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$150.09（收盘高于200日+9.1%）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XLV的驱动力是"GLP-1减肥药+美国医保法案+2026-2030专利悬崖推动并购"。兼具传统医药巨头的"收息防御"和生物医药的"事件驱动成长"。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V涨2.63%，是18个ETF中涨幅最大的。多重利好共振：①利率下行→医药板块（长久期资产）估值修复；②弱就业→资金避险→防御板块受益；③与AI硬件链低相关→成长风格内部再平衡的受益者；④道指创新高中苹果、安进等蓝筹医药股贡献显著</w:t>
      </w:r>
      <w:r>
        <w:t xml:space="preserve"/>
      </w:r>
      <w:r>
        <w:rPr>
          <w:rFonts w:ascii="Times New Roman" w:eastAsia="宋体" w:hAnsi="Times New Roman"/>
        </w:rPr>
        <w:t xml:space="preserve">。Amgen（安进）作为道指成分股助力蓝筹创新高。XLV远高于50日（+9.7%）和200日（+9.1%）均价，是所有ETF中技术面最强的之一。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操作判断：🟢🟢 强烈偏多。</w:t>
      </w:r>
      <w:r>
        <w:rPr>
          <w:rFonts w:ascii="Times New Roman" w:eastAsia="宋体" w:hAnsi="Times New Roman"/>
        </w:rPr>
        <w:t xml:space="preserve"> XLV兼具"利率敏感+防御+成长再平衡+专利悬崖并购催化"四重逻辑，且技术面最强（远高于两条均线）。是当前环境下最优的攻守兼备标的。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4. XLE —— 能源：油价回落压制，但地缘缓和利好长期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指标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数值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来源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$53.22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单日涨跌幅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+0.78%</w:t>
            </w:r>
            <w:r>
              <w:rPr>
                <w:rFonts w:ascii="Times New Roman" w:eastAsia="宋体" w:hAnsi="Times New Roman"/>
              </w:rPr>
              <w:t xml:space="preserve">（+$0.41）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50日均价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$57.04（收盘低于50日-6.7%）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200日均价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$51.29（收盘高于200日+3.8%）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/>
            </w:r>
          </w:p>
        </w:tc>
      </w:tr>
    </w:tbl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驱动力框架解读：</w:t>
      </w:r>
      <w:r>
        <w:rPr>
          <w:rFonts w:ascii="Times New Roman" w:eastAsia="宋体" w:hAnsi="Times New Roman"/>
        </w:rPr>
        <w:t xml:space="preserve"> XLE的驱动力是"大宗商品价格+股东回报"。涵盖传统化石能源（石油、天然气、炼化），不含新能源。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当日逻辑：</w:t>
      </w:r>
      <w:r>
        <w:rPr>
          <w:rFonts w:ascii="Times New Roman" w:eastAsia="宋体" w:hAnsi="Times New Roman"/>
        </w:rPr>
        <w:t xml:space="preserve"> XLE涨0.78%，在防御板块中涨幅最小。表面看这与油价下跌（布伦特-1.09%至</w:t>
      </w:r>
      <m:oMath>
        <m:r>
          <m:t>70.80）矛盾，但实际上：①油价虽然下跌，但美伊和谈进展降低了地缘风险→能源公司的运营环境改善（霍尔木兹海峡通行恢复）；②美元走弱部分对冲了油价下跌对能源股的负面影响；③XLE前一交易日可能已price in油价下跌。但XLE仍远低于50日均价（-6.7%），说明油价从战后高点</m:t>
        </m:r>
      </m:oMath>
      <w:r>
        <w:rPr>
          <w:rFonts w:ascii="Times New Roman" w:eastAsia="宋体" w:hAnsi="Times New Roman"/>
        </w:rPr>
        <w:t xml:space="preserve">126回落至$70的过程中，能源板块中期趋势已严重走弱。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操作判断：🟡 谨慎偏空。</w:t>
      </w:r>
      <w:r>
        <w:rPr>
          <w:rFonts w:ascii="Times New Roman" w:eastAsia="宋体" w:hAnsi="Times New Roman"/>
        </w:rPr>
        <w:t xml:space="preserve"> 油价回到战前水平意味着能源板块的"地缘溢价"已基本消退。XLE低于50日均价6.7%，中期趋势偏弱。除非霍尔木兹海峡再次出现中断风险或OPEC+大幅减产，否则能源板块缺乏上行催化剂。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rPr>
          <w:rFonts w:ascii="Times New Roman" w:eastAsia="宋体" w:hAnsi="Times New Roman"/>
        </w:rPr>
        <w:t xml:space="preserve">五、今日操作总结表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板块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ETF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收盘价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涨跌幅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趋势判断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操作建议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核心逻辑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半导体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SOXX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$566.32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-5.57%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⚠️ 短期破位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坚决回避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连续两天暴跌，去拥挤未结束，不抄底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软件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IGV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$93.57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+0.25%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🟡 弱势企稳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观察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AI变现入口逻辑成立，但低于200日均线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通信服务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XLC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$109.60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-0.13%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🟡 中性偏弱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观望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谷歌Meta广告基本面待Q2验证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非必需消费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XLY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$117.12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-0.82%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🟡 均线附近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谨慎观望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特斯拉利好出尽，弱就业威胁消费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工业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XLI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$183.91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+0.30%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 上行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偏多持有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利率改善+道指创新高带动，待PMI验证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材料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XLB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$52.01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+1.94%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 上行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偏多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美元走弱+利率下行+特种气体AI叙事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金融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XLF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$55.62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+1.53%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 上行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偏多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加息预期降温→净息差改善+并购活跃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房地产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VNQ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$98.02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+1.24%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 上行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偏多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利率下行→债券替代品估值修复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公用事业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XLU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$45.76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+2.21%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 上行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偏多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利率下行+AI数据中心电力需求双驱动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必需消费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XLP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$84.99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+2.03%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 上行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偏多（防御底仓）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科技去拥挤→资金避险涌入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医疗保健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XLV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$163.74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+2.63%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🟢🟢 强势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强烈偏多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利率+防御+成长再平衡+并购四重利好</w:t>
            </w:r>
          </w:p>
        </w:tc>
      </w:tr>
      <w:tr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能源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XLE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$53.22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+0.78%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t xml:space="preserve"/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🟡 中期偏弱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</w:rPr>
              <w:t xml:space="preserve">谨慎偏空</w:t>
            </w:r>
          </w:p>
        </w:tc>
        <w:tc>
          <w:tcPr>
            <w:tcW w:type="dxa" w:w="1187"/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</w:rPr>
              <w:t xml:space="preserve">油价回战前水平，地缘溢价消退</w:t>
            </w:r>
          </w:p>
        </w:tc>
      </w:tr>
    </w:tbl>
    <w:p>
      <w:pPr>
        <w:pStyle w:val="Heading3"/>
        <w:spacing w:line="240"/>
        <w:jc w:val="left"/>
      </w:pPr>
      <w:r>
        <w:rPr>
          <w:rFonts w:ascii="Times New Roman" w:eastAsia="宋体" w:hAnsi="Times New Roman"/>
        </w:rPr>
        <w:t xml:space="preserve">整体策略建议</w:t>
      </w:r>
    </w:p>
    <w:p>
      <w:p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当前市场正处于"风格大切换"的关键阶段。</w:t>
      </w:r>
      <w:r>
        <w:rPr>
          <w:rFonts w:ascii="Times New Roman" w:eastAsia="宋体" w:hAnsi="Times New Roman"/>
        </w:rPr>
        <w:t xml:space="preserve">弱就业数据瓦解加息预期后，资金从"AI硬件拥挤交易"加速流向"利率敏感+防御高息"板块。建议：</w:t>
      </w:r>
    </w:p>
    <w:p>
      <w:pPr>
        <w:pStyle w:val="ListParagraph"/>
        <w:numPr>
          <w:ilvl w:val="0"/>
          <w:numId w:val="2"/>
        </w:num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短期（独立日后一周）：</w:t>
      </w:r>
      <w:r>
        <w:rPr>
          <w:rFonts w:ascii="Times New Roman" w:eastAsia="宋体" w:hAnsi="Times New Roman"/>
        </w:rPr>
        <w:t xml:space="preserve"> 维持"防御+利率敏感"超配（XLV/XLU/XLP/XLF），低配半导体（SOXX）。关注SOXX能否在50日均线$542附近企稳。</w:t>
      </w:r>
    </w:p>
    <w:p>
      <w:pPr>
        <w:pStyle w:val="ListParagraph"/>
        <w:numPr>
          <w:ilvl w:val="0"/>
          <w:numId w:val="2"/>
        </w:num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中期（Q2业绩季前）：</w:t>
      </w:r>
      <w:r>
        <w:rPr>
          <w:rFonts w:ascii="Times New Roman" w:eastAsia="宋体" w:hAnsi="Times New Roman"/>
        </w:rPr>
        <w:t xml:space="preserve"> 密切关注7月22日特斯拉财报和后续科技巨头业绩。若AI硬件链业绩超预期，可能触发风格回摆。</w:t>
      </w:r>
    </w:p>
    <w:p>
      <w:pPr>
        <w:pStyle w:val="ListParagraph"/>
        <w:numPr>
          <w:ilvl w:val="0"/>
          <w:numId w:val="2"/>
        </w:numPr>
        <w:spacing w:line="240"/>
        <w:jc w:val="left"/>
      </w:pPr>
      <w:r>
        <w:rPr>
          <w:rFonts w:ascii="Times New Roman" w:eastAsia="宋体" w:hAnsi="Times New Roman"/>
          <w:b/>
          <w:bCs/>
        </w:rPr>
        <w:t xml:space="preserve">风险提示：</w:t>
      </w:r>
      <w:r>
        <w:rPr>
          <w:rFonts w:ascii="Times New Roman" w:eastAsia="宋体" w:hAnsi="Times New Roman"/>
        </w:rPr>
        <w:t xml:space="preserve"> ①弱就业若持续恶化→经济衰退风险上升→防御板块继续受益但周期股承压；②美伊和谈若破裂→油价反弹→通胀预期回升→加息预期重燃→当前逻辑全面反转；③独立日后流动性偏低，波动可能放大。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Quote"/>
      </w:pPr>
      <w:r>
        <w:rPr>
          <w:rFonts w:ascii="Times New Roman" w:eastAsia="宋体" w:hAnsi="Times New Roman"/>
          <w:b/>
          <w:bCs/>
        </w:rPr>
        <w:t xml:space="preserve">数据来源说明：</w:t>
      </w:r>
      <w:r>
        <w:rPr>
          <w:rFonts w:ascii="Times New Roman" w:eastAsia="宋体" w:hAnsi="Times New Roman"/>
        </w:rPr>
        <w:t xml:space="preserve"> ETF行情数据来源于Alpha派全球数据库（search_global_data批量行情快照）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；指数及个股数据来源于Barchart/AP报道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；宏观就业数据来源于Barchart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、CBS News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、American Banker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、Housing Wire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；美联储政策信息来源于Semafor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；油价数据来源于Al Jazeera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、Economic Times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；特斯拉交付数据来源于Business Wire/FinancialContent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及Automotive News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；市场广度及ETF对比数据来源于ts2.tech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；道指创新高信息来源于ts2.tech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及Seeking Alpha</w:t>
      </w:r>
      <w:r>
        <w:rPr>
          <w:rFonts w:ascii="Times New Roman" w:eastAsia="宋体" w:hAnsi="Times New Roman"/>
        </w:rPr>
        <w:t xml:space="preserve"/>
      </w:r>
      <w:r>
        <w:rPr>
          <w:rFonts w:ascii="Times New Roman" w:eastAsia="宋体" w:hAnsi="Times New Roman"/>
        </w:rPr>
        <w:t xml:space="preserve">。所有行情数据截至2026年7月2日美股收盘。</w:t>
      </w:r>
    </w:p>
    <w:sectPr>
      <w:pgSz w:w="21cm" w:h="29.7cm" w:orient="portrait"/>
      <w:pgMar w:top="2.54cm" w:right="3.17cm" w:bottom="2.54cm" w:left="3.17cm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before="0" w:line="276"/>
    </w:pPr>
    <w:rPr>
      <w:rFonts w:ascii="Aptos" w:cs="Aptos" w:eastAsia="Aptos" w:hAnsi="Aptos"/>
      <w:sz w:val="22"/>
      <w:szCs w:val="22"/>
    </w:rPr>
  </w:style>
  <w:style w:type="paragraph" w:styleId="ListParagraph">
    <w:name w:val="List Paragraph"/>
    <w:basedOn w:val="Normal"/>
    <w:qFormat/>
    <w:pPr>
      <w:spacing w:after="40" w:before="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after="0" w:before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0" w:before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after="200" w:before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after="200" w:before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after="0" w:before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2026-07-03T00:32:16.464Z</dcterms:created>
  <dcterms:modified xsi:type="dcterms:W3CDTF">2026-07-03T00:32:16.464Z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