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A4640">
      <w:pPr>
        <w:jc w:val="center"/>
        <w:rPr>
          <w:rFonts w:hint="default" w:ascii="Times New Roman" w:hAnsi="Times New Roman" w:eastAsia="宋体" w:cs="Times New Roman"/>
          <w:b/>
          <w:color w:val="204060"/>
          <w:sz w:val="48"/>
        </w:rPr>
      </w:pPr>
      <w:r>
        <w:rPr>
          <w:rFonts w:hint="default" w:ascii="Times New Roman" w:hAnsi="Times New Roman" w:eastAsia="宋体" w:cs="Times New Roman"/>
          <w:b/>
          <w:color w:val="204060"/>
          <w:sz w:val="48"/>
        </w:rPr>
        <w:br w:type="textWrapping"/>
      </w:r>
      <w:r>
        <w:rPr>
          <w:rFonts w:hint="default" w:ascii="Times New Roman" w:hAnsi="Times New Roman" w:eastAsia="宋体" w:cs="Times New Roman"/>
          <w:b/>
          <w:color w:val="204060"/>
          <w:sz w:val="48"/>
        </w:rPr>
        <w:t>游戏支持与引导能力</w:t>
      </w:r>
    </w:p>
    <w:p w14:paraId="6DC08DA8">
      <w:pPr>
        <w:jc w:val="center"/>
        <w:rPr>
          <w:rFonts w:hint="default" w:ascii="Times New Roman" w:hAnsi="Times New Roman" w:eastAsia="宋体" w:cs="Times New Roman"/>
          <w:b/>
          <w:color w:val="204060"/>
          <w:sz w:val="48"/>
        </w:rPr>
      </w:pPr>
      <w:r>
        <w:rPr>
          <w:rFonts w:hint="default" w:ascii="Times New Roman" w:hAnsi="Times New Roman" w:eastAsia="宋体" w:cs="Times New Roman"/>
          <w:b/>
          <w:color w:val="204060"/>
          <w:sz w:val="48"/>
        </w:rPr>
        <w:br w:type="textWrapping"/>
      </w:r>
      <w:r>
        <w:rPr>
          <w:rFonts w:hint="default" w:ascii="Times New Roman" w:hAnsi="Times New Roman" w:eastAsia="宋体" w:cs="Times New Roman"/>
          <w:b/>
          <w:color w:val="204060"/>
          <w:sz w:val="48"/>
        </w:rPr>
        <w:t>既定指标框架及测评应用说明</w:t>
      </w:r>
    </w:p>
    <w:p w14:paraId="659A74BF">
      <w:pPr>
        <w:jc w:val="center"/>
        <w:rPr>
          <w:rFonts w:hint="default" w:ascii="Times New Roman" w:hAnsi="Times New Roman" w:eastAsia="宋体" w:cs="Times New Roman"/>
          <w:b/>
          <w:color w:val="204060"/>
          <w:sz w:val="48"/>
        </w:rPr>
      </w:pPr>
    </w:p>
    <w:p w14:paraId="2A1C7132">
      <w:pPr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505050"/>
          <w:sz w:val="24"/>
        </w:rPr>
        <w:t>适用于：幼儿园教师游戏支持与引导情境判断测验、AI一对一访谈、</w:t>
      </w:r>
      <w:r>
        <w:rPr>
          <w:rFonts w:hint="default" w:ascii="Times New Roman" w:hAnsi="Times New Roman" w:eastAsia="宋体" w:cs="Times New Roman"/>
          <w:b/>
          <w:bCs/>
          <w:color w:val="505050"/>
          <w:sz w:val="24"/>
        </w:rPr>
        <w:t>综合能力分析报告</w:t>
      </w:r>
    </w:p>
    <w:p w14:paraId="29050114">
      <w:pPr>
        <w:rPr>
          <w:rFonts w:hint="default" w:ascii="Times New Roman" w:hAnsi="Times New Roman" w:eastAsia="宋体" w:cs="Times New Roman"/>
        </w:rPr>
      </w:pPr>
    </w:p>
    <w:p w14:paraId="29D47220">
      <w:pPr>
        <w:rPr>
          <w:rFonts w:hint="default" w:ascii="Times New Roman" w:hAnsi="Times New Roman" w:eastAsia="宋体" w:cs="Times New Roman"/>
        </w:rPr>
      </w:pPr>
    </w:p>
    <w:p w14:paraId="4FFF3F62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目录</w:t>
      </w:r>
    </w:p>
    <w:p w14:paraId="5BB67BCA">
      <w:pPr>
        <w:pStyle w:val="16"/>
        <w:keepNext w:val="0"/>
        <w:keepLines w:val="0"/>
        <w:pageBreakBefore w:val="0"/>
        <w:widowControl/>
        <w:numPr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一、文件定位与使用原则</w:t>
      </w:r>
    </w:p>
    <w:p w14:paraId="4BBE22DA">
      <w:pPr>
        <w:pStyle w:val="16"/>
        <w:keepNext w:val="0"/>
        <w:keepLines w:val="0"/>
        <w:pageBreakBefore w:val="0"/>
        <w:widowControl/>
        <w:numPr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二、指标体系总说明</w:t>
      </w:r>
    </w:p>
    <w:p w14:paraId="57CB815C">
      <w:pPr>
        <w:pStyle w:val="16"/>
        <w:keepNext w:val="0"/>
        <w:keepLines w:val="0"/>
        <w:pageBreakBefore w:val="0"/>
        <w:widowControl/>
        <w:numPr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三、三个二级指标与七个三级指标</w:t>
      </w:r>
    </w:p>
    <w:p w14:paraId="32608A9F">
      <w:pPr>
        <w:pStyle w:val="16"/>
        <w:keepNext w:val="0"/>
        <w:keepLines w:val="0"/>
        <w:pageBreakBefore w:val="0"/>
        <w:widowControl/>
        <w:numPr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四、各观测点、发展脉络与理想水平解释</w:t>
      </w:r>
    </w:p>
    <w:p w14:paraId="41A01035">
      <w:pPr>
        <w:pStyle w:val="16"/>
        <w:keepNext w:val="0"/>
        <w:keepLines w:val="0"/>
        <w:pageBreakBefore w:val="0"/>
        <w:widowControl/>
        <w:numPr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五、10题如何映射到该指标体系</w:t>
      </w:r>
    </w:p>
    <w:p w14:paraId="13785C0D">
      <w:pPr>
        <w:pStyle w:val="16"/>
        <w:keepNext w:val="0"/>
        <w:keepLines w:val="0"/>
        <w:pageBreakBefore w:val="0"/>
        <w:widowControl/>
        <w:numPr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六、AI访谈如何按该框架提问</w:t>
      </w:r>
    </w:p>
    <w:p w14:paraId="51DF1D0A">
      <w:pPr>
        <w:pStyle w:val="16"/>
        <w:keepNext w:val="0"/>
        <w:keepLines w:val="0"/>
        <w:pageBreakBefore w:val="0"/>
        <w:widowControl/>
        <w:numPr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七、综合报告如何按该框架生成能力画像</w:t>
      </w:r>
    </w:p>
    <w:p w14:paraId="33516775">
      <w:pPr>
        <w:pStyle w:val="16"/>
        <w:keepNext w:val="0"/>
        <w:keepLines w:val="0"/>
        <w:pageBreakBefore w:val="0"/>
        <w:widowControl/>
        <w:numPr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八、API与数据字段应用建议</w:t>
      </w:r>
    </w:p>
    <w:p w14:paraId="151FBDB0">
      <w:pPr>
        <w:pStyle w:val="16"/>
        <w:keepNext w:val="0"/>
        <w:keepLines w:val="0"/>
        <w:pageBreakBefore w:val="0"/>
        <w:widowControl/>
        <w:numPr>
          <w:numId w:val="0"/>
        </w:numPr>
        <w:tabs>
          <w:tab w:val="clear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九、质量控制清单</w:t>
      </w:r>
    </w:p>
    <w:p w14:paraId="523997C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7DF5CC0D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一、文件定位与使用原则</w:t>
      </w:r>
    </w:p>
    <w:p w14:paraId="62CC84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300" w:lineRule="auto"/>
        <w:ind w:firstLine="42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本文件是幼儿园教师游戏支持与引导能力测评、访谈与报告生成的总框架文件。它不直接替代10题赋分表，也不改变教师原始作答数据，而是规定所有解释性工作必须采用的能力指标语言。</w:t>
      </w:r>
    </w:p>
    <w:p w14:paraId="09853240">
      <w:pPr>
        <w:spacing w:line="30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在系统中，</w:t>
      </w:r>
      <w:r>
        <w:rPr>
          <w:rFonts w:hint="default" w:ascii="Times New Roman" w:hAnsi="Times New Roman" w:eastAsia="宋体" w:cs="Times New Roman"/>
          <w:b/>
          <w:bCs/>
          <w:sz w:val="21"/>
        </w:rPr>
        <w:t>测验赋分</w:t>
      </w:r>
      <w:r>
        <w:rPr>
          <w:rFonts w:hint="default" w:ascii="Times New Roman" w:hAnsi="Times New Roman" w:eastAsia="宋体" w:cs="Times New Roman"/>
          <w:sz w:val="21"/>
        </w:rPr>
        <w:t>用于确定教师在情境判断测验中的结果位置；</w:t>
      </w:r>
      <w:r>
        <w:rPr>
          <w:rFonts w:hint="default" w:ascii="Times New Roman" w:hAnsi="Times New Roman" w:eastAsia="宋体" w:cs="Times New Roman"/>
          <w:b/>
          <w:bCs/>
          <w:sz w:val="21"/>
        </w:rPr>
        <w:t>过程数据</w:t>
      </w:r>
      <w:r>
        <w:rPr>
          <w:rFonts w:hint="default" w:ascii="Times New Roman" w:hAnsi="Times New Roman" w:eastAsia="宋体" w:cs="Times New Roman"/>
          <w:sz w:val="21"/>
        </w:rPr>
        <w:t>用于解释教师判断形成方式；</w:t>
      </w:r>
      <w:r>
        <w:rPr>
          <w:rFonts w:hint="default" w:ascii="Times New Roman" w:hAnsi="Times New Roman" w:eastAsia="宋体" w:cs="Times New Roman"/>
          <w:b/>
          <w:bCs/>
          <w:sz w:val="21"/>
        </w:rPr>
        <w:t>AI访谈用于进一步确认教师是否真正理解儿童游戏、能否说明介入依据并生成适宜支持策略</w:t>
      </w:r>
      <w:r>
        <w:rPr>
          <w:rFonts w:hint="default" w:ascii="Times New Roman" w:hAnsi="Times New Roman" w:eastAsia="宋体" w:cs="Times New Roman"/>
          <w:sz w:val="21"/>
        </w:rPr>
        <w:t>。上述三类证据的分析，都应回到本指标体系。</w:t>
      </w:r>
    </w:p>
    <w:p w14:paraId="115EAD49">
      <w:pPr>
        <w:spacing w:line="30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本文件的核心用途包括：规范10题能力映射、指导题目知识库更新、约束AI访谈提问方向、建立访谈证据编码规则、支持教师游戏能力综合分析报告的生成。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5"/>
        <w:gridCol w:w="4929"/>
      </w:tblGrid>
      <w:tr w14:paraId="60B31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95" w:type="dxa"/>
            <w:shd w:val="clear" w:color="auto" w:fill="1F4E79"/>
            <w:vAlign w:val="center"/>
          </w:tcPr>
          <w:p w14:paraId="7C371075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原则</w:t>
            </w:r>
          </w:p>
        </w:tc>
        <w:tc>
          <w:tcPr>
            <w:tcW w:w="4929" w:type="dxa"/>
            <w:shd w:val="clear" w:color="auto" w:fill="1F4E79"/>
            <w:vAlign w:val="center"/>
          </w:tcPr>
          <w:p w14:paraId="31B9EF96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具体含义</w:t>
            </w:r>
          </w:p>
        </w:tc>
      </w:tr>
      <w:tr w14:paraId="38217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95" w:type="dxa"/>
            <w:vAlign w:val="center"/>
          </w:tcPr>
          <w:p w14:paraId="283EADE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统一主框架</w:t>
            </w:r>
          </w:p>
        </w:tc>
        <w:tc>
          <w:tcPr>
            <w:tcW w:w="4929" w:type="dxa"/>
            <w:vAlign w:val="center"/>
          </w:tcPr>
          <w:p w14:paraId="03DFD1D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所有文件不再以“五维能力”作为主轴，而应采用三个二级指标、七个三级指标。</w:t>
            </w:r>
          </w:p>
        </w:tc>
      </w:tr>
      <w:tr w14:paraId="471E3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95" w:type="dxa"/>
            <w:vAlign w:val="center"/>
          </w:tcPr>
          <w:p w14:paraId="610549C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赋分不改变</w:t>
            </w:r>
          </w:p>
        </w:tc>
        <w:tc>
          <w:tcPr>
            <w:tcW w:w="4929" w:type="dxa"/>
            <w:vAlign w:val="center"/>
          </w:tcPr>
          <w:p w14:paraId="131E16F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既定指标体系用于解释能力结构，不改变10题24种排序赋分结果。</w:t>
            </w:r>
          </w:p>
        </w:tc>
      </w:tr>
      <w:tr w14:paraId="4E922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95" w:type="dxa"/>
            <w:vAlign w:val="center"/>
          </w:tcPr>
          <w:p w14:paraId="4A833B1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题目可多重关联</w:t>
            </w:r>
          </w:p>
        </w:tc>
        <w:tc>
          <w:tcPr>
            <w:tcW w:w="4929" w:type="dxa"/>
            <w:vAlign w:val="center"/>
          </w:tcPr>
          <w:p w14:paraId="0BBDE65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每题应有一个主二级/主三级指标，也可设置次级指标，用于解释情境的复合性。</w:t>
            </w:r>
          </w:p>
        </w:tc>
      </w:tr>
      <w:tr w14:paraId="6B09E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95" w:type="dxa"/>
            <w:vAlign w:val="center"/>
          </w:tcPr>
          <w:p w14:paraId="4102ED6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访谈重在证据</w:t>
            </w:r>
          </w:p>
        </w:tc>
        <w:tc>
          <w:tcPr>
            <w:tcW w:w="4929" w:type="dxa"/>
            <w:vAlign w:val="center"/>
          </w:tcPr>
          <w:p w14:paraId="5472CB1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AI访谈不是要求教师说出指标名称，而是围绕观测点收集可编码证据。</w:t>
            </w:r>
          </w:p>
        </w:tc>
      </w:tr>
      <w:tr w14:paraId="44758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95" w:type="dxa"/>
            <w:vAlign w:val="center"/>
          </w:tcPr>
          <w:p w14:paraId="6E97807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报告面向发展</w:t>
            </w:r>
          </w:p>
        </w:tc>
        <w:tc>
          <w:tcPr>
            <w:tcW w:w="4929" w:type="dxa"/>
            <w:vAlign w:val="center"/>
          </w:tcPr>
          <w:p w14:paraId="589C8C0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教师报告应采用专业、通俗、非评判语言，形成能力画像和继续学习方向。</w:t>
            </w:r>
          </w:p>
        </w:tc>
      </w:tr>
    </w:tbl>
    <w:p w14:paraId="3CEE765A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二、指标体系总说明</w:t>
      </w:r>
    </w:p>
    <w:p w14:paraId="21E3E691">
      <w:pPr>
        <w:spacing w:line="30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游戏支持与引导能力不是单一的“会不会介入”，而是从教师对游戏的理解、对游戏条件的保障，到在真实游戏过程中进行观察、分析与回应的综合能力。</w:t>
      </w:r>
    </w:p>
    <w:p w14:paraId="6FB4749B">
      <w:pPr>
        <w:spacing w:line="30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本指标体系包含三个二级指标：对游戏的特点、价值的理解；游戏条件的保障；游戏支持与指导。三者构成从“观念理解”到“条件创设”再到“现场支持”的连续链条。</w:t>
      </w:r>
    </w:p>
    <w:p w14:paraId="7E10A198">
      <w:pPr>
        <w:spacing w:line="30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七个三级指标进一步把该能力拆解为可观察、可访谈、可报告的分析单元。每个三级指标都包含观测点、发展脉络和理想水平，可用于AI判断教师回答的专业深度。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475"/>
        <w:gridCol w:w="2687"/>
        <w:gridCol w:w="2464"/>
      </w:tblGrid>
      <w:tr w14:paraId="7DD27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  <w:shd w:val="clear" w:color="auto" w:fill="1F4E79"/>
            <w:vAlign w:val="center"/>
          </w:tcPr>
          <w:p w14:paraId="0ABFD7D1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编码</w:t>
            </w:r>
          </w:p>
        </w:tc>
        <w:tc>
          <w:tcPr>
            <w:tcW w:w="2475" w:type="dxa"/>
            <w:shd w:val="clear" w:color="auto" w:fill="1F4E79"/>
            <w:vAlign w:val="center"/>
          </w:tcPr>
          <w:p w14:paraId="65144516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二级指标</w:t>
            </w:r>
          </w:p>
        </w:tc>
        <w:tc>
          <w:tcPr>
            <w:tcW w:w="2687" w:type="dxa"/>
            <w:shd w:val="clear" w:color="auto" w:fill="1F4E79"/>
            <w:vAlign w:val="center"/>
          </w:tcPr>
          <w:p w14:paraId="51AE7989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包含的三级指标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27693A86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核心功能</w:t>
            </w:r>
          </w:p>
        </w:tc>
      </w:tr>
      <w:tr w14:paraId="49A48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  <w:vAlign w:val="center"/>
          </w:tcPr>
          <w:p w14:paraId="32037480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</w:t>
            </w:r>
          </w:p>
        </w:tc>
        <w:tc>
          <w:tcPr>
            <w:tcW w:w="2475" w:type="dxa"/>
            <w:vAlign w:val="center"/>
          </w:tcPr>
          <w:p w14:paraId="6A939A75">
            <w:pPr>
              <w:spacing w:after="0" w:line="252" w:lineRule="auto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7"/>
              </w:rPr>
              <w:t>对游戏的特点、价值的理解</w:t>
            </w:r>
          </w:p>
        </w:tc>
        <w:tc>
          <w:tcPr>
            <w:tcW w:w="2687" w:type="dxa"/>
            <w:vAlign w:val="center"/>
          </w:tcPr>
          <w:p w14:paraId="0C87A5B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A1 对游戏特点的理解；A2 对游戏价值的理解（游戏中的学习）；A3 对游戏价值实现的认识</w:t>
            </w:r>
          </w:p>
        </w:tc>
        <w:tc>
          <w:tcPr>
            <w:tcW w:w="2464" w:type="dxa"/>
            <w:vAlign w:val="center"/>
          </w:tcPr>
          <w:p w14:paraId="797D0FB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回答教师是否真正理解游戏的自主性、学习价值及其长远实现机制。</w:t>
            </w:r>
          </w:p>
        </w:tc>
      </w:tr>
      <w:tr w14:paraId="38914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  <w:vAlign w:val="center"/>
          </w:tcPr>
          <w:p w14:paraId="65FA3059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B</w:t>
            </w:r>
          </w:p>
        </w:tc>
        <w:tc>
          <w:tcPr>
            <w:tcW w:w="2475" w:type="dxa"/>
            <w:vAlign w:val="center"/>
          </w:tcPr>
          <w:p w14:paraId="05B5ADB7">
            <w:pPr>
              <w:spacing w:after="0" w:line="252" w:lineRule="auto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7"/>
              </w:rPr>
              <w:t>游戏条件的保障</w:t>
            </w:r>
          </w:p>
        </w:tc>
        <w:tc>
          <w:tcPr>
            <w:tcW w:w="2687" w:type="dxa"/>
            <w:vAlign w:val="center"/>
          </w:tcPr>
          <w:p w14:paraId="11E9A79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B1 游戏环境创设；B2 教师在幼儿游戏中的角色</w:t>
            </w:r>
          </w:p>
        </w:tc>
        <w:tc>
          <w:tcPr>
            <w:tcW w:w="2464" w:type="dxa"/>
            <w:vAlign w:val="center"/>
          </w:tcPr>
          <w:p w14:paraId="1CDC8E2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回答教师是否能够通过环境、时间、材料和角色定位，为高质量游戏提供条件。</w:t>
            </w:r>
          </w:p>
        </w:tc>
      </w:tr>
      <w:tr w14:paraId="6BDE6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  <w:vAlign w:val="center"/>
          </w:tcPr>
          <w:p w14:paraId="1F0DB37C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C</w:t>
            </w:r>
          </w:p>
        </w:tc>
        <w:tc>
          <w:tcPr>
            <w:tcW w:w="2475" w:type="dxa"/>
            <w:vAlign w:val="center"/>
          </w:tcPr>
          <w:p w14:paraId="1D1814AD">
            <w:pPr>
              <w:spacing w:after="0" w:line="252" w:lineRule="auto"/>
              <w:rPr>
                <w:rFonts w:hint="default" w:ascii="Times New Roman" w:hAnsi="Times New Roman" w:eastAsia="宋体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17"/>
              </w:rPr>
              <w:t>游戏支持与指导</w:t>
            </w:r>
          </w:p>
        </w:tc>
        <w:tc>
          <w:tcPr>
            <w:tcW w:w="2687" w:type="dxa"/>
            <w:vAlign w:val="center"/>
          </w:tcPr>
          <w:p w14:paraId="5741C47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C1 游戏中的观察；C2 对游戏行为的分析与回应</w:t>
            </w:r>
          </w:p>
        </w:tc>
        <w:tc>
          <w:tcPr>
            <w:tcW w:w="2464" w:type="dxa"/>
            <w:vAlign w:val="center"/>
          </w:tcPr>
          <w:p w14:paraId="4CCB1B7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回答教师是否能在游戏现场看懂儿童、判断需要、把握时机并提供适宜支架。</w:t>
            </w:r>
          </w:p>
        </w:tc>
      </w:tr>
    </w:tbl>
    <w:p w14:paraId="4B389D7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三、三个二级指标与七个三级指标</w:t>
      </w:r>
    </w:p>
    <w:p w14:paraId="5CCA56C5">
      <w:pPr>
        <w:spacing w:line="30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下表给出本系统中必须严格使用的指标名称。后续表格、提示词、JSON字段和报告正文应尽量使用完全一致的名称。</w:t>
      </w:r>
    </w:p>
    <w:tbl>
      <w:tblPr>
        <w:tblStyle w:val="33"/>
        <w:tblW w:w="968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1972"/>
        <w:gridCol w:w="1547"/>
        <w:gridCol w:w="2121"/>
        <w:gridCol w:w="2711"/>
      </w:tblGrid>
      <w:tr w14:paraId="60E4D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3" w:type="dxa"/>
            <w:shd w:val="clear" w:color="auto" w:fill="1F4E79"/>
            <w:vAlign w:val="center"/>
          </w:tcPr>
          <w:p w14:paraId="75A95F0F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二级</w:t>
            </w:r>
            <w:r>
              <w:rPr>
                <w:rFonts w:hint="eastAsia" w:ascii="Times New Roman" w:hAnsi="Times New Roman" w:eastAsia="宋体" w:cs="Times New Roman"/>
                <w:b/>
                <w:color w:val="FFFFFF"/>
                <w:sz w:val="16"/>
                <w:lang w:val="en-US" w:eastAsia="zh-CN"/>
              </w:rPr>
              <w:t>指标</w:t>
            </w: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编码</w:t>
            </w:r>
          </w:p>
        </w:tc>
        <w:tc>
          <w:tcPr>
            <w:tcW w:w="1972" w:type="dxa"/>
            <w:shd w:val="clear" w:color="auto" w:fill="1F4E79"/>
            <w:vAlign w:val="center"/>
          </w:tcPr>
          <w:p w14:paraId="00BA5558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二级指标规范名称</w:t>
            </w:r>
          </w:p>
        </w:tc>
        <w:tc>
          <w:tcPr>
            <w:tcW w:w="1547" w:type="dxa"/>
            <w:shd w:val="clear" w:color="auto" w:fill="1F4E79"/>
            <w:vAlign w:val="center"/>
          </w:tcPr>
          <w:p w14:paraId="5A87BF02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三级</w:t>
            </w:r>
            <w:r>
              <w:rPr>
                <w:rFonts w:hint="eastAsia" w:ascii="Times New Roman" w:hAnsi="Times New Roman" w:eastAsia="宋体" w:cs="Times New Roman"/>
                <w:b/>
                <w:color w:val="FFFFFF"/>
                <w:sz w:val="16"/>
                <w:lang w:val="en-US" w:eastAsia="zh-CN"/>
              </w:rPr>
              <w:t>指标</w:t>
            </w: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编码</w:t>
            </w:r>
          </w:p>
        </w:tc>
        <w:tc>
          <w:tcPr>
            <w:tcW w:w="2121" w:type="dxa"/>
            <w:shd w:val="clear" w:color="auto" w:fill="1F4E79"/>
            <w:vAlign w:val="center"/>
          </w:tcPr>
          <w:p w14:paraId="6D387968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三级指标规范名称</w:t>
            </w:r>
          </w:p>
        </w:tc>
        <w:tc>
          <w:tcPr>
            <w:tcW w:w="2711" w:type="dxa"/>
            <w:shd w:val="clear" w:color="auto" w:fill="1F4E79"/>
            <w:vAlign w:val="center"/>
          </w:tcPr>
          <w:p w14:paraId="76ABF18A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6"/>
              </w:rPr>
              <w:t>核心观测点</w:t>
            </w:r>
          </w:p>
        </w:tc>
      </w:tr>
      <w:tr w14:paraId="4DC10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3" w:type="dxa"/>
            <w:vAlign w:val="center"/>
          </w:tcPr>
          <w:p w14:paraId="033D64A9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</w:t>
            </w:r>
          </w:p>
        </w:tc>
        <w:tc>
          <w:tcPr>
            <w:tcW w:w="1972" w:type="dxa"/>
            <w:vAlign w:val="center"/>
          </w:tcPr>
          <w:p w14:paraId="4665902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对游戏的特点、价值的理解</w:t>
            </w:r>
          </w:p>
        </w:tc>
        <w:tc>
          <w:tcPr>
            <w:tcW w:w="1547" w:type="dxa"/>
            <w:vAlign w:val="center"/>
          </w:tcPr>
          <w:p w14:paraId="4EEE7729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A1</w:t>
            </w:r>
          </w:p>
        </w:tc>
        <w:tc>
          <w:tcPr>
            <w:tcW w:w="2121" w:type="dxa"/>
            <w:vAlign w:val="center"/>
          </w:tcPr>
          <w:p w14:paraId="4D24DF5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对游戏特点的理解</w:t>
            </w:r>
          </w:p>
        </w:tc>
        <w:tc>
          <w:tcPr>
            <w:tcW w:w="2711" w:type="dxa"/>
            <w:vAlign w:val="center"/>
          </w:tcPr>
          <w:p w14:paraId="0CCF02A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对游戏本质特征的理解</w:t>
            </w:r>
          </w:p>
        </w:tc>
      </w:tr>
      <w:tr w14:paraId="71F58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3" w:type="dxa"/>
            <w:vAlign w:val="center"/>
          </w:tcPr>
          <w:p w14:paraId="19713919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</w:t>
            </w:r>
          </w:p>
        </w:tc>
        <w:tc>
          <w:tcPr>
            <w:tcW w:w="1972" w:type="dxa"/>
            <w:vAlign w:val="center"/>
          </w:tcPr>
          <w:p w14:paraId="2A8D9AF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对游戏的特点、价值的理解</w:t>
            </w:r>
          </w:p>
        </w:tc>
        <w:tc>
          <w:tcPr>
            <w:tcW w:w="1547" w:type="dxa"/>
            <w:vAlign w:val="center"/>
          </w:tcPr>
          <w:p w14:paraId="3E527897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A2</w:t>
            </w:r>
          </w:p>
        </w:tc>
        <w:tc>
          <w:tcPr>
            <w:tcW w:w="2121" w:type="dxa"/>
            <w:vAlign w:val="center"/>
          </w:tcPr>
          <w:p w14:paraId="52E94E2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对游戏价值的理解（游戏中的学习）</w:t>
            </w:r>
          </w:p>
        </w:tc>
        <w:tc>
          <w:tcPr>
            <w:tcW w:w="2711" w:type="dxa"/>
            <w:vAlign w:val="center"/>
          </w:tcPr>
          <w:p w14:paraId="4C04F92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对游戏独特的学习和发展价值的认识</w:t>
            </w:r>
          </w:p>
        </w:tc>
      </w:tr>
      <w:tr w14:paraId="22BDE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3" w:type="dxa"/>
            <w:vAlign w:val="center"/>
          </w:tcPr>
          <w:p w14:paraId="0CF189D3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</w:t>
            </w:r>
          </w:p>
        </w:tc>
        <w:tc>
          <w:tcPr>
            <w:tcW w:w="1972" w:type="dxa"/>
            <w:vAlign w:val="center"/>
          </w:tcPr>
          <w:p w14:paraId="04E5072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对游戏的特点、价值的理解</w:t>
            </w:r>
          </w:p>
        </w:tc>
        <w:tc>
          <w:tcPr>
            <w:tcW w:w="1547" w:type="dxa"/>
            <w:vAlign w:val="center"/>
          </w:tcPr>
          <w:p w14:paraId="19F555BE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A3</w:t>
            </w:r>
          </w:p>
        </w:tc>
        <w:tc>
          <w:tcPr>
            <w:tcW w:w="2121" w:type="dxa"/>
            <w:vAlign w:val="center"/>
          </w:tcPr>
          <w:p w14:paraId="311C2BA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对游戏价值实现的认识</w:t>
            </w:r>
          </w:p>
        </w:tc>
        <w:tc>
          <w:tcPr>
            <w:tcW w:w="2711" w:type="dxa"/>
            <w:vAlign w:val="center"/>
          </w:tcPr>
          <w:p w14:paraId="493BF22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对游戏价值发挥机制和规律的认识</w:t>
            </w:r>
          </w:p>
        </w:tc>
      </w:tr>
      <w:tr w14:paraId="08DA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3" w:type="dxa"/>
            <w:vAlign w:val="center"/>
          </w:tcPr>
          <w:p w14:paraId="2F3D5FA3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B</w:t>
            </w:r>
          </w:p>
        </w:tc>
        <w:tc>
          <w:tcPr>
            <w:tcW w:w="1972" w:type="dxa"/>
            <w:vAlign w:val="center"/>
          </w:tcPr>
          <w:p w14:paraId="744D62F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游戏条件的保障</w:t>
            </w:r>
          </w:p>
        </w:tc>
        <w:tc>
          <w:tcPr>
            <w:tcW w:w="1547" w:type="dxa"/>
            <w:vAlign w:val="center"/>
          </w:tcPr>
          <w:p w14:paraId="3C1D003C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B1</w:t>
            </w:r>
          </w:p>
        </w:tc>
        <w:tc>
          <w:tcPr>
            <w:tcW w:w="2121" w:type="dxa"/>
            <w:vAlign w:val="center"/>
          </w:tcPr>
          <w:p w14:paraId="45036AB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游戏环境创设</w:t>
            </w:r>
          </w:p>
        </w:tc>
        <w:tc>
          <w:tcPr>
            <w:tcW w:w="2711" w:type="dxa"/>
            <w:vAlign w:val="center"/>
          </w:tcPr>
          <w:p w14:paraId="5A2AC9D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游戏场地、环境布置和时间保证；对游戏材料的分析和投放</w:t>
            </w:r>
          </w:p>
        </w:tc>
      </w:tr>
      <w:tr w14:paraId="60BED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3" w:type="dxa"/>
            <w:vAlign w:val="center"/>
          </w:tcPr>
          <w:p w14:paraId="7363BC3C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B</w:t>
            </w:r>
          </w:p>
        </w:tc>
        <w:tc>
          <w:tcPr>
            <w:tcW w:w="1972" w:type="dxa"/>
            <w:vAlign w:val="center"/>
          </w:tcPr>
          <w:p w14:paraId="29F5ED6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游戏条件的保障</w:t>
            </w:r>
          </w:p>
        </w:tc>
        <w:tc>
          <w:tcPr>
            <w:tcW w:w="1547" w:type="dxa"/>
            <w:vAlign w:val="center"/>
          </w:tcPr>
          <w:p w14:paraId="65878403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B2</w:t>
            </w:r>
          </w:p>
        </w:tc>
        <w:tc>
          <w:tcPr>
            <w:tcW w:w="2121" w:type="dxa"/>
            <w:vAlign w:val="center"/>
          </w:tcPr>
          <w:p w14:paraId="166BF53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教师在幼儿游戏中的角色</w:t>
            </w:r>
          </w:p>
        </w:tc>
        <w:tc>
          <w:tcPr>
            <w:tcW w:w="2711" w:type="dxa"/>
            <w:vAlign w:val="center"/>
          </w:tcPr>
          <w:p w14:paraId="16C44A6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基本定位：支持者、合作者与引导者</w:t>
            </w:r>
          </w:p>
        </w:tc>
      </w:tr>
      <w:tr w14:paraId="55C7E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3" w:type="dxa"/>
            <w:vAlign w:val="center"/>
          </w:tcPr>
          <w:p w14:paraId="1DF5B247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C</w:t>
            </w:r>
          </w:p>
        </w:tc>
        <w:tc>
          <w:tcPr>
            <w:tcW w:w="1972" w:type="dxa"/>
            <w:vAlign w:val="center"/>
          </w:tcPr>
          <w:p w14:paraId="62FAA46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游戏支持与指导</w:t>
            </w:r>
          </w:p>
        </w:tc>
        <w:tc>
          <w:tcPr>
            <w:tcW w:w="1547" w:type="dxa"/>
            <w:vAlign w:val="center"/>
          </w:tcPr>
          <w:p w14:paraId="533DE4BE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C1</w:t>
            </w:r>
          </w:p>
        </w:tc>
        <w:tc>
          <w:tcPr>
            <w:tcW w:w="2121" w:type="dxa"/>
            <w:vAlign w:val="center"/>
          </w:tcPr>
          <w:p w14:paraId="34D84A9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游戏中的观察</w:t>
            </w:r>
          </w:p>
        </w:tc>
        <w:tc>
          <w:tcPr>
            <w:tcW w:w="2711" w:type="dxa"/>
            <w:vAlign w:val="center"/>
          </w:tcPr>
          <w:p w14:paraId="4E33E08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观察游戏的意识和角度；对幼儿游戏框架的观察与理解；对幼儿游戏状态的观察与识别</w:t>
            </w:r>
          </w:p>
        </w:tc>
      </w:tr>
      <w:tr w14:paraId="4533F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3" w:type="dxa"/>
            <w:vAlign w:val="center"/>
          </w:tcPr>
          <w:p w14:paraId="49C64D0D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C</w:t>
            </w:r>
          </w:p>
        </w:tc>
        <w:tc>
          <w:tcPr>
            <w:tcW w:w="1972" w:type="dxa"/>
            <w:vAlign w:val="center"/>
          </w:tcPr>
          <w:p w14:paraId="036A3F1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游戏支持与指导</w:t>
            </w:r>
          </w:p>
        </w:tc>
        <w:tc>
          <w:tcPr>
            <w:tcW w:w="1547" w:type="dxa"/>
            <w:vAlign w:val="center"/>
          </w:tcPr>
          <w:p w14:paraId="628DF32A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C2</w:t>
            </w:r>
          </w:p>
        </w:tc>
        <w:tc>
          <w:tcPr>
            <w:tcW w:w="2121" w:type="dxa"/>
            <w:vAlign w:val="center"/>
          </w:tcPr>
          <w:p w14:paraId="4CA7241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对游戏行为的分析与回应</w:t>
            </w:r>
          </w:p>
        </w:tc>
        <w:tc>
          <w:tcPr>
            <w:tcW w:w="2711" w:type="dxa"/>
            <w:vAlign w:val="center"/>
          </w:tcPr>
          <w:p w14:paraId="61741AE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6"/>
              </w:rPr>
              <w:t>对幼儿游戏行为的分析判断；介入时机的把握；介入方式的适宜有效性</w:t>
            </w:r>
          </w:p>
        </w:tc>
      </w:tr>
    </w:tbl>
    <w:p w14:paraId="5FC8A393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四、各观测点、发展脉络与理想水平解释</w:t>
      </w:r>
    </w:p>
    <w:p w14:paraId="56BEFD25">
      <w:pPr>
        <w:spacing w:line="30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本节用于将指标体系转化为可分析的能力线索。AI在访谈和报告中不应机械判定教师“达到第几级”，而应依据教师作答、过程表现和访谈证据，判断其更接近哪类发展状态，并说明证据。</w:t>
      </w:r>
    </w:p>
    <w:p w14:paraId="489B4B0F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A1 对游戏特点的理解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4"/>
        <w:gridCol w:w="6874"/>
      </w:tblGrid>
      <w:tr w14:paraId="39F86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4" w:type="dxa"/>
            <w:shd w:val="clear" w:color="auto" w:fill="D9EAF7"/>
            <w:vAlign w:val="center"/>
          </w:tcPr>
          <w:p w14:paraId="4389391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核心观测点</w:t>
            </w:r>
          </w:p>
        </w:tc>
        <w:tc>
          <w:tcPr>
            <w:tcW w:w="6874" w:type="dxa"/>
            <w:vAlign w:val="center"/>
          </w:tcPr>
          <w:p w14:paraId="17D0234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对游戏本质特征的理解</w:t>
            </w:r>
          </w:p>
        </w:tc>
      </w:tr>
      <w:tr w14:paraId="40379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4" w:type="dxa"/>
            <w:shd w:val="clear" w:color="auto" w:fill="D9EAF7"/>
            <w:vAlign w:val="center"/>
          </w:tcPr>
          <w:p w14:paraId="30F6462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发展脉络</w:t>
            </w:r>
          </w:p>
        </w:tc>
        <w:tc>
          <w:tcPr>
            <w:tcW w:w="6874" w:type="dxa"/>
            <w:vAlign w:val="center"/>
          </w:tcPr>
          <w:p w14:paraId="2DFB06F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忽视自主性是游戏的基本特征 → 承认游戏的自主特征，但以教师预设为前提 → 鼓励自主游戏，但仍强调教师要主导大方向 → 放手、跟随幼儿</w:t>
            </w:r>
          </w:p>
        </w:tc>
      </w:tr>
      <w:tr w14:paraId="39B8D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4" w:type="dxa"/>
            <w:shd w:val="clear" w:color="auto" w:fill="D9EAF7"/>
            <w:vAlign w:val="center"/>
          </w:tcPr>
          <w:p w14:paraId="1549250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理想水平解释</w:t>
            </w:r>
          </w:p>
        </w:tc>
        <w:tc>
          <w:tcPr>
            <w:tcW w:w="6874" w:type="dxa"/>
            <w:vAlign w:val="center"/>
          </w:tcPr>
          <w:p w14:paraId="572CBDB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知道游戏最根本的特征是自主性，懂得自主性在不同类型游戏中有不同表现，重视自发、自主的游戏。</w:t>
            </w:r>
          </w:p>
        </w:tc>
      </w:tr>
      <w:tr w14:paraId="49C49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4" w:type="dxa"/>
            <w:shd w:val="clear" w:color="auto" w:fill="D9EAF7"/>
            <w:vAlign w:val="center"/>
          </w:tcPr>
          <w:p w14:paraId="267B8E8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访谈与报告判断要点</w:t>
            </w:r>
          </w:p>
        </w:tc>
        <w:tc>
          <w:tcPr>
            <w:tcW w:w="6874" w:type="dxa"/>
            <w:vAlign w:val="center"/>
          </w:tcPr>
          <w:p w14:paraId="51804F2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看教师是否能先理解儿童为什么这样玩，而不是马上把儿童行为拉回成人预设的目标或规则。</w:t>
            </w:r>
          </w:p>
        </w:tc>
      </w:tr>
    </w:tbl>
    <w:p w14:paraId="1FA9FD2D">
      <w:pPr>
        <w:rPr>
          <w:rFonts w:hint="default" w:ascii="Times New Roman" w:hAnsi="Times New Roman" w:eastAsia="宋体" w:cs="Times New Roman"/>
        </w:rPr>
      </w:pPr>
    </w:p>
    <w:p w14:paraId="374C3369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A2 对游戏价值的理解（游戏中的学习）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5"/>
        <w:gridCol w:w="6863"/>
      </w:tblGrid>
      <w:tr w14:paraId="2C3F9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995" w:type="dxa"/>
            <w:shd w:val="clear" w:color="auto" w:fill="D9EAF7"/>
            <w:vAlign w:val="center"/>
          </w:tcPr>
          <w:p w14:paraId="4E81B89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核心观测点</w:t>
            </w:r>
          </w:p>
        </w:tc>
        <w:tc>
          <w:tcPr>
            <w:tcW w:w="6863" w:type="dxa"/>
            <w:vAlign w:val="center"/>
          </w:tcPr>
          <w:p w14:paraId="1707EFB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对游戏独特的学习和发展价值的认识</w:t>
            </w:r>
          </w:p>
        </w:tc>
      </w:tr>
      <w:tr w14:paraId="56668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95" w:type="dxa"/>
            <w:shd w:val="clear" w:color="auto" w:fill="D9EAF7"/>
            <w:vAlign w:val="center"/>
          </w:tcPr>
          <w:p w14:paraId="3DADE49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发展脉络</w:t>
            </w:r>
          </w:p>
        </w:tc>
        <w:tc>
          <w:tcPr>
            <w:tcW w:w="6863" w:type="dxa"/>
            <w:vAlign w:val="center"/>
          </w:tcPr>
          <w:p w14:paraId="21B0460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忽视或否认游戏的学习发展功能 → 承认但轻视游戏的学习发展功能 → 认可和重视游戏的学习发展功能 → 从“基本学习途径”的高度强调游戏的学习发展功能</w:t>
            </w:r>
          </w:p>
        </w:tc>
      </w:tr>
      <w:tr w14:paraId="7855A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95" w:type="dxa"/>
            <w:shd w:val="clear" w:color="auto" w:fill="D9EAF7"/>
            <w:vAlign w:val="center"/>
          </w:tcPr>
          <w:p w14:paraId="57F651C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理想水平解释</w:t>
            </w:r>
          </w:p>
        </w:tc>
        <w:tc>
          <w:tcPr>
            <w:tcW w:w="6863" w:type="dxa"/>
            <w:vAlign w:val="center"/>
          </w:tcPr>
          <w:p w14:paraId="4D9DFE1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理解游戏是幼儿学习的基本途径，对幼儿学习和发展具有不可替代的重要价值。</w:t>
            </w:r>
          </w:p>
        </w:tc>
      </w:tr>
      <w:tr w14:paraId="0A635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95" w:type="dxa"/>
            <w:shd w:val="clear" w:color="auto" w:fill="D9EAF7"/>
            <w:vAlign w:val="center"/>
          </w:tcPr>
          <w:p w14:paraId="213BB93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访谈与报告判断要点</w:t>
            </w:r>
          </w:p>
        </w:tc>
        <w:tc>
          <w:tcPr>
            <w:tcW w:w="6863" w:type="dxa"/>
            <w:vAlign w:val="center"/>
          </w:tcPr>
          <w:p w14:paraId="5CE61F9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看教师是否能从游戏中识别学习、发展、经验表达与问题解决，而不把游戏仅看作娱乐或课后放松。</w:t>
            </w:r>
          </w:p>
        </w:tc>
      </w:tr>
    </w:tbl>
    <w:p w14:paraId="540FFD4C">
      <w:pPr>
        <w:rPr>
          <w:rFonts w:hint="default" w:ascii="Times New Roman" w:hAnsi="Times New Roman" w:eastAsia="宋体" w:cs="Times New Roman"/>
        </w:rPr>
      </w:pPr>
    </w:p>
    <w:p w14:paraId="17C06AE3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A3 对游戏价值实现的认识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4"/>
        <w:gridCol w:w="6874"/>
      </w:tblGrid>
      <w:tr w14:paraId="719F1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4" w:type="dxa"/>
            <w:shd w:val="clear" w:color="auto" w:fill="D9EAF7"/>
            <w:vAlign w:val="center"/>
          </w:tcPr>
          <w:p w14:paraId="4253624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核心观测点</w:t>
            </w:r>
          </w:p>
        </w:tc>
        <w:tc>
          <w:tcPr>
            <w:tcW w:w="6874" w:type="dxa"/>
            <w:vAlign w:val="center"/>
          </w:tcPr>
          <w:p w14:paraId="50DFB73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对游戏价值发挥机制和规律的认识</w:t>
            </w:r>
          </w:p>
        </w:tc>
      </w:tr>
      <w:tr w14:paraId="4F2C8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4" w:type="dxa"/>
            <w:shd w:val="clear" w:color="auto" w:fill="D9EAF7"/>
            <w:vAlign w:val="center"/>
          </w:tcPr>
          <w:p w14:paraId="3FF3C37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发展脉络</w:t>
            </w:r>
          </w:p>
        </w:tc>
        <w:tc>
          <w:tcPr>
            <w:tcW w:w="6874" w:type="dxa"/>
            <w:vAlign w:val="center"/>
          </w:tcPr>
          <w:p w14:paraId="58EFA45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认为游戏只有情感价值 → 急于从游戏中“见效益”或实现预设目标 → 认识到游戏中的学习 → 理解游戏价值实现的长远性和循序性</w:t>
            </w:r>
          </w:p>
        </w:tc>
      </w:tr>
      <w:tr w14:paraId="1B41B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4" w:type="dxa"/>
            <w:shd w:val="clear" w:color="auto" w:fill="D9EAF7"/>
            <w:vAlign w:val="center"/>
          </w:tcPr>
          <w:p w14:paraId="2A9F805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理想水平解释</w:t>
            </w:r>
          </w:p>
        </w:tc>
        <w:tc>
          <w:tcPr>
            <w:tcW w:w="6874" w:type="dxa"/>
            <w:vAlign w:val="center"/>
          </w:tcPr>
          <w:p w14:paraId="60EDDB7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懂得游戏价值发挥是小步递进式过程，能看到游戏的长远价值，不急于要求每天的游戏活动都立刻“见效益”。</w:t>
            </w:r>
          </w:p>
        </w:tc>
      </w:tr>
      <w:tr w14:paraId="7F532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4" w:type="dxa"/>
            <w:shd w:val="clear" w:color="auto" w:fill="D9EAF7"/>
            <w:vAlign w:val="center"/>
          </w:tcPr>
          <w:p w14:paraId="2ADF89A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访谈与报告判断要点</w:t>
            </w:r>
          </w:p>
        </w:tc>
        <w:tc>
          <w:tcPr>
            <w:tcW w:w="6874" w:type="dxa"/>
            <w:vAlign w:val="center"/>
          </w:tcPr>
          <w:p w14:paraId="4F8FE04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看教师是否理解游戏支持并非立竿见影，能否关注连续经验、长期兴趣、逐步内化和儿童自主发展。</w:t>
            </w:r>
          </w:p>
        </w:tc>
      </w:tr>
    </w:tbl>
    <w:p w14:paraId="24983641">
      <w:pPr>
        <w:rPr>
          <w:rFonts w:hint="default" w:ascii="Times New Roman" w:hAnsi="Times New Roman" w:eastAsia="宋体" w:cs="Times New Roman"/>
        </w:rPr>
      </w:pPr>
    </w:p>
    <w:p w14:paraId="65EECB98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B1 游戏环境创设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4"/>
        <w:gridCol w:w="6874"/>
      </w:tblGrid>
      <w:tr w14:paraId="5631A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4" w:type="dxa"/>
            <w:shd w:val="clear" w:color="auto" w:fill="D9EAF7"/>
            <w:vAlign w:val="center"/>
          </w:tcPr>
          <w:p w14:paraId="6BE137E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核心观测点</w:t>
            </w:r>
          </w:p>
        </w:tc>
        <w:tc>
          <w:tcPr>
            <w:tcW w:w="6874" w:type="dxa"/>
            <w:vAlign w:val="center"/>
          </w:tcPr>
          <w:p w14:paraId="44F6964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游戏场地、环境布置和时间保证；对游戏材料的分析和投放</w:t>
            </w:r>
          </w:p>
        </w:tc>
      </w:tr>
      <w:tr w14:paraId="0CAA3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4" w:type="dxa"/>
            <w:shd w:val="clear" w:color="auto" w:fill="D9EAF7"/>
            <w:vAlign w:val="center"/>
          </w:tcPr>
          <w:p w14:paraId="27070C4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发展脉络</w:t>
            </w:r>
          </w:p>
        </w:tc>
        <w:tc>
          <w:tcPr>
            <w:tcW w:w="6874" w:type="dxa"/>
            <w:vAlign w:val="center"/>
          </w:tcPr>
          <w:p w14:paraId="76B72D7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被动接受和沿用 → 依照别人经验 → 根据本班需求设计 → 打破传统界限，创设贯通环境；只关注安全 → 关注基本玩法和投放区域 → 从幼儿兴趣和需要出发分析材料 → 分析经验、动态调整，促进深度学习</w:t>
            </w:r>
          </w:p>
        </w:tc>
      </w:tr>
      <w:tr w14:paraId="1802F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4" w:type="dxa"/>
            <w:shd w:val="clear" w:color="auto" w:fill="D9EAF7"/>
            <w:vAlign w:val="center"/>
          </w:tcPr>
          <w:p w14:paraId="13A22B5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理想水平解释</w:t>
            </w:r>
          </w:p>
        </w:tc>
        <w:tc>
          <w:tcPr>
            <w:tcW w:w="6874" w:type="dxa"/>
            <w:vAlign w:val="center"/>
          </w:tcPr>
          <w:p w14:paraId="03D1F22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打破区角、室内外局限，延伸游戏活动，支持统整、延续的游戏体验；能从幼儿学习发展角度分析材料，推断其可能引发的游戏活动，并有效利用和改造材料。</w:t>
            </w:r>
          </w:p>
        </w:tc>
      </w:tr>
      <w:tr w14:paraId="3EA9A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4" w:type="dxa"/>
            <w:shd w:val="clear" w:color="auto" w:fill="D9EAF7"/>
            <w:vAlign w:val="center"/>
          </w:tcPr>
          <w:p w14:paraId="4E5F910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访谈与报告判断要点</w:t>
            </w:r>
          </w:p>
        </w:tc>
        <w:tc>
          <w:tcPr>
            <w:tcW w:w="6874" w:type="dxa"/>
            <w:vAlign w:val="center"/>
          </w:tcPr>
          <w:p w14:paraId="7682929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看教师是否会通过时间、空间、材料和任务层次来支持游戏，而不是只靠语言提醒或临场管理。</w:t>
            </w:r>
          </w:p>
        </w:tc>
      </w:tr>
    </w:tbl>
    <w:p w14:paraId="05EF3A8A">
      <w:pPr>
        <w:rPr>
          <w:rFonts w:hint="default" w:ascii="Times New Roman" w:hAnsi="Times New Roman" w:eastAsia="宋体" w:cs="Times New Roman"/>
        </w:rPr>
      </w:pPr>
    </w:p>
    <w:p w14:paraId="7FF5785B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B2 教师在幼儿游戏中的角色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3"/>
        <w:gridCol w:w="6885"/>
      </w:tblGrid>
      <w:tr w14:paraId="76BE3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3" w:type="dxa"/>
            <w:shd w:val="clear" w:color="auto" w:fill="D9EAF7"/>
            <w:vAlign w:val="center"/>
          </w:tcPr>
          <w:p w14:paraId="4A4BEEE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核心观测点</w:t>
            </w:r>
          </w:p>
        </w:tc>
        <w:tc>
          <w:tcPr>
            <w:tcW w:w="6885" w:type="dxa"/>
            <w:vAlign w:val="center"/>
          </w:tcPr>
          <w:p w14:paraId="4CE998B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基本定位：支持者、合作者与引导者</w:t>
            </w:r>
          </w:p>
        </w:tc>
      </w:tr>
      <w:tr w14:paraId="634E4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3" w:type="dxa"/>
            <w:shd w:val="clear" w:color="auto" w:fill="D9EAF7"/>
            <w:vAlign w:val="center"/>
          </w:tcPr>
          <w:p w14:paraId="4F89068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发展脉络</w:t>
            </w:r>
          </w:p>
        </w:tc>
        <w:tc>
          <w:tcPr>
            <w:tcW w:w="6885" w:type="dxa"/>
            <w:vAlign w:val="center"/>
          </w:tcPr>
          <w:p w14:paraId="31869EF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旁观或高控 → 关注安全与冲突 → 参与游戏过程 → 引发深度学习</w:t>
            </w:r>
          </w:p>
        </w:tc>
      </w:tr>
      <w:tr w14:paraId="279F3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3" w:type="dxa"/>
            <w:shd w:val="clear" w:color="auto" w:fill="D9EAF7"/>
            <w:vAlign w:val="center"/>
          </w:tcPr>
          <w:p w14:paraId="15E659F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理想水平解释</w:t>
            </w:r>
          </w:p>
        </w:tc>
        <w:tc>
          <w:tcPr>
            <w:tcW w:w="6885" w:type="dxa"/>
            <w:vAlign w:val="center"/>
          </w:tcPr>
          <w:p w14:paraId="038CE0D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关注游戏活动过程，根据幼儿游戏行为反思游戏环境的创设，丰富幼儿的游戏经验，并通过多种方式支持幼儿游戏有质量地开展。</w:t>
            </w:r>
          </w:p>
        </w:tc>
      </w:tr>
      <w:tr w14:paraId="35BAB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3" w:type="dxa"/>
            <w:shd w:val="clear" w:color="auto" w:fill="D9EAF7"/>
            <w:vAlign w:val="center"/>
          </w:tcPr>
          <w:p w14:paraId="240FFAA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访谈与报告判断要点</w:t>
            </w:r>
          </w:p>
        </w:tc>
        <w:tc>
          <w:tcPr>
            <w:tcW w:w="6885" w:type="dxa"/>
            <w:vAlign w:val="center"/>
          </w:tcPr>
          <w:p w14:paraId="2723AFD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看教师是否能在旁观、控制、参与、支持之间作出专业选择，既不放任，也不包办。</w:t>
            </w:r>
          </w:p>
        </w:tc>
      </w:tr>
    </w:tbl>
    <w:p w14:paraId="3356A980">
      <w:pPr>
        <w:rPr>
          <w:rFonts w:hint="default" w:ascii="Times New Roman" w:hAnsi="Times New Roman" w:eastAsia="宋体" w:cs="Times New Roman"/>
        </w:rPr>
      </w:pPr>
    </w:p>
    <w:p w14:paraId="3DF7D148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C1 游戏中的观察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3"/>
        <w:gridCol w:w="6895"/>
      </w:tblGrid>
      <w:tr w14:paraId="2500B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3" w:type="dxa"/>
            <w:shd w:val="clear" w:color="auto" w:fill="D9EAF7"/>
            <w:vAlign w:val="center"/>
          </w:tcPr>
          <w:p w14:paraId="4C1A57E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核心观测点</w:t>
            </w:r>
          </w:p>
        </w:tc>
        <w:tc>
          <w:tcPr>
            <w:tcW w:w="6895" w:type="dxa"/>
            <w:vAlign w:val="center"/>
          </w:tcPr>
          <w:p w14:paraId="0C1A897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观察游戏的意识和角度；对幼儿游戏框架的观察与理解；对幼儿游戏状态的观察与识别</w:t>
            </w:r>
          </w:p>
        </w:tc>
      </w:tr>
      <w:tr w14:paraId="684EE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3" w:type="dxa"/>
            <w:shd w:val="clear" w:color="auto" w:fill="D9EAF7"/>
            <w:vAlign w:val="center"/>
          </w:tcPr>
          <w:p w14:paraId="6DB38AD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发展脉络</w:t>
            </w:r>
          </w:p>
        </w:tc>
        <w:tc>
          <w:tcPr>
            <w:tcW w:w="6895" w:type="dxa"/>
            <w:vAlign w:val="center"/>
          </w:tcPr>
          <w:p w14:paraId="576CEBA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观察冲突和突发事件 → 整体、泛泛观察 → 有目的有计划的具体观察 → 持续、深入、个别化观察；按成人现实逻辑看待游戏 → 看见幼儿在玩什么 → 理解角色、情节、规则和意图 → 在幼儿游戏框架中理解其经验表达与发展需要；只看幼儿是否在玩 → 关注是否高兴和投入 → 观察互动、探索和问题解决 → 综合判断是否处于有质量的游戏学习状态</w:t>
            </w:r>
          </w:p>
        </w:tc>
      </w:tr>
      <w:tr w14:paraId="00FDF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3" w:type="dxa"/>
            <w:shd w:val="clear" w:color="auto" w:fill="D9EAF7"/>
            <w:vAlign w:val="center"/>
          </w:tcPr>
          <w:p w14:paraId="5328FF0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理想水平解释</w:t>
            </w:r>
          </w:p>
        </w:tc>
        <w:tc>
          <w:tcPr>
            <w:tcW w:w="6895" w:type="dxa"/>
            <w:vAlign w:val="center"/>
          </w:tcPr>
          <w:p w14:paraId="6B9310D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能有目的、有计划、持续、深入、个别化地观察；能够理解幼儿在游戏中建构的角色关系、情节线索和象征意义；能够从愉悦、投入、反复尝试、同伴互动、语言表达和问题解决等方面判断游戏质量。</w:t>
            </w:r>
          </w:p>
        </w:tc>
      </w:tr>
      <w:tr w14:paraId="7347D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3" w:type="dxa"/>
            <w:shd w:val="clear" w:color="auto" w:fill="D9EAF7"/>
            <w:vAlign w:val="center"/>
          </w:tcPr>
          <w:p w14:paraId="3DCC326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访谈与报告判断要点</w:t>
            </w:r>
          </w:p>
        </w:tc>
        <w:tc>
          <w:tcPr>
            <w:tcW w:w="6895" w:type="dxa"/>
            <w:vAlign w:val="center"/>
          </w:tcPr>
          <w:p w14:paraId="1FA5539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看教师是否先观察和理解，再决定是否介入；是否能在儿童游戏逻辑中看懂行为含义。</w:t>
            </w:r>
          </w:p>
        </w:tc>
      </w:tr>
    </w:tbl>
    <w:p w14:paraId="5137ABC0">
      <w:pPr>
        <w:rPr>
          <w:rFonts w:hint="default" w:ascii="Times New Roman" w:hAnsi="Times New Roman" w:eastAsia="宋体" w:cs="Times New Roman"/>
        </w:rPr>
      </w:pPr>
    </w:p>
    <w:p w14:paraId="5AC0391B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C2 对游戏行为的分析与回应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6906"/>
      </w:tblGrid>
      <w:tr w14:paraId="555FA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  <w:shd w:val="clear" w:color="auto" w:fill="D9EAF7"/>
            <w:vAlign w:val="center"/>
          </w:tcPr>
          <w:p w14:paraId="6E42D51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核心观测点</w:t>
            </w:r>
          </w:p>
        </w:tc>
        <w:tc>
          <w:tcPr>
            <w:tcW w:w="6906" w:type="dxa"/>
            <w:vAlign w:val="center"/>
          </w:tcPr>
          <w:p w14:paraId="665B421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对幼儿游戏行为的分析判断；介入时机的把握；介入方式的适宜有效性</w:t>
            </w:r>
          </w:p>
        </w:tc>
      </w:tr>
      <w:tr w14:paraId="6A626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  <w:shd w:val="clear" w:color="auto" w:fill="D9EAF7"/>
            <w:vAlign w:val="center"/>
          </w:tcPr>
          <w:p w14:paraId="75EBAE3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发展脉络</w:t>
            </w:r>
          </w:p>
        </w:tc>
        <w:tc>
          <w:tcPr>
            <w:tcW w:w="6906" w:type="dxa"/>
            <w:vAlign w:val="center"/>
          </w:tcPr>
          <w:p w14:paraId="4C08A3B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仅仅看到游戏行为 → 能看到兴趣、同伴合作等明显信息 → 能看到行为反映的发展状况及学习品质 → 能看到游戏中的认知经验；基本不介入“放羊” → 出现问题或儿童求助时才介入 → 能发现并抓住时机介入但方式程式化 → 能适时适当介入，提升游戏经验；介入变成包办、控制 → 用示范、语言提示等方式指导 → 根据游戏行为反思调整环境或丰富经验 → 提供支架，促进思考，深化拓展游戏</w:t>
            </w:r>
          </w:p>
        </w:tc>
      </w:tr>
      <w:tr w14:paraId="2D2DF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  <w:shd w:val="clear" w:color="auto" w:fill="D9EAF7"/>
            <w:vAlign w:val="center"/>
          </w:tcPr>
          <w:p w14:paraId="3A0B540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理想水平解释</w:t>
            </w:r>
          </w:p>
        </w:tc>
        <w:tc>
          <w:tcPr>
            <w:tcW w:w="6906" w:type="dxa"/>
            <w:vAlign w:val="center"/>
          </w:tcPr>
          <w:p w14:paraId="020397E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能运用专业知识捕捉和理解游戏行为中的信息，包括兴趣、需求、发展状况、个性特征及学习经验；能较准确地把握介入时机，并灵活运用提问、材料、环境、同伴等多种方式提供支架，拓展、深化游戏或生成教学。</w:t>
            </w:r>
          </w:p>
        </w:tc>
      </w:tr>
      <w:tr w14:paraId="76662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  <w:shd w:val="clear" w:color="auto" w:fill="D9EAF7"/>
            <w:vAlign w:val="center"/>
          </w:tcPr>
          <w:p w14:paraId="2537E59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访谈与报告判断要点</w:t>
            </w:r>
          </w:p>
        </w:tc>
        <w:tc>
          <w:tcPr>
            <w:tcW w:w="6906" w:type="dxa"/>
            <w:vAlign w:val="center"/>
          </w:tcPr>
          <w:p w14:paraId="315AE70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看教师能否根据具体情境进行低控制、适时、有效回应，而不是简单制止、替代完成或只说“引导一下”。</w:t>
            </w:r>
          </w:p>
        </w:tc>
      </w:tr>
    </w:tbl>
    <w:p w14:paraId="7F99143D">
      <w:pPr>
        <w:rPr>
          <w:rFonts w:hint="default" w:ascii="Times New Roman" w:hAnsi="Times New Roman" w:eastAsia="宋体" w:cs="Times New Roman"/>
        </w:rPr>
      </w:pPr>
    </w:p>
    <w:p w14:paraId="232FEA5F">
      <w:pPr>
        <w:rPr>
          <w:rFonts w:hint="default" w:ascii="Times New Roman" w:hAnsi="Times New Roman" w:eastAsia="宋体" w:cs="Times New Roman"/>
        </w:rPr>
        <w:sectPr>
          <w:headerReference r:id="rId5" w:type="default"/>
          <w:footerReference r:id="rId6" w:type="default"/>
          <w:pgSz w:w="12240" w:h="15840"/>
          <w:pgMar w:top="1247" w:right="1191" w:bottom="1134" w:left="1191" w:header="680" w:footer="680" w:gutter="0"/>
          <w:pgNumType w:fmt="decimal"/>
          <w:cols w:space="720" w:num="1"/>
          <w:docGrid w:linePitch="360" w:charSpace="0"/>
        </w:sectPr>
      </w:pPr>
    </w:p>
    <w:p w14:paraId="2E67BA7D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五、10题如何映射到该指标体系</w:t>
      </w:r>
    </w:p>
    <w:p w14:paraId="2B87641C">
      <w:pPr>
        <w:spacing w:line="300" w:lineRule="auto"/>
        <w:ind w:firstLine="420"/>
        <w:rPr>
          <w:rFonts w:hint="default" w:ascii="Times New Roman" w:hAnsi="Times New Roman" w:eastAsia="宋体" w:cs="Times New Roman"/>
          <w:sz w:val="21"/>
        </w:rPr>
      </w:pPr>
      <w:r>
        <w:rPr>
          <w:rFonts w:hint="default" w:ascii="Times New Roman" w:hAnsi="Times New Roman" w:eastAsia="宋体" w:cs="Times New Roman"/>
          <w:sz w:val="21"/>
        </w:rPr>
        <w:t>10题映射用于连接“测验题目—能力指标—AI访谈—报告画像”。每题设置一个主指标，用于报告主分析和筛题覆盖；同时可设置次级指标，用于解释情境的复合性。</w:t>
      </w:r>
    </w:p>
    <w:p w14:paraId="4A233E72">
      <w:pPr>
        <w:spacing w:line="300" w:lineRule="auto"/>
        <w:ind w:left="0" w:leftChars="0" w:firstLine="0" w:firstLineChars="0"/>
        <w:rPr>
          <w:rFonts w:hint="default" w:ascii="Times New Roman" w:hAnsi="Times New Roman" w:eastAsia="宋体" w:cs="Times New Roman"/>
          <w:sz w:val="21"/>
        </w:rPr>
      </w:pPr>
      <w:bookmarkStart w:id="0" w:name="_GoBack"/>
      <w:bookmarkEnd w:id="0"/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 w14:paraId="7FCA1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4" w:type="dxa"/>
            <w:shd w:val="clear" w:color="auto" w:fill="1F4E79"/>
            <w:vAlign w:val="center"/>
          </w:tcPr>
          <w:p w14:paraId="496CF97B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题号</w:t>
            </w:r>
          </w:p>
        </w:tc>
        <w:tc>
          <w:tcPr>
            <w:tcW w:w="2004" w:type="dxa"/>
            <w:shd w:val="clear" w:color="auto" w:fill="1F4E79"/>
            <w:vAlign w:val="center"/>
          </w:tcPr>
          <w:p w14:paraId="711C333B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情境简称</w:t>
            </w:r>
          </w:p>
        </w:tc>
        <w:tc>
          <w:tcPr>
            <w:tcW w:w="2004" w:type="dxa"/>
            <w:shd w:val="clear" w:color="auto" w:fill="1F4E79"/>
            <w:vAlign w:val="center"/>
          </w:tcPr>
          <w:p w14:paraId="2D72BA68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00"/>
                <w:sz w:val="15"/>
              </w:rPr>
              <w:t>主二级指标</w:t>
            </w:r>
          </w:p>
        </w:tc>
        <w:tc>
          <w:tcPr>
            <w:tcW w:w="2004" w:type="dxa"/>
            <w:shd w:val="clear" w:color="auto" w:fill="1F4E79"/>
            <w:vAlign w:val="center"/>
          </w:tcPr>
          <w:p w14:paraId="06B115FA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  <w:color w:val="FFFF0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00"/>
                <w:sz w:val="15"/>
              </w:rPr>
              <w:t>主三级指标</w:t>
            </w:r>
          </w:p>
        </w:tc>
        <w:tc>
          <w:tcPr>
            <w:tcW w:w="2004" w:type="dxa"/>
            <w:shd w:val="clear" w:color="auto" w:fill="1F4E79"/>
            <w:vAlign w:val="center"/>
          </w:tcPr>
          <w:p w14:paraId="1A0B106C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  <w:color w:val="FFFF00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00"/>
                <w:sz w:val="15"/>
              </w:rPr>
              <w:t>主要观测点</w:t>
            </w:r>
          </w:p>
        </w:tc>
        <w:tc>
          <w:tcPr>
            <w:tcW w:w="2004" w:type="dxa"/>
            <w:shd w:val="clear" w:color="auto" w:fill="1F4E79"/>
            <w:vAlign w:val="center"/>
          </w:tcPr>
          <w:p w14:paraId="41A55055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次级指标</w:t>
            </w:r>
          </w:p>
        </w:tc>
        <w:tc>
          <w:tcPr>
            <w:tcW w:w="2004" w:type="dxa"/>
            <w:shd w:val="clear" w:color="auto" w:fill="1F4E79"/>
            <w:vAlign w:val="center"/>
          </w:tcPr>
          <w:p w14:paraId="55835CED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5"/>
              </w:rPr>
              <w:t>访谈诊断焦点</w:t>
            </w:r>
          </w:p>
        </w:tc>
      </w:tr>
      <w:tr w14:paraId="4F107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4" w:type="dxa"/>
            <w:vAlign w:val="center"/>
          </w:tcPr>
          <w:p w14:paraId="16962D6D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第1题</w:t>
            </w:r>
          </w:p>
        </w:tc>
        <w:tc>
          <w:tcPr>
            <w:tcW w:w="2004" w:type="dxa"/>
            <w:vAlign w:val="center"/>
          </w:tcPr>
          <w:p w14:paraId="4869CA0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篮球架玩水</w:t>
            </w:r>
          </w:p>
        </w:tc>
        <w:tc>
          <w:tcPr>
            <w:tcW w:w="2004" w:type="dxa"/>
            <w:vAlign w:val="center"/>
          </w:tcPr>
          <w:p w14:paraId="7197345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 游戏支持与指导</w:t>
            </w:r>
          </w:p>
        </w:tc>
        <w:tc>
          <w:tcPr>
            <w:tcW w:w="2004" w:type="dxa"/>
            <w:vAlign w:val="center"/>
          </w:tcPr>
          <w:p w14:paraId="3C2A6F3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C2 对游戏行为的分析与回应</w:t>
            </w:r>
          </w:p>
        </w:tc>
        <w:tc>
          <w:tcPr>
            <w:tcW w:w="2004" w:type="dxa"/>
            <w:vAlign w:val="center"/>
          </w:tcPr>
          <w:p w14:paraId="7D03D4B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介入时机；介入方式适宜有效性</w:t>
            </w:r>
          </w:p>
        </w:tc>
        <w:tc>
          <w:tcPr>
            <w:tcW w:w="2004" w:type="dxa"/>
            <w:vAlign w:val="center"/>
          </w:tcPr>
          <w:p w14:paraId="11E4ED3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A1 对游戏特点的理解</w:t>
            </w:r>
          </w:p>
        </w:tc>
        <w:tc>
          <w:tcPr>
            <w:tcW w:w="2004" w:type="dxa"/>
            <w:vAlign w:val="center"/>
          </w:tcPr>
          <w:p w14:paraId="57109B1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自主生成游戏与安全、规则之间的平衡</w:t>
            </w:r>
          </w:p>
        </w:tc>
      </w:tr>
      <w:tr w14:paraId="1B5E2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4" w:type="dxa"/>
            <w:vAlign w:val="center"/>
          </w:tcPr>
          <w:p w14:paraId="52A785C7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第2题</w:t>
            </w:r>
          </w:p>
        </w:tc>
        <w:tc>
          <w:tcPr>
            <w:tcW w:w="2004" w:type="dxa"/>
            <w:vAlign w:val="center"/>
          </w:tcPr>
          <w:p w14:paraId="1E7D2F5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幼儿频繁求助</w:t>
            </w:r>
          </w:p>
        </w:tc>
        <w:tc>
          <w:tcPr>
            <w:tcW w:w="2004" w:type="dxa"/>
            <w:vAlign w:val="center"/>
          </w:tcPr>
          <w:p w14:paraId="5D7F156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 游戏支持与指导</w:t>
            </w:r>
          </w:p>
        </w:tc>
        <w:tc>
          <w:tcPr>
            <w:tcW w:w="2004" w:type="dxa"/>
            <w:vAlign w:val="center"/>
          </w:tcPr>
          <w:p w14:paraId="1CA7540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C2 对游戏行为的分析与回应</w:t>
            </w:r>
          </w:p>
        </w:tc>
        <w:tc>
          <w:tcPr>
            <w:tcW w:w="2004" w:type="dxa"/>
            <w:vAlign w:val="center"/>
          </w:tcPr>
          <w:p w14:paraId="1D49AD8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行为分析判断；支架方式适宜性</w:t>
            </w:r>
          </w:p>
        </w:tc>
        <w:tc>
          <w:tcPr>
            <w:tcW w:w="2004" w:type="dxa"/>
            <w:vAlign w:val="center"/>
          </w:tcPr>
          <w:p w14:paraId="45C4B92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C1 游戏中的观察</w:t>
            </w:r>
          </w:p>
        </w:tc>
        <w:tc>
          <w:tcPr>
            <w:tcW w:w="2004" w:type="dxa"/>
            <w:vAlign w:val="center"/>
          </w:tcPr>
          <w:p w14:paraId="768AA33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透过求助表面判断真实需要，避免代做或过度示范</w:t>
            </w:r>
          </w:p>
        </w:tc>
      </w:tr>
      <w:tr w14:paraId="0A1D0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4" w:type="dxa"/>
            <w:vAlign w:val="center"/>
          </w:tcPr>
          <w:p w14:paraId="63A425E2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第3题</w:t>
            </w:r>
          </w:p>
        </w:tc>
        <w:tc>
          <w:tcPr>
            <w:tcW w:w="2004" w:type="dxa"/>
            <w:vAlign w:val="center"/>
          </w:tcPr>
          <w:p w14:paraId="6843C0C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区域停留短</w:t>
            </w:r>
          </w:p>
        </w:tc>
        <w:tc>
          <w:tcPr>
            <w:tcW w:w="2004" w:type="dxa"/>
            <w:vAlign w:val="center"/>
          </w:tcPr>
          <w:p w14:paraId="7C5BE06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 游戏支持与指导</w:t>
            </w:r>
          </w:p>
        </w:tc>
        <w:tc>
          <w:tcPr>
            <w:tcW w:w="2004" w:type="dxa"/>
            <w:vAlign w:val="center"/>
          </w:tcPr>
          <w:p w14:paraId="7481383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C1 游戏中的观察</w:t>
            </w:r>
          </w:p>
        </w:tc>
        <w:tc>
          <w:tcPr>
            <w:tcW w:w="2004" w:type="dxa"/>
            <w:vAlign w:val="center"/>
          </w:tcPr>
          <w:p w14:paraId="3873148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观察意识和角度；游戏状态识别</w:t>
            </w:r>
          </w:p>
        </w:tc>
        <w:tc>
          <w:tcPr>
            <w:tcW w:w="2004" w:type="dxa"/>
            <w:vAlign w:val="center"/>
          </w:tcPr>
          <w:p w14:paraId="717054E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C2 对游戏行为的分析与回应</w:t>
            </w:r>
          </w:p>
        </w:tc>
        <w:tc>
          <w:tcPr>
            <w:tcW w:w="2004" w:type="dxa"/>
            <w:vAlign w:val="center"/>
          </w:tcPr>
          <w:p w14:paraId="426CFBE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持续观察频繁转换背后的原因，判断是否需要陪伴、任务或环境支持</w:t>
            </w:r>
          </w:p>
        </w:tc>
      </w:tr>
      <w:tr w14:paraId="1B575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4" w:type="dxa"/>
            <w:vAlign w:val="center"/>
          </w:tcPr>
          <w:p w14:paraId="3E92F70B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第4题</w:t>
            </w:r>
          </w:p>
        </w:tc>
        <w:tc>
          <w:tcPr>
            <w:tcW w:w="2004" w:type="dxa"/>
            <w:vAlign w:val="center"/>
          </w:tcPr>
          <w:p w14:paraId="0669A17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未参与小组建构</w:t>
            </w:r>
          </w:p>
        </w:tc>
        <w:tc>
          <w:tcPr>
            <w:tcW w:w="2004" w:type="dxa"/>
            <w:vAlign w:val="center"/>
          </w:tcPr>
          <w:p w14:paraId="4CD264C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 游戏支持与指导</w:t>
            </w:r>
          </w:p>
        </w:tc>
        <w:tc>
          <w:tcPr>
            <w:tcW w:w="2004" w:type="dxa"/>
            <w:vAlign w:val="center"/>
          </w:tcPr>
          <w:p w14:paraId="62CB315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C2 对游戏行为的分析与回应</w:t>
            </w:r>
          </w:p>
        </w:tc>
        <w:tc>
          <w:tcPr>
            <w:tcW w:w="2004" w:type="dxa"/>
            <w:vAlign w:val="center"/>
          </w:tcPr>
          <w:p w14:paraId="6A967F8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行为分析判断；介入方式适宜性</w:t>
            </w:r>
          </w:p>
        </w:tc>
        <w:tc>
          <w:tcPr>
            <w:tcW w:w="2004" w:type="dxa"/>
            <w:vAlign w:val="center"/>
          </w:tcPr>
          <w:p w14:paraId="40A725C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B2 教师在幼儿游戏中的角色</w:t>
            </w:r>
          </w:p>
        </w:tc>
        <w:tc>
          <w:tcPr>
            <w:tcW w:w="2004" w:type="dxa"/>
            <w:vAlign w:val="center"/>
          </w:tcPr>
          <w:p w14:paraId="360CABA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把幼儿个体兴趣转化为共同建构资源</w:t>
            </w:r>
          </w:p>
        </w:tc>
      </w:tr>
      <w:tr w14:paraId="203FD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4" w:type="dxa"/>
            <w:vAlign w:val="center"/>
          </w:tcPr>
          <w:p w14:paraId="6F4810A9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第5题</w:t>
            </w:r>
          </w:p>
        </w:tc>
        <w:tc>
          <w:tcPr>
            <w:tcW w:w="2004" w:type="dxa"/>
            <w:vAlign w:val="center"/>
          </w:tcPr>
          <w:p w14:paraId="50A4CF6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游戏兴趣点与常规价值不符</w:t>
            </w:r>
          </w:p>
        </w:tc>
        <w:tc>
          <w:tcPr>
            <w:tcW w:w="2004" w:type="dxa"/>
            <w:vAlign w:val="center"/>
          </w:tcPr>
          <w:p w14:paraId="65EFB6A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A 对游戏的特点、价值的理解</w:t>
            </w:r>
          </w:p>
        </w:tc>
        <w:tc>
          <w:tcPr>
            <w:tcW w:w="2004" w:type="dxa"/>
            <w:vAlign w:val="center"/>
          </w:tcPr>
          <w:p w14:paraId="663DCAF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A1 对游戏特点的理解</w:t>
            </w:r>
          </w:p>
        </w:tc>
        <w:tc>
          <w:tcPr>
            <w:tcW w:w="2004" w:type="dxa"/>
            <w:vAlign w:val="center"/>
          </w:tcPr>
          <w:p w14:paraId="0035F8C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游戏本质特征；儿童游戏逻辑</w:t>
            </w:r>
          </w:p>
        </w:tc>
        <w:tc>
          <w:tcPr>
            <w:tcW w:w="2004" w:type="dxa"/>
            <w:vAlign w:val="center"/>
          </w:tcPr>
          <w:p w14:paraId="3D6A886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A3 对游戏价值实现的认识</w:t>
            </w:r>
          </w:p>
        </w:tc>
        <w:tc>
          <w:tcPr>
            <w:tcW w:w="2004" w:type="dxa"/>
            <w:vAlign w:val="center"/>
          </w:tcPr>
          <w:p w14:paraId="14A76C7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区分儿童游戏情节体验与成人现实价值判断，进行适宜价值澄清</w:t>
            </w:r>
          </w:p>
        </w:tc>
      </w:tr>
      <w:tr w14:paraId="47F9A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4" w:type="dxa"/>
            <w:vAlign w:val="center"/>
          </w:tcPr>
          <w:p w14:paraId="7600257C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第6题</w:t>
            </w:r>
          </w:p>
        </w:tc>
        <w:tc>
          <w:tcPr>
            <w:tcW w:w="2004" w:type="dxa"/>
            <w:vAlign w:val="center"/>
          </w:tcPr>
          <w:p w14:paraId="00C162E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游戏材料选择没有层次</w:t>
            </w:r>
          </w:p>
        </w:tc>
        <w:tc>
          <w:tcPr>
            <w:tcW w:w="2004" w:type="dxa"/>
            <w:vAlign w:val="center"/>
          </w:tcPr>
          <w:p w14:paraId="2F9BCB2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B 游戏条件的保障</w:t>
            </w:r>
          </w:p>
        </w:tc>
        <w:tc>
          <w:tcPr>
            <w:tcW w:w="2004" w:type="dxa"/>
            <w:vAlign w:val="center"/>
          </w:tcPr>
          <w:p w14:paraId="54E04E2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B1 游戏环境创设</w:t>
            </w:r>
          </w:p>
        </w:tc>
        <w:tc>
          <w:tcPr>
            <w:tcW w:w="2004" w:type="dxa"/>
            <w:vAlign w:val="center"/>
          </w:tcPr>
          <w:p w14:paraId="3F3360E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材料分析和投放；动态调整</w:t>
            </w:r>
          </w:p>
        </w:tc>
        <w:tc>
          <w:tcPr>
            <w:tcW w:w="2004" w:type="dxa"/>
            <w:vAlign w:val="center"/>
          </w:tcPr>
          <w:p w14:paraId="3FB4E7B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C2 对游戏行为的分析与回应</w:t>
            </w:r>
          </w:p>
        </w:tc>
        <w:tc>
          <w:tcPr>
            <w:tcW w:w="2004" w:type="dxa"/>
            <w:vAlign w:val="center"/>
          </w:tcPr>
          <w:p w14:paraId="49AA0CA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通过材料层次和适度挑战支持儿童持续发展</w:t>
            </w:r>
          </w:p>
        </w:tc>
      </w:tr>
      <w:tr w14:paraId="4AF02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4" w:type="dxa"/>
            <w:vAlign w:val="center"/>
          </w:tcPr>
          <w:p w14:paraId="5C715488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第7题</w:t>
            </w:r>
          </w:p>
        </w:tc>
        <w:tc>
          <w:tcPr>
            <w:tcW w:w="2004" w:type="dxa"/>
            <w:vAlign w:val="center"/>
          </w:tcPr>
          <w:p w14:paraId="65DE5C6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幼儿未参与运动</w:t>
            </w:r>
          </w:p>
        </w:tc>
        <w:tc>
          <w:tcPr>
            <w:tcW w:w="2004" w:type="dxa"/>
            <w:vAlign w:val="center"/>
          </w:tcPr>
          <w:p w14:paraId="737985D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 游戏支持与指导</w:t>
            </w:r>
          </w:p>
        </w:tc>
        <w:tc>
          <w:tcPr>
            <w:tcW w:w="2004" w:type="dxa"/>
            <w:vAlign w:val="center"/>
          </w:tcPr>
          <w:p w14:paraId="683A07F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C2 对游戏行为的分析与回应</w:t>
            </w:r>
          </w:p>
        </w:tc>
        <w:tc>
          <w:tcPr>
            <w:tcW w:w="2004" w:type="dxa"/>
            <w:vAlign w:val="center"/>
          </w:tcPr>
          <w:p w14:paraId="76C142F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行为分析判断；介入方式适宜性</w:t>
            </w:r>
          </w:p>
        </w:tc>
        <w:tc>
          <w:tcPr>
            <w:tcW w:w="2004" w:type="dxa"/>
            <w:vAlign w:val="center"/>
          </w:tcPr>
          <w:p w14:paraId="655BCF6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A2 对游戏价值的理解（游戏中的学习）</w:t>
            </w:r>
          </w:p>
        </w:tc>
        <w:tc>
          <w:tcPr>
            <w:tcW w:w="2004" w:type="dxa"/>
            <w:vAlign w:val="center"/>
          </w:tcPr>
          <w:p w14:paraId="2F06175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理解角色兴趣，将艾莎公主游戏转化为发展适宜的运动经验</w:t>
            </w:r>
          </w:p>
        </w:tc>
      </w:tr>
      <w:tr w14:paraId="7C1FC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4" w:type="dxa"/>
            <w:vAlign w:val="center"/>
          </w:tcPr>
          <w:p w14:paraId="33E36CF3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第8题</w:t>
            </w:r>
          </w:p>
        </w:tc>
        <w:tc>
          <w:tcPr>
            <w:tcW w:w="2004" w:type="dxa"/>
            <w:vAlign w:val="center"/>
          </w:tcPr>
          <w:p w14:paraId="1757C44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难题未解，幼儿兴趣减弱</w:t>
            </w:r>
          </w:p>
        </w:tc>
        <w:tc>
          <w:tcPr>
            <w:tcW w:w="2004" w:type="dxa"/>
            <w:vAlign w:val="center"/>
          </w:tcPr>
          <w:p w14:paraId="620E2F6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 游戏支持与指导</w:t>
            </w:r>
          </w:p>
        </w:tc>
        <w:tc>
          <w:tcPr>
            <w:tcW w:w="2004" w:type="dxa"/>
            <w:vAlign w:val="center"/>
          </w:tcPr>
          <w:p w14:paraId="05833FE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C2 对游戏行为的分析与回应</w:t>
            </w:r>
          </w:p>
        </w:tc>
        <w:tc>
          <w:tcPr>
            <w:tcW w:w="2004" w:type="dxa"/>
            <w:vAlign w:val="center"/>
          </w:tcPr>
          <w:p w14:paraId="7B7922E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介入时机；介入方式适宜有效性</w:t>
            </w:r>
          </w:p>
        </w:tc>
        <w:tc>
          <w:tcPr>
            <w:tcW w:w="2004" w:type="dxa"/>
            <w:vAlign w:val="center"/>
          </w:tcPr>
          <w:p w14:paraId="2EFA9EF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B1 游戏环境创设</w:t>
            </w:r>
          </w:p>
        </w:tc>
        <w:tc>
          <w:tcPr>
            <w:tcW w:w="2004" w:type="dxa"/>
            <w:vAlign w:val="center"/>
          </w:tcPr>
          <w:p w14:paraId="51C32D6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通过材料、问题和有限示范支架恢复探究兴趣，而不是替儿童完成</w:t>
            </w:r>
          </w:p>
        </w:tc>
      </w:tr>
      <w:tr w14:paraId="75912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4" w:type="dxa"/>
            <w:vAlign w:val="center"/>
          </w:tcPr>
          <w:p w14:paraId="2D50F92F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第9题</w:t>
            </w:r>
          </w:p>
        </w:tc>
        <w:tc>
          <w:tcPr>
            <w:tcW w:w="2004" w:type="dxa"/>
            <w:vAlign w:val="center"/>
          </w:tcPr>
          <w:p w14:paraId="10C421A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幼儿未按规则游戏</w:t>
            </w:r>
          </w:p>
        </w:tc>
        <w:tc>
          <w:tcPr>
            <w:tcW w:w="2004" w:type="dxa"/>
            <w:vAlign w:val="center"/>
          </w:tcPr>
          <w:p w14:paraId="1F75620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 游戏支持与指导</w:t>
            </w:r>
          </w:p>
        </w:tc>
        <w:tc>
          <w:tcPr>
            <w:tcW w:w="2004" w:type="dxa"/>
            <w:vAlign w:val="center"/>
          </w:tcPr>
          <w:p w14:paraId="674B7D1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C2 对游戏行为的分析与回应</w:t>
            </w:r>
          </w:p>
        </w:tc>
        <w:tc>
          <w:tcPr>
            <w:tcW w:w="2004" w:type="dxa"/>
            <w:vAlign w:val="center"/>
          </w:tcPr>
          <w:p w14:paraId="6E864D1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介入时机；介入方式适宜有效性</w:t>
            </w:r>
          </w:p>
        </w:tc>
        <w:tc>
          <w:tcPr>
            <w:tcW w:w="2004" w:type="dxa"/>
            <w:vAlign w:val="center"/>
          </w:tcPr>
          <w:p w14:paraId="0A04B87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C1 游戏中的观察</w:t>
            </w:r>
          </w:p>
        </w:tc>
        <w:tc>
          <w:tcPr>
            <w:tcW w:w="2004" w:type="dxa"/>
            <w:vAlign w:val="center"/>
          </w:tcPr>
          <w:p w14:paraId="3DD8DD7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理解共同规则形成水平，通过体验、反思和协商促进规则理解</w:t>
            </w:r>
          </w:p>
        </w:tc>
      </w:tr>
      <w:tr w14:paraId="2EE98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04" w:type="dxa"/>
            <w:vAlign w:val="center"/>
          </w:tcPr>
          <w:p w14:paraId="36E2FA74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第10题</w:t>
            </w:r>
          </w:p>
        </w:tc>
        <w:tc>
          <w:tcPr>
            <w:tcW w:w="2004" w:type="dxa"/>
            <w:vAlign w:val="center"/>
          </w:tcPr>
          <w:p w14:paraId="006F058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集体游戏秩序混乱</w:t>
            </w:r>
          </w:p>
        </w:tc>
        <w:tc>
          <w:tcPr>
            <w:tcW w:w="2004" w:type="dxa"/>
            <w:vAlign w:val="center"/>
          </w:tcPr>
          <w:p w14:paraId="2C52D5A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 游戏支持与指导</w:t>
            </w:r>
          </w:p>
        </w:tc>
        <w:tc>
          <w:tcPr>
            <w:tcW w:w="2004" w:type="dxa"/>
            <w:vAlign w:val="center"/>
          </w:tcPr>
          <w:p w14:paraId="172C385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C2 对游戏行为的分析与回应</w:t>
            </w:r>
          </w:p>
        </w:tc>
        <w:tc>
          <w:tcPr>
            <w:tcW w:w="2004" w:type="dxa"/>
            <w:vAlign w:val="center"/>
          </w:tcPr>
          <w:p w14:paraId="490C2A2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介入时机；介入方式适宜有效性</w:t>
            </w:r>
          </w:p>
        </w:tc>
        <w:tc>
          <w:tcPr>
            <w:tcW w:w="2004" w:type="dxa"/>
            <w:vAlign w:val="center"/>
          </w:tcPr>
          <w:p w14:paraId="4C70345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B2 教师在幼儿游戏中的角色</w:t>
            </w:r>
          </w:p>
        </w:tc>
        <w:tc>
          <w:tcPr>
            <w:tcW w:w="2004" w:type="dxa"/>
            <w:vAlign w:val="center"/>
          </w:tcPr>
          <w:p w14:paraId="30727E4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5"/>
              </w:rPr>
              <w:t>在安全与秩序风险中组织幼儿参与规则形成，建立共同游戏文化</w:t>
            </w:r>
          </w:p>
        </w:tc>
      </w:tr>
    </w:tbl>
    <w:p w14:paraId="0956ADCC">
      <w:pPr>
        <w:rPr>
          <w:rFonts w:hint="default" w:ascii="Times New Roman" w:hAnsi="Times New Roman" w:eastAsia="宋体" w:cs="Times New Roman"/>
        </w:rPr>
      </w:pPr>
    </w:p>
    <w:p w14:paraId="42C27ECC">
      <w:pPr>
        <w:rPr>
          <w:rFonts w:hint="default" w:ascii="Times New Roman" w:hAnsi="Times New Roman" w:eastAsia="宋体" w:cs="Times New Roman"/>
        </w:rPr>
      </w:pPr>
    </w:p>
    <w:p w14:paraId="35016493">
      <w:pPr>
        <w:rPr>
          <w:rFonts w:hint="default" w:ascii="Times New Roman" w:hAnsi="Times New Roman" w:eastAsia="宋体" w:cs="Times New Roman"/>
          <w:lang w:val="en-US" w:eastAsia="zh-CN"/>
        </w:rPr>
        <w:sectPr>
          <w:pgSz w:w="15840" w:h="12240" w:orient="landscape"/>
          <w:pgMar w:top="907" w:right="907" w:bottom="850" w:left="907" w:header="680" w:footer="680" w:gutter="0"/>
          <w:pgNumType w:fmt="decimal"/>
          <w:cols w:space="720" w:num="1"/>
          <w:docGrid w:linePitch="360" w:charSpace="0"/>
        </w:sectPr>
      </w:pPr>
      <w:r>
        <w:rPr>
          <w:rFonts w:hint="eastAsia" w:ascii="Times New Roman" w:hAnsi="Times New Roman" w:eastAsia="宋体" w:cs="Times New Roman"/>
          <w:lang w:val="en-US" w:eastAsia="zh-CN"/>
        </w:rPr>
        <w:t>各个题目的主二级指标的不同，对于后面遴选访谈题目有重要作用。尽量不要遴选同一个主二级指标的三个情境题。确保题型有一定分散性。</w:t>
      </w:r>
    </w:p>
    <w:p w14:paraId="1BFA59DC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六、AI访谈如何按该框架提问</w:t>
      </w:r>
    </w:p>
    <w:p w14:paraId="4A0403DF">
      <w:pPr>
        <w:spacing w:line="30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I访谈应以教师真实作答和过程数据为入口，以题目知识库为专业背景，以本指标体系为证据编码框架。访谈过程中不能直接告诉教师“本题考察C2”或要求教师背诵指标名称，而应通过情境化问题获得与指标对应的证据。</w:t>
      </w:r>
    </w:p>
    <w:p w14:paraId="507FA230">
      <w:pPr>
        <w:spacing w:line="30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每道访谈题的后台资料包应至少包含：题干与选项、教师最终排序与得分、过程标签、入选理由、主二级指标、主三级指标、观测点、发展脉络提示、追问脚本和评分锚点。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3"/>
        <w:gridCol w:w="6735"/>
      </w:tblGrid>
      <w:tr w14:paraId="3F6F1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3" w:type="dxa"/>
            <w:shd w:val="clear" w:color="auto" w:fill="1F4E79"/>
            <w:vAlign w:val="center"/>
          </w:tcPr>
          <w:p w14:paraId="3F7A6918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环节</w:t>
            </w:r>
          </w:p>
        </w:tc>
        <w:tc>
          <w:tcPr>
            <w:tcW w:w="6735" w:type="dxa"/>
            <w:shd w:val="clear" w:color="auto" w:fill="1F4E79"/>
            <w:vAlign w:val="center"/>
          </w:tcPr>
          <w:p w14:paraId="5D42CEF8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操作规范</w:t>
            </w:r>
          </w:p>
        </w:tc>
      </w:tr>
      <w:tr w14:paraId="1B056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3" w:type="dxa"/>
            <w:vAlign w:val="center"/>
          </w:tcPr>
          <w:p w14:paraId="360DFDE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1. 确定访谈题指标定位</w:t>
            </w:r>
          </w:p>
        </w:tc>
        <w:tc>
          <w:tcPr>
            <w:tcW w:w="6735" w:type="dxa"/>
            <w:vAlign w:val="center"/>
          </w:tcPr>
          <w:p w14:paraId="48230DB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根据10题映射表读取该题主二级指标、主三级指标和观测点。</w:t>
            </w:r>
          </w:p>
        </w:tc>
      </w:tr>
      <w:tr w14:paraId="1B997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3" w:type="dxa"/>
            <w:vAlign w:val="center"/>
          </w:tcPr>
          <w:p w14:paraId="1CC5423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2. 结合教师结果与过程</w:t>
            </w:r>
          </w:p>
        </w:tc>
        <w:tc>
          <w:tcPr>
            <w:tcW w:w="6735" w:type="dxa"/>
            <w:vAlign w:val="center"/>
          </w:tcPr>
          <w:p w14:paraId="06671BA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读取教师最终排序、得分、首位/末位选择、修改次数、首末位变化和过程标签。</w:t>
            </w:r>
          </w:p>
        </w:tc>
      </w:tr>
      <w:tr w14:paraId="74D0B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3" w:type="dxa"/>
            <w:vAlign w:val="center"/>
          </w:tcPr>
          <w:p w14:paraId="29DCBB9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3. 生成第一问</w:t>
            </w:r>
          </w:p>
        </w:tc>
        <w:tc>
          <w:tcPr>
            <w:tcW w:w="6735" w:type="dxa"/>
            <w:vAlign w:val="center"/>
          </w:tcPr>
          <w:p w14:paraId="3E40F20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从教师真实选择切入，询问其为何这样排序或为何把某做法放在首位/末位。</w:t>
            </w:r>
          </w:p>
        </w:tc>
      </w:tr>
      <w:tr w14:paraId="55D17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3" w:type="dxa"/>
            <w:vAlign w:val="center"/>
          </w:tcPr>
          <w:p w14:paraId="5DC7A07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4. 动态追问缺失证据</w:t>
            </w:r>
          </w:p>
        </w:tc>
        <w:tc>
          <w:tcPr>
            <w:tcW w:w="6735" w:type="dxa"/>
            <w:vAlign w:val="center"/>
          </w:tcPr>
          <w:p w14:paraId="0329D01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若教师没有说明儿童游戏意义、真实需要、介入时机或具体支架，则围绕对应观测点追问。</w:t>
            </w:r>
          </w:p>
        </w:tc>
      </w:tr>
      <w:tr w14:paraId="48FAB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3" w:type="dxa"/>
            <w:vAlign w:val="center"/>
          </w:tcPr>
          <w:p w14:paraId="3BB4C28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5. 记录证据账本</w:t>
            </w:r>
          </w:p>
        </w:tc>
        <w:tc>
          <w:tcPr>
            <w:tcW w:w="6735" w:type="dxa"/>
            <w:vAlign w:val="center"/>
          </w:tcPr>
          <w:p w14:paraId="58AB206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后台记录已获得证据、缺失证据、能力判断假设、风险标签和下一轮追问目标。</w:t>
            </w:r>
          </w:p>
        </w:tc>
      </w:tr>
      <w:tr w14:paraId="6B32F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3" w:type="dxa"/>
            <w:vAlign w:val="center"/>
          </w:tcPr>
          <w:p w14:paraId="472F18C3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6. 输出单题证据摘要</w:t>
            </w:r>
          </w:p>
        </w:tc>
        <w:tc>
          <w:tcPr>
            <w:tcW w:w="6735" w:type="dxa"/>
            <w:vAlign w:val="center"/>
          </w:tcPr>
          <w:p w14:paraId="7C8B006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按主三级指标整理教师表现：理解到什么、判断到什么、策略具体到什么程度、仍缺什么证据。</w:t>
            </w:r>
          </w:p>
        </w:tc>
      </w:tr>
    </w:tbl>
    <w:p w14:paraId="6BF2CBF6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按三级指标生成追问的示例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3"/>
        <w:gridCol w:w="6735"/>
      </w:tblGrid>
      <w:tr w14:paraId="67143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3" w:type="dxa"/>
            <w:shd w:val="clear" w:color="auto" w:fill="1F4E79"/>
            <w:vAlign w:val="center"/>
          </w:tcPr>
          <w:p w14:paraId="02E6268D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三级指标</w:t>
            </w:r>
          </w:p>
        </w:tc>
        <w:tc>
          <w:tcPr>
            <w:tcW w:w="6735" w:type="dxa"/>
            <w:shd w:val="clear" w:color="auto" w:fill="1F4E79"/>
            <w:vAlign w:val="center"/>
          </w:tcPr>
          <w:p w14:paraId="2BCEE3CB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可用追问方向</w:t>
            </w:r>
          </w:p>
        </w:tc>
      </w:tr>
      <w:tr w14:paraId="1F810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3" w:type="dxa"/>
            <w:vAlign w:val="center"/>
          </w:tcPr>
          <w:p w14:paraId="3A26B99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A1 对游戏特点的理解</w:t>
            </w:r>
          </w:p>
        </w:tc>
        <w:tc>
          <w:tcPr>
            <w:tcW w:w="6735" w:type="dxa"/>
            <w:vAlign w:val="center"/>
          </w:tcPr>
          <w:p w14:paraId="6D74632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“你觉得孩子这样玩，最吸引他的可能是什么？”“这个行为更像是在破坏规则，还是在生成一种新的游戏玩法？为什么？”</w:t>
            </w:r>
          </w:p>
        </w:tc>
      </w:tr>
      <w:tr w14:paraId="36210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3" w:type="dxa"/>
            <w:vAlign w:val="center"/>
          </w:tcPr>
          <w:p w14:paraId="7D7AB5C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A2 对游戏价值的理解（游戏中的学习）</w:t>
            </w:r>
          </w:p>
        </w:tc>
        <w:tc>
          <w:tcPr>
            <w:tcW w:w="6735" w:type="dxa"/>
            <w:vAlign w:val="center"/>
          </w:tcPr>
          <w:p w14:paraId="1B871DC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“如果继续支持这个游戏，你觉得孩子可能获得哪些经验？”“这里的学习不一定马上看出来，你会关注哪些变化？”</w:t>
            </w:r>
          </w:p>
        </w:tc>
      </w:tr>
      <w:tr w14:paraId="50566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3" w:type="dxa"/>
            <w:vAlign w:val="center"/>
          </w:tcPr>
          <w:p w14:paraId="2A55A5B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A3 对游戏价值实现的认识</w:t>
            </w:r>
          </w:p>
        </w:tc>
        <w:tc>
          <w:tcPr>
            <w:tcW w:w="6735" w:type="dxa"/>
            <w:vAlign w:val="center"/>
          </w:tcPr>
          <w:p w14:paraId="131BF04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“你会期待孩子今天就表现出明显进步吗？如果不会，你接下来几天会怎样持续支持？”</w:t>
            </w:r>
          </w:p>
        </w:tc>
      </w:tr>
      <w:tr w14:paraId="43F69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3" w:type="dxa"/>
            <w:vAlign w:val="center"/>
          </w:tcPr>
          <w:p w14:paraId="6016C320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B1 游戏环境创设</w:t>
            </w:r>
          </w:p>
        </w:tc>
        <w:tc>
          <w:tcPr>
            <w:tcW w:w="6735" w:type="dxa"/>
            <w:vAlign w:val="center"/>
          </w:tcPr>
          <w:p w14:paraId="2D56750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“除了语言提醒，你会怎样调整材料、空间或时间，让孩子更容易继续游戏？”</w:t>
            </w:r>
          </w:p>
        </w:tc>
      </w:tr>
      <w:tr w14:paraId="43168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3" w:type="dxa"/>
            <w:vAlign w:val="center"/>
          </w:tcPr>
          <w:p w14:paraId="19E3456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B2 教师在幼儿游戏中的角色</w:t>
            </w:r>
          </w:p>
        </w:tc>
        <w:tc>
          <w:tcPr>
            <w:tcW w:w="6735" w:type="dxa"/>
            <w:vAlign w:val="center"/>
          </w:tcPr>
          <w:p w14:paraId="22FA091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“在这个情境中，你更像观察者、参与者、合作者还是引导者？你为什么这样选择？”</w:t>
            </w:r>
          </w:p>
        </w:tc>
      </w:tr>
      <w:tr w14:paraId="408BE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3" w:type="dxa"/>
            <w:vAlign w:val="center"/>
          </w:tcPr>
          <w:p w14:paraId="722AE5E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C1 游戏中的观察</w:t>
            </w:r>
          </w:p>
        </w:tc>
        <w:tc>
          <w:tcPr>
            <w:tcW w:w="6735" w:type="dxa"/>
            <w:vAlign w:val="center"/>
          </w:tcPr>
          <w:p w14:paraId="7BB31F9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“你会先观察哪些细节来判断孩子是否真的需要帮助？”“你怎样判断孩子是否处在有质量的游戏状态？”</w:t>
            </w:r>
          </w:p>
        </w:tc>
      </w:tr>
      <w:tr w14:paraId="67FF2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3" w:type="dxa"/>
            <w:vAlign w:val="center"/>
          </w:tcPr>
          <w:p w14:paraId="1EBF619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C2 对游戏行为的分析与回应</w:t>
            </w:r>
          </w:p>
        </w:tc>
        <w:tc>
          <w:tcPr>
            <w:tcW w:w="6735" w:type="dxa"/>
            <w:vAlign w:val="center"/>
          </w:tcPr>
          <w:p w14:paraId="1C90FA02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“如果你现在介入，第一句话会怎么说？”“你会给什么样的支架，又如何避免替孩子完成？”</w:t>
            </w:r>
          </w:p>
        </w:tc>
      </w:tr>
    </w:tbl>
    <w:p w14:paraId="053C61C8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七、综合报告如何按该框架生成能力画像</w:t>
      </w:r>
    </w:p>
    <w:p w14:paraId="4427A6EF">
      <w:pPr>
        <w:spacing w:line="30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教师综合分析报告采用基于</w:t>
      </w:r>
      <w:r>
        <w:rPr>
          <w:rFonts w:hint="eastAsia" w:ascii="Times New Roman" w:hAnsi="Times New Roman" w:eastAsia="宋体" w:cs="Times New Roman"/>
          <w:sz w:val="21"/>
          <w:lang w:val="en-US" w:eastAsia="zh-CN"/>
        </w:rPr>
        <w:t>上述</w:t>
      </w:r>
      <w:r>
        <w:rPr>
          <w:rFonts w:hint="default" w:ascii="Times New Roman" w:hAnsi="Times New Roman" w:eastAsia="宋体" w:cs="Times New Roman"/>
          <w:sz w:val="21"/>
        </w:rPr>
        <w:t>既定指标体系的游戏支持与引导能力画像。报告应把测验结果、过程数据和访谈证据分别回收到三个二级指标和七个三级指标之下。</w:t>
      </w:r>
    </w:p>
    <w:p w14:paraId="362AF514">
      <w:pPr>
        <w:spacing w:line="30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报告写作的基本逻辑是：测验得分定位水平，过程数据解释判断形成方式，访谈证据确认能力机制，三类证据共同生成教师的优势、发展需求和继续学习建议。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8"/>
        <w:gridCol w:w="7570"/>
      </w:tblGrid>
      <w:tr w14:paraId="5B091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8" w:type="dxa"/>
            <w:shd w:val="clear" w:color="auto" w:fill="1F4E79"/>
            <w:vAlign w:val="center"/>
          </w:tcPr>
          <w:p w14:paraId="0DD5392A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报告生成环节</w:t>
            </w:r>
          </w:p>
        </w:tc>
        <w:tc>
          <w:tcPr>
            <w:tcW w:w="7570" w:type="dxa"/>
            <w:shd w:val="clear" w:color="auto" w:fill="1F4E79"/>
            <w:vAlign w:val="center"/>
          </w:tcPr>
          <w:p w14:paraId="6270B4A6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8"/>
              </w:rPr>
              <w:t>写作规则</w:t>
            </w:r>
          </w:p>
        </w:tc>
      </w:tr>
      <w:tr w14:paraId="118FF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8" w:type="dxa"/>
            <w:vAlign w:val="center"/>
          </w:tcPr>
          <w:p w14:paraId="5A42D8B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二级指标画像</w:t>
            </w:r>
          </w:p>
        </w:tc>
        <w:tc>
          <w:tcPr>
            <w:tcW w:w="7570" w:type="dxa"/>
            <w:vAlign w:val="center"/>
          </w:tcPr>
          <w:p w14:paraId="7A7CE81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先按三个二级指标概括教师表现，说明其在观念理解、条件保障、现场支持中的相对优势与发展点。</w:t>
            </w:r>
          </w:p>
        </w:tc>
      </w:tr>
      <w:tr w14:paraId="3A115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8" w:type="dxa"/>
            <w:vAlign w:val="center"/>
          </w:tcPr>
          <w:p w14:paraId="7FE4AE67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三级指标画像</w:t>
            </w:r>
          </w:p>
        </w:tc>
        <w:tc>
          <w:tcPr>
            <w:tcW w:w="7570" w:type="dxa"/>
            <w:vAlign w:val="center"/>
          </w:tcPr>
          <w:p w14:paraId="366F310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再按七个三级指标展开，说明哪些指标证据充分、哪些指标有待进一步观察或访谈。</w:t>
            </w:r>
          </w:p>
        </w:tc>
      </w:tr>
      <w:tr w14:paraId="5A179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8" w:type="dxa"/>
            <w:vAlign w:val="center"/>
          </w:tcPr>
          <w:p w14:paraId="0FEDD35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题目证据回填</w:t>
            </w:r>
          </w:p>
        </w:tc>
        <w:tc>
          <w:tcPr>
            <w:tcW w:w="7570" w:type="dxa"/>
            <w:vAlign w:val="center"/>
          </w:tcPr>
          <w:p w14:paraId="0A542ED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每个判断必须回到具体题目、过程标签或访谈回答，不使用空泛评价。</w:t>
            </w:r>
          </w:p>
        </w:tc>
      </w:tr>
      <w:tr w14:paraId="38B1B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8" w:type="dxa"/>
            <w:vAlign w:val="center"/>
          </w:tcPr>
          <w:p w14:paraId="6A6FCCB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冲突证据解释</w:t>
            </w:r>
          </w:p>
        </w:tc>
        <w:tc>
          <w:tcPr>
            <w:tcW w:w="7570" w:type="dxa"/>
            <w:vAlign w:val="center"/>
          </w:tcPr>
          <w:p w14:paraId="208C360C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若测验表现与访谈表现不一致，要解释为“独立判断”“追问激活”“表达能力”“策略具体性”等差异，而不是简单平均。</w:t>
            </w:r>
          </w:p>
        </w:tc>
      </w:tr>
      <w:tr w14:paraId="2D5CB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88" w:type="dxa"/>
            <w:vAlign w:val="center"/>
          </w:tcPr>
          <w:p w14:paraId="10D3954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学习建议对齐指标</w:t>
            </w:r>
          </w:p>
        </w:tc>
        <w:tc>
          <w:tcPr>
            <w:tcW w:w="7570" w:type="dxa"/>
            <w:vAlign w:val="center"/>
          </w:tcPr>
          <w:p w14:paraId="07EECAA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</w:rPr>
              <w:t>继续学习建议应指向具体二级/三级指标，如A3“理解游戏价值实现的长远性”、C2“介入方式的适宜有效性”。</w:t>
            </w:r>
          </w:p>
        </w:tc>
      </w:tr>
    </w:tbl>
    <w:p w14:paraId="64EA420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报告正文示例表达</w:t>
      </w:r>
    </w:p>
    <w:p w14:paraId="49E61ADC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在“对游戏的特点、价值的理解”方面，该教师能够意识到儿童游戏行为背后包含兴趣和角色体验，但在部分价值冲突情境中，仍容易较快转向成人现实判断。后续可进一步练习先澄清儿童游戏意义，再进行安全或价值回应。</w:t>
      </w:r>
    </w:p>
    <w:p w14:paraId="402E292C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在“游戏条件的保障”方面，该教师对材料和环境的作用已有一定认识，但在访谈中较少主动提出通过材料层次、空间安排和时间延续来支持游戏。后续可重点提升从儿童经验出发分析和调整材料的能力。</w:t>
      </w:r>
    </w:p>
    <w:p w14:paraId="2F4E5C4D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在“游戏支持与指导”方面，该教师具有较好的介入意识，能够在游戏停滞、秩序混乱或儿童求助时想到支持儿童。但具体支架方式还需要从“提醒和示范”进一步走向“提问、材料、同伴、环境”多种支架的灵活组合。</w:t>
      </w:r>
    </w:p>
    <w:p w14:paraId="11646A8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八、API与数据字段应用建议</w:t>
      </w:r>
    </w:p>
    <w:p w14:paraId="090D82BA">
      <w:pPr>
        <w:spacing w:line="30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为了保证API自动生成访谈和报告时稳定调用本指标体系，建议在题目映射、题目知识库、访谈资料包和报告资料包中统一设置以下字段。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3"/>
        <w:gridCol w:w="5695"/>
      </w:tblGrid>
      <w:tr w14:paraId="17535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3" w:type="dxa"/>
            <w:shd w:val="clear" w:color="auto" w:fill="1F4E79"/>
            <w:vAlign w:val="center"/>
          </w:tcPr>
          <w:p w14:paraId="57CDF75E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字段名</w:t>
            </w:r>
          </w:p>
        </w:tc>
        <w:tc>
          <w:tcPr>
            <w:tcW w:w="5695" w:type="dxa"/>
            <w:shd w:val="clear" w:color="auto" w:fill="1F4E79"/>
            <w:vAlign w:val="center"/>
          </w:tcPr>
          <w:p w14:paraId="67CFF9DC">
            <w:pPr>
              <w:spacing w:after="0" w:line="252" w:lineRule="auto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FFFFFF"/>
                <w:sz w:val="17"/>
              </w:rPr>
              <w:t>说明</w:t>
            </w:r>
          </w:p>
        </w:tc>
      </w:tr>
      <w:tr w14:paraId="4DCE4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3" w:type="dxa"/>
            <w:vAlign w:val="center"/>
          </w:tcPr>
          <w:p w14:paraId="7067B75A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secondary_indicator_code</w:t>
            </w:r>
          </w:p>
        </w:tc>
        <w:tc>
          <w:tcPr>
            <w:tcW w:w="5695" w:type="dxa"/>
            <w:vAlign w:val="center"/>
          </w:tcPr>
          <w:p w14:paraId="0A45BF1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二级指标编码，如A、B、C</w:t>
            </w:r>
          </w:p>
        </w:tc>
      </w:tr>
      <w:tr w14:paraId="3FD41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3" w:type="dxa"/>
            <w:vAlign w:val="center"/>
          </w:tcPr>
          <w:p w14:paraId="2D4E463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secondary_indicator_name</w:t>
            </w:r>
          </w:p>
        </w:tc>
        <w:tc>
          <w:tcPr>
            <w:tcW w:w="5695" w:type="dxa"/>
            <w:vAlign w:val="center"/>
          </w:tcPr>
          <w:p w14:paraId="7C26676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二级指标规范名称，如“游戏支持与指导”</w:t>
            </w:r>
          </w:p>
        </w:tc>
      </w:tr>
      <w:tr w14:paraId="66E80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3" w:type="dxa"/>
            <w:vAlign w:val="center"/>
          </w:tcPr>
          <w:p w14:paraId="72513A4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tertiary_indicator_code</w:t>
            </w:r>
          </w:p>
        </w:tc>
        <w:tc>
          <w:tcPr>
            <w:tcW w:w="5695" w:type="dxa"/>
            <w:vAlign w:val="center"/>
          </w:tcPr>
          <w:p w14:paraId="1990380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三级指标编码，如C2</w:t>
            </w:r>
          </w:p>
        </w:tc>
      </w:tr>
      <w:tr w14:paraId="6CADE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3" w:type="dxa"/>
            <w:vAlign w:val="center"/>
          </w:tcPr>
          <w:p w14:paraId="7851A7BB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tertiary_indicator_name</w:t>
            </w:r>
          </w:p>
        </w:tc>
        <w:tc>
          <w:tcPr>
            <w:tcW w:w="5695" w:type="dxa"/>
            <w:vAlign w:val="center"/>
          </w:tcPr>
          <w:p w14:paraId="2517F90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三级指标规范名称，如“对游戏行为的分析与回应”</w:t>
            </w:r>
          </w:p>
        </w:tc>
      </w:tr>
      <w:tr w14:paraId="65831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3" w:type="dxa"/>
            <w:vAlign w:val="center"/>
          </w:tcPr>
          <w:p w14:paraId="395F701E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observation_points</w:t>
            </w:r>
          </w:p>
        </w:tc>
        <w:tc>
          <w:tcPr>
            <w:tcW w:w="5695" w:type="dxa"/>
            <w:vAlign w:val="center"/>
          </w:tcPr>
          <w:p w14:paraId="667F3F7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该题主要涉及的观测点，可为数组</w:t>
            </w:r>
          </w:p>
        </w:tc>
      </w:tr>
      <w:tr w14:paraId="23FC1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3" w:type="dxa"/>
            <w:vAlign w:val="center"/>
          </w:tcPr>
          <w:p w14:paraId="7B051831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development_clue</w:t>
            </w:r>
          </w:p>
        </w:tc>
        <w:tc>
          <w:tcPr>
            <w:tcW w:w="5695" w:type="dxa"/>
            <w:vAlign w:val="center"/>
          </w:tcPr>
          <w:p w14:paraId="08C36FD4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该观测点的发展脉络摘要，用于AI判断教师回答深度</w:t>
            </w:r>
          </w:p>
        </w:tc>
      </w:tr>
      <w:tr w14:paraId="610F1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3" w:type="dxa"/>
            <w:vAlign w:val="center"/>
          </w:tcPr>
          <w:p w14:paraId="41A519A6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ideal_level_anchor</w:t>
            </w:r>
          </w:p>
        </w:tc>
        <w:tc>
          <w:tcPr>
            <w:tcW w:w="5695" w:type="dxa"/>
            <w:vAlign w:val="center"/>
          </w:tcPr>
          <w:p w14:paraId="2CF2813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理想水平说明，用于生成高水平表现解释</w:t>
            </w:r>
          </w:p>
        </w:tc>
      </w:tr>
      <w:tr w14:paraId="7E878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3" w:type="dxa"/>
            <w:vAlign w:val="center"/>
          </w:tcPr>
          <w:p w14:paraId="56AE5E2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interview_focus</w:t>
            </w:r>
          </w:p>
        </w:tc>
        <w:tc>
          <w:tcPr>
            <w:tcW w:w="5695" w:type="dxa"/>
            <w:vAlign w:val="center"/>
          </w:tcPr>
          <w:p w14:paraId="38978EED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针对该题和该教师的访谈焦点</w:t>
            </w:r>
          </w:p>
        </w:tc>
      </w:tr>
      <w:tr w14:paraId="439BE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3" w:type="dxa"/>
            <w:vAlign w:val="center"/>
          </w:tcPr>
          <w:p w14:paraId="2133FFEF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evidence_codes</w:t>
            </w:r>
          </w:p>
        </w:tc>
        <w:tc>
          <w:tcPr>
            <w:tcW w:w="5695" w:type="dxa"/>
            <w:vAlign w:val="center"/>
          </w:tcPr>
          <w:p w14:paraId="4BEC1E98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访谈后形成的证据编码，如“充分/部分充分/不足/证据不足”</w:t>
            </w:r>
          </w:p>
        </w:tc>
      </w:tr>
      <w:tr w14:paraId="01FF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63" w:type="dxa"/>
            <w:vAlign w:val="center"/>
          </w:tcPr>
          <w:p w14:paraId="42119DB5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learning_suggestion_tags</w:t>
            </w:r>
          </w:p>
        </w:tc>
        <w:tc>
          <w:tcPr>
            <w:tcW w:w="5695" w:type="dxa"/>
            <w:vAlign w:val="center"/>
          </w:tcPr>
          <w:p w14:paraId="13607B89">
            <w:pPr>
              <w:spacing w:after="0" w:line="252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7"/>
              </w:rPr>
              <w:t>继续学习建议调用标签</w:t>
            </w:r>
          </w:p>
        </w:tc>
      </w:tr>
    </w:tbl>
    <w:p w14:paraId="495F6893">
      <w:pPr>
        <w:pStyle w:val="4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结构化资料包示例</w:t>
      </w:r>
    </w:p>
    <w:p w14:paraId="3D93C8F3">
      <w:pPr>
        <w:ind w:left="34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323232"/>
          <w:sz w:val="17"/>
        </w:rPr>
        <w:t>{</w:t>
      </w:r>
      <w:r>
        <w:rPr>
          <w:rFonts w:hint="default" w:ascii="Times New Roman" w:hAnsi="Times New Roman" w:eastAsia="宋体" w:cs="Times New Roman"/>
          <w:color w:val="323232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323232"/>
          <w:sz w:val="17"/>
        </w:rPr>
        <w:t xml:space="preserve">  "item_id": "Q8",</w:t>
      </w:r>
      <w:r>
        <w:rPr>
          <w:rFonts w:hint="default" w:ascii="Times New Roman" w:hAnsi="Times New Roman" w:eastAsia="宋体" w:cs="Times New Roman"/>
          <w:color w:val="323232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323232"/>
          <w:sz w:val="17"/>
        </w:rPr>
        <w:t xml:space="preserve">  "item_title": "难题未解，幼儿兴趣减弱",</w:t>
      </w:r>
      <w:r>
        <w:rPr>
          <w:rFonts w:hint="default" w:ascii="Times New Roman" w:hAnsi="Times New Roman" w:eastAsia="宋体" w:cs="Times New Roman"/>
          <w:color w:val="323232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323232"/>
          <w:sz w:val="17"/>
        </w:rPr>
        <w:t xml:space="preserve">  "secondary_indicator_code": "C",</w:t>
      </w:r>
      <w:r>
        <w:rPr>
          <w:rFonts w:hint="default" w:ascii="Times New Roman" w:hAnsi="Times New Roman" w:eastAsia="宋体" w:cs="Times New Roman"/>
          <w:color w:val="323232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323232"/>
          <w:sz w:val="17"/>
        </w:rPr>
        <w:t xml:space="preserve">  "secondary_indicator_name": "游戏支持与指导",</w:t>
      </w:r>
      <w:r>
        <w:rPr>
          <w:rFonts w:hint="default" w:ascii="Times New Roman" w:hAnsi="Times New Roman" w:eastAsia="宋体" w:cs="Times New Roman"/>
          <w:color w:val="323232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323232"/>
          <w:sz w:val="17"/>
        </w:rPr>
        <w:t xml:space="preserve">  "tertiary_indicator_code": "C2",</w:t>
      </w:r>
      <w:r>
        <w:rPr>
          <w:rFonts w:hint="default" w:ascii="Times New Roman" w:hAnsi="Times New Roman" w:eastAsia="宋体" w:cs="Times New Roman"/>
          <w:color w:val="323232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323232"/>
          <w:sz w:val="17"/>
        </w:rPr>
        <w:t xml:space="preserve">  "tertiary_indicator_name": "对游戏行为的分析与回应",</w:t>
      </w:r>
      <w:r>
        <w:rPr>
          <w:rFonts w:hint="default" w:ascii="Times New Roman" w:hAnsi="Times New Roman" w:eastAsia="宋体" w:cs="Times New Roman"/>
          <w:color w:val="323232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323232"/>
          <w:sz w:val="17"/>
        </w:rPr>
        <w:t xml:space="preserve">  "observation_points": ["介入时机的把握", "介入方式的适宜有效性"],</w:t>
      </w:r>
      <w:r>
        <w:rPr>
          <w:rFonts w:hint="default" w:ascii="Times New Roman" w:hAnsi="Times New Roman" w:eastAsia="宋体" w:cs="Times New Roman"/>
          <w:color w:val="323232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323232"/>
          <w:sz w:val="17"/>
        </w:rPr>
        <w:t xml:space="preserve">  "development_clue": "从问题或求助时才介入，发展到能适时适当介入并提升游戏经验。",</w:t>
      </w:r>
      <w:r>
        <w:rPr>
          <w:rFonts w:hint="default" w:ascii="Times New Roman" w:hAnsi="Times New Roman" w:eastAsia="宋体" w:cs="Times New Roman"/>
          <w:color w:val="323232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323232"/>
          <w:sz w:val="17"/>
        </w:rPr>
        <w:t xml:space="preserve">  "ideal_level_anchor": "能较准确把握介入时机，并灵活提供支架，拓展和深化游戏。",</w:t>
      </w:r>
      <w:r>
        <w:rPr>
          <w:rFonts w:hint="default" w:ascii="Times New Roman" w:hAnsi="Times New Roman" w:eastAsia="宋体" w:cs="Times New Roman"/>
          <w:color w:val="323232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323232"/>
          <w:sz w:val="17"/>
        </w:rPr>
        <w:t xml:space="preserve">  "interview_focus": "教师如何判断幼儿探究兴趣减弱的原因，以及如何用材料或问题支架恢复探索。"</w:t>
      </w:r>
      <w:r>
        <w:rPr>
          <w:rFonts w:hint="default" w:ascii="Times New Roman" w:hAnsi="Times New Roman" w:eastAsia="宋体" w:cs="Times New Roman"/>
          <w:color w:val="323232"/>
          <w:sz w:val="17"/>
        </w:rPr>
        <w:br w:type="textWrapping"/>
      </w:r>
      <w:r>
        <w:rPr>
          <w:rFonts w:hint="default" w:ascii="Times New Roman" w:hAnsi="Times New Roman" w:eastAsia="宋体" w:cs="Times New Roman"/>
          <w:color w:val="323232"/>
          <w:sz w:val="17"/>
        </w:rPr>
        <w:t>}</w:t>
      </w:r>
    </w:p>
    <w:p w14:paraId="3712B43F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九、质量控制清单</w:t>
      </w:r>
    </w:p>
    <w:p w14:paraId="71FCAA24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是否完全使用三个二级指标、七个三级指标的规范名称；</w:t>
      </w:r>
    </w:p>
    <w:p w14:paraId="0845B0D6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每道题是否有一个明确主二级指标和主三级指标；</w:t>
      </w:r>
    </w:p>
    <w:p w14:paraId="7AB87334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每道题的次级指标是否用于解释复合情境，而不是干扰主指标判断；</w:t>
      </w:r>
    </w:p>
    <w:p w14:paraId="4973D7A1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AI访谈提问是否围绕观测点收集证据，而不是要求教师复述理论；</w:t>
      </w:r>
    </w:p>
    <w:p w14:paraId="09654A61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报告中的每个能力判断是否有测验、过程或访谈证据支持；</w:t>
      </w:r>
    </w:p>
    <w:p w14:paraId="375E466C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学习建议是否对应具体三级指标和观测点；</w:t>
      </w:r>
    </w:p>
    <w:p w14:paraId="3F2802AC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是否注意年龄适宜性、长期效果和文化适宜性；</w:t>
      </w:r>
    </w:p>
    <w:p w14:paraId="005915F5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是否避免泄露标准排序、专家答案或得分高低；</w:t>
      </w:r>
    </w:p>
    <w:p w14:paraId="1D43D509">
      <w:pPr>
        <w:pStyle w:val="16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是否保持对教师的专业、通俗、支持性表达。</w:t>
      </w:r>
    </w:p>
    <w:p w14:paraId="1D8B0EA2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附：指标体系来源与后续更新说明</w:t>
      </w:r>
    </w:p>
    <w:p w14:paraId="2493C49B">
      <w:pPr>
        <w:spacing w:line="30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本文件依据“游戏的支持与引导（0507）”中的指标体系整理，并结合10题情境判断测验、AI访谈和教师报告生成场景进行了应用化改写。</w:t>
      </w:r>
    </w:p>
    <w:p w14:paraId="5BC66064">
      <w:pPr>
        <w:spacing w:line="30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后续若专家组对二级或三级指标名称进行调整，应优先更新本文件，再同步更新10题能力映射表、题目知识库、访谈资料生成规范、报告生成规则与学习建议库。</w:t>
      </w:r>
    </w:p>
    <w:p w14:paraId="3798195C">
      <w:pPr>
        <w:spacing w:line="300" w:lineRule="auto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1"/>
        </w:rPr>
        <w:t>若仅更新某道题的赋分或题干，不一定需要改动总框架；若更新能力指标名称、三级指标数量或观测点定义，则必须重新校准所有解释性文件。</w:t>
      </w:r>
    </w:p>
    <w:sectPr>
      <w:pgSz w:w="12240" w:h="15840"/>
      <w:pgMar w:top="1247" w:right="1191" w:bottom="1134" w:left="1191" w:header="680" w:footer="68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魂心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魂心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魂心">
    <w:panose1 w:val="02000009000000000000"/>
    <w:charset w:val="80"/>
    <w:family w:val="auto"/>
    <w:pitch w:val="default"/>
    <w:sig w:usb0="A1007AEF" w:usb1="F9DF7CFB" w:usb2="0000001E" w:usb3="00000000" w:csb0="2002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7AF734">
    <w:pPr>
      <w:pStyle w:val="24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930050">
                          <w:pPr>
                            <w:pStyle w:val="24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930050">
                    <w:pPr>
                      <w:pStyle w:val="24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DBF64">
    <w:pPr>
      <w:pStyle w:val="25"/>
      <w:jc w:val="center"/>
      <w:rPr>
        <w:rFonts w:hint="eastAsia" w:ascii="宋体" w:hAnsi="宋体" w:eastAsia="宋体" w:cs="宋体"/>
      </w:rPr>
    </w:pPr>
    <w:r>
      <w:rPr>
        <w:rFonts w:hint="eastAsia" w:ascii="宋体" w:hAnsi="宋体" w:eastAsia="宋体" w:cs="宋体"/>
        <w:color w:val="5A5A5A"/>
        <w:sz w:val="18"/>
      </w:rPr>
      <w:t>游戏支持与引导能力既定指标框架及测评应用说明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51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0406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8556E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3C5A64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0406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1105</Words>
  <Characters>1125</Characters>
  <Lines>0</Lines>
  <Paragraphs>0</Paragraphs>
  <TotalTime>14</TotalTime>
  <ScaleCrop>false</ScaleCrop>
  <LinksUpToDate>false</LinksUpToDate>
  <CharactersWithSpaces>1128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2013-12-23T23:15:00Z</dcterms:created>
  <dcterms:modified xsi:type="dcterms:W3CDTF">2026-07-02T12:03:56Z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eyJoZGlkIjoiYzdjMjJmYTUxM2NiOGQyZmZjZGE4MmE4YzhkN2VlM2YiLCJ1c2VySWQiOiIyNTk3MTk3NDcifQ==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9F57AB41D0374EF0AC97885F76CACC32_12</vt:lpwstr>
  </property>
</Properties>
</file>