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A809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48"/>
        </w:rPr>
        <w:t>幼儿园教师游戏支持与引导能力</w:t>
      </w:r>
      <w:r>
        <w:rPr>
          <w:rFonts w:hint="eastAsia" w:ascii="微软雅黑" w:hAnsi="微软雅黑" w:eastAsia="微软雅黑" w:cs="微软雅黑"/>
          <w:b/>
          <w:color w:val="1F4E79"/>
          <w:sz w:val="48"/>
        </w:rPr>
        <w:br w:type="textWrapping"/>
      </w:r>
      <w:r>
        <w:rPr>
          <w:rFonts w:hint="eastAsia" w:ascii="微软雅黑" w:hAnsi="微软雅黑" w:eastAsia="微软雅黑" w:cs="微软雅黑"/>
          <w:b/>
          <w:color w:val="1F4E79"/>
          <w:sz w:val="48"/>
        </w:rPr>
        <w:t>综合分析报告生成手册</w:t>
      </w:r>
    </w:p>
    <w:p w14:paraId="2CFC4811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95959"/>
          <w:sz w:val="28"/>
        </w:rPr>
        <w:t>报告生成规则 · 能力画像 · 文本模板 · 模拟样例</w:t>
      </w:r>
    </w:p>
    <w:p w14:paraId="4DF90857">
      <w:pPr>
        <w:rPr>
          <w:rFonts w:hint="default" w:ascii="Times New Roman" w:hAnsi="Times New Roman" w:eastAsia="宋体" w:cs="Times New Roman"/>
        </w:rPr>
      </w:pPr>
    </w:p>
    <w:p w14:paraId="631D41AE">
      <w:pPr>
        <w:rPr>
          <w:rFonts w:hint="default" w:ascii="Times New Roman" w:hAnsi="Times New Roman" w:eastAsia="宋体" w:cs="Times New Roman"/>
        </w:rPr>
      </w:pPr>
    </w:p>
    <w:p w14:paraId="073DF627">
      <w:pPr>
        <w:rPr>
          <w:rFonts w:hint="default" w:ascii="Times New Roman" w:hAnsi="Times New Roman" w:eastAsia="宋体" w:cs="Times New Roman"/>
        </w:rPr>
      </w:pPr>
    </w:p>
    <w:p w14:paraId="79D3F728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文件用途：供研究团队、产品经理、程序员、AI提示词配置人员、报告审核人员共同使用。</w:t>
      </w:r>
    </w:p>
    <w:p w14:paraId="47014315">
      <w:pPr>
        <w:jc w:val="center"/>
        <w:rPr>
          <w:rFonts w:hint="default" w:ascii="Times New Roman" w:hAnsi="Times New Roman" w:eastAsia="宋体" w:cs="Times New Roman"/>
          <w:b w:val="0"/>
          <w:sz w:val="21"/>
        </w:rPr>
      </w:pPr>
    </w:p>
    <w:p w14:paraId="1C09B11B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适用范围：10题游戏支持与引导情境判断测验、作答过程数据、AI一对一访谈证据与教师能力报告生成。</w:t>
      </w:r>
    </w:p>
    <w:p w14:paraId="2295F949">
      <w:pPr>
        <w:jc w:val="center"/>
        <w:rPr>
          <w:rFonts w:hint="default" w:ascii="Times New Roman" w:hAnsi="Times New Roman" w:eastAsia="宋体" w:cs="Times New Roman"/>
          <w:b w:val="0"/>
          <w:sz w:val="21"/>
        </w:rPr>
      </w:pPr>
    </w:p>
    <w:p w14:paraId="0216C79B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版本：既定指标体系整合版。报告统一回到3个二级指标、7个三级指标、观测点、发展脉络与理想水平。</w:t>
      </w:r>
    </w:p>
    <w:p w14:paraId="264D1BD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5A8EF797">
      <w:pPr>
        <w:pStyle w:val="3"/>
        <w:rPr>
          <w:rFonts w:hint="default" w:ascii="Times New Roman" w:hAnsi="Times New Roman" w:eastAsia="宋体" w:cs="Times New Roman"/>
          <w:color w:val="1F4E79"/>
        </w:rPr>
      </w:pPr>
      <w:r>
        <w:rPr>
          <w:rFonts w:hint="default" w:ascii="Times New Roman" w:hAnsi="Times New Roman" w:eastAsia="宋体" w:cs="Times New Roman"/>
          <w:color w:val="1F4E79"/>
        </w:rPr>
        <w:t>目录</w:t>
      </w:r>
    </w:p>
    <w:p w14:paraId="2EF0CDAF">
      <w:pPr>
        <w:rPr>
          <w:rFonts w:hint="default"/>
        </w:rPr>
      </w:pPr>
    </w:p>
    <w:p w14:paraId="79E8A03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一、手册定位与整体关系</w:t>
      </w:r>
    </w:p>
    <w:p w14:paraId="3588CC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二、报告生成的数据来源与前置条件</w:t>
      </w:r>
    </w:p>
    <w:p w14:paraId="3B2C527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三、既定指标体系在报告中的使用规则</w:t>
      </w:r>
    </w:p>
    <w:p w14:paraId="058D43B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四、报告生成总体流程</w:t>
      </w:r>
    </w:p>
    <w:p w14:paraId="000C958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五、输入数据字段规范与API数据包</w:t>
      </w:r>
    </w:p>
    <w:p w14:paraId="7D3CAEA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六、报告类型、对象与输出版本</w:t>
      </w:r>
    </w:p>
    <w:p w14:paraId="77DC38B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七、能力画像生成规则：三个二级指标</w:t>
      </w:r>
    </w:p>
    <w:p w14:paraId="7213B45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八、证据解释规则：七个三级指标</w:t>
      </w:r>
    </w:p>
    <w:p w14:paraId="0258E7B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九、测验结果、过程数据与访谈证据的三源融合规则</w:t>
      </w:r>
    </w:p>
    <w:p w14:paraId="3E72670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十、判断可信度与证据冲突处理</w:t>
      </w:r>
    </w:p>
    <w:p w14:paraId="2B06A7F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十一、继续学习建议生成规则</w:t>
      </w:r>
    </w:p>
    <w:p w14:paraId="215F3E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十二、教师阅读版报告写作规则</w:t>
      </w:r>
    </w:p>
    <w:p w14:paraId="25DEC3F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十三、研究版/专业版报告写作规则</w:t>
      </w:r>
    </w:p>
    <w:p w14:paraId="0D8F214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十四、报告正文模板</w:t>
      </w:r>
    </w:p>
    <w:p w14:paraId="5EAB882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十五、AI生成提示词与两阶段生成流程</w:t>
      </w:r>
    </w:p>
    <w:p w14:paraId="77F8DA6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十六、质量审核清单与常见错误</w:t>
      </w:r>
    </w:p>
    <w:p w14:paraId="0D473A1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附录A：报告数据包JSON模板</w:t>
      </w:r>
    </w:p>
    <w:p w14:paraId="488D369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附录B：结构化能力判断JSON模板</w:t>
      </w:r>
    </w:p>
    <w:p w14:paraId="267170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附录C：教师阅读版报告模拟样例</w:t>
      </w:r>
    </w:p>
    <w:p w14:paraId="59511B8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附录D：研究版/专业版报告模拟样例</w:t>
      </w:r>
    </w:p>
    <w:p w14:paraId="48B5F16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5C994B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一、手册定位与整体关系</w:t>
      </w:r>
    </w:p>
    <w:p w14:paraId="66B195E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手册用于规范“幼儿园教师游戏支持与引导能力综合分析报告”的生成。报告不是单纯成绩单，也不是AI访谈纪要，而是把情境判断测验结果、作答过程数据与AI一对一访谈证据整合起来，形成面向教师专业成长的分层、解释性、发展取向的能力画像。</w:t>
      </w:r>
    </w:p>
    <w:p w14:paraId="6014F54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本手册整合了报告生成规则与报告模板、教师阅读版模拟样例、研究版/专业版模拟样例三类内容，并按实际系统运行顺序重排为一份可执行的报告生成说明。</w:t>
      </w:r>
    </w:p>
    <w:p w14:paraId="211DF774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核心原则：</w:t>
      </w:r>
      <w:r>
        <w:rPr>
          <w:rFonts w:hint="default" w:ascii="Times New Roman" w:hAnsi="Times New Roman" w:eastAsia="宋体" w:cs="Times New Roman"/>
          <w:sz w:val="21"/>
        </w:rPr>
        <w:t xml:space="preserve"> 测验得分定位水平，过程数据解释判断形成方式，访谈证据确认能力机制，三者共同生成学习支持建议。</w:t>
      </w:r>
    </w:p>
    <w:p w14:paraId="7370CC0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1.1 与AI访谈实施手册的关系</w:t>
      </w:r>
    </w:p>
    <w:p w14:paraId="34F7DEF6">
      <w:pPr>
        <w:rPr>
          <w:rFonts w:hint="default" w:ascii="Times New Roman" w:hAnsi="Times New Roman" w:eastAsia="宋体" w:cs="Times New Roman"/>
          <w:b w:val="0"/>
          <w:sz w:val="21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AI访谈实施手册解决“如何访谈清楚”：包括测验实施、R/P/G筛题、最终3题整合、访谈资料包生成、动态追问和访谈证据编码。</w:t>
      </w:r>
    </w:p>
    <w:p w14:paraId="0D7F9A9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本手册解决“如何分析清楚、报告写清楚”：把测验结果、过程标签和访谈证据转化为教师能读懂、研究者能复核、系统能稳定生成的报告。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15"/>
        <w:gridCol w:w="3515"/>
      </w:tblGrid>
      <w:tr w14:paraId="1B61CF5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4F81BD"/>
            <w:vAlign w:val="center"/>
          </w:tcPr>
          <w:p w14:paraId="0FCD563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阶段</w:t>
            </w:r>
          </w:p>
        </w:tc>
        <w:tc>
          <w:tcPr>
            <w:tcW w:w="3515" w:type="dxa"/>
            <w:shd w:val="clear" w:color="auto" w:fill="4F81BD"/>
            <w:vAlign w:val="center"/>
          </w:tcPr>
          <w:p w14:paraId="38454E9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AI访谈实施手册</w:t>
            </w:r>
          </w:p>
        </w:tc>
        <w:tc>
          <w:tcPr>
            <w:tcW w:w="3515" w:type="dxa"/>
            <w:shd w:val="clear" w:color="auto" w:fill="4F81BD"/>
            <w:vAlign w:val="center"/>
          </w:tcPr>
          <w:p w14:paraId="3C9D99E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本报告生成手册</w:t>
            </w:r>
          </w:p>
        </w:tc>
      </w:tr>
      <w:tr w14:paraId="06407BB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E0D2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访谈前</w:t>
            </w:r>
          </w:p>
        </w:tc>
        <w:tc>
          <w:tcPr>
            <w:tcW w:w="3515" w:type="dxa"/>
            <w:vAlign w:val="center"/>
          </w:tcPr>
          <w:p w14:paraId="36846B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确定最终3个访谈题；生成单题资料包。</w:t>
            </w:r>
          </w:p>
        </w:tc>
        <w:tc>
          <w:tcPr>
            <w:tcW w:w="3515" w:type="dxa"/>
            <w:vAlign w:val="center"/>
          </w:tcPr>
          <w:p w14:paraId="7B8BFB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接收最终3题及其入选理由，作为报告证据来源。</w:t>
            </w:r>
          </w:p>
        </w:tc>
      </w:tr>
      <w:tr w14:paraId="7CF6FC0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16B7CD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访谈中</w:t>
            </w:r>
          </w:p>
        </w:tc>
        <w:tc>
          <w:tcPr>
            <w:tcW w:w="3515" w:type="dxa"/>
            <w:shd w:val="clear" w:color="auto" w:fill="F3F6FA"/>
            <w:vAlign w:val="center"/>
          </w:tcPr>
          <w:p w14:paraId="627114A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追问教师判断依据，记录证据账本。</w:t>
            </w:r>
          </w:p>
        </w:tc>
        <w:tc>
          <w:tcPr>
            <w:tcW w:w="3515" w:type="dxa"/>
            <w:shd w:val="clear" w:color="auto" w:fill="F3F6FA"/>
            <w:vAlign w:val="center"/>
          </w:tcPr>
          <w:p w14:paraId="5775EC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不介入访谈，只等待结构化访谈证据输出。</w:t>
            </w:r>
          </w:p>
        </w:tc>
      </w:tr>
      <w:tr w14:paraId="77DC22C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E237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访谈后</w:t>
            </w:r>
          </w:p>
        </w:tc>
        <w:tc>
          <w:tcPr>
            <w:tcW w:w="3515" w:type="dxa"/>
            <w:vAlign w:val="center"/>
          </w:tcPr>
          <w:p w14:paraId="59666E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输出per_item_evidence_summary、three_item_interview_summary、evidence_codes。</w:t>
            </w:r>
          </w:p>
        </w:tc>
        <w:tc>
          <w:tcPr>
            <w:tcW w:w="3515" w:type="dxa"/>
            <w:vAlign w:val="center"/>
          </w:tcPr>
          <w:p w14:paraId="505184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整合测验、过程、访谈证据，生成能力画像与报告正文。</w:t>
            </w:r>
          </w:p>
        </w:tc>
      </w:tr>
    </w:tbl>
    <w:p w14:paraId="05BD416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1.2 报告的边界</w:t>
      </w:r>
    </w:p>
    <w:p w14:paraId="3F188783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报告不把单题得分简单等同于真实教学能力。</w:t>
      </w:r>
    </w:p>
    <w:p w14:paraId="12AF0D0E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报告不把过程异常直接解释为能力弱。</w:t>
      </w:r>
    </w:p>
    <w:p w14:paraId="1F4A7545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报告不使用访谈表现随意覆盖测验得分。</w:t>
      </w:r>
    </w:p>
    <w:p w14:paraId="5B3CAFBF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报告不泄露标准排序、专家答案、最高分路径或具体赋分规则。</w:t>
      </w:r>
    </w:p>
    <w:p w14:paraId="47B4C24A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报告以既定指标体系组织能力画像。</w:t>
      </w:r>
    </w:p>
    <w:p w14:paraId="7F0A22B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二、报告生成的数据来源与前置条件</w:t>
      </w:r>
    </w:p>
    <w:p w14:paraId="36C5B4E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报告生成之前，系统应完成测验计分、过程分析、最终3题筛选和AI访谈证据编码。报告模块不应重新计算题目得分，也不应让AI从原始日志中自行推断过程指标。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08"/>
        <w:gridCol w:w="2324"/>
        <w:gridCol w:w="3061"/>
      </w:tblGrid>
      <w:tr w14:paraId="7A00A5A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4F81BD"/>
            <w:vAlign w:val="center"/>
          </w:tcPr>
          <w:p w14:paraId="28548E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资料类别</w:t>
            </w:r>
          </w:p>
        </w:tc>
        <w:tc>
          <w:tcPr>
            <w:tcW w:w="2608" w:type="dxa"/>
            <w:shd w:val="clear" w:color="auto" w:fill="4F81BD"/>
            <w:vAlign w:val="center"/>
          </w:tcPr>
          <w:p w14:paraId="666FEB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核心字段</w:t>
            </w:r>
          </w:p>
        </w:tc>
        <w:tc>
          <w:tcPr>
            <w:tcW w:w="2324" w:type="dxa"/>
            <w:shd w:val="clear" w:color="auto" w:fill="4F81BD"/>
            <w:vAlign w:val="center"/>
          </w:tcPr>
          <w:p w14:paraId="7C64C7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来源</w:t>
            </w:r>
          </w:p>
        </w:tc>
        <w:tc>
          <w:tcPr>
            <w:tcW w:w="3061" w:type="dxa"/>
            <w:shd w:val="clear" w:color="auto" w:fill="4F81BD"/>
            <w:vAlign w:val="center"/>
          </w:tcPr>
          <w:p w14:paraId="08E134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报告用途</w:t>
            </w:r>
          </w:p>
        </w:tc>
      </w:tr>
      <w:tr w14:paraId="4B3F3C1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10C7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教师基本信息</w:t>
            </w:r>
          </w:p>
        </w:tc>
        <w:tc>
          <w:tcPr>
            <w:tcW w:w="2608" w:type="dxa"/>
            <w:vAlign w:val="center"/>
          </w:tcPr>
          <w:p w14:paraId="4FB1A4E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teacher_id、teaching_years、class_age_group、test_date</w:t>
            </w:r>
          </w:p>
        </w:tc>
        <w:tc>
          <w:tcPr>
            <w:tcW w:w="2324" w:type="dxa"/>
            <w:vAlign w:val="center"/>
          </w:tcPr>
          <w:p w14:paraId="41520F8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教师信息表/测评系统</w:t>
            </w:r>
          </w:p>
        </w:tc>
        <w:tc>
          <w:tcPr>
            <w:tcW w:w="3061" w:type="dxa"/>
            <w:vAlign w:val="center"/>
          </w:tcPr>
          <w:p w14:paraId="7D6BC6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报告首页、背景说明与分组解释。</w:t>
            </w:r>
          </w:p>
        </w:tc>
      </w:tr>
      <w:tr w14:paraId="378A26A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503BA4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测验结果</w:t>
            </w:r>
          </w:p>
        </w:tc>
        <w:tc>
          <w:tcPr>
            <w:tcW w:w="2608" w:type="dxa"/>
            <w:shd w:val="clear" w:color="auto" w:fill="F3F6FA"/>
            <w:vAlign w:val="center"/>
          </w:tcPr>
          <w:p w14:paraId="56D6BF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final_ranking、item_score、total_score、mean_score、percentile、level_label</w:t>
            </w:r>
          </w:p>
        </w:tc>
        <w:tc>
          <w:tcPr>
            <w:tcW w:w="2324" w:type="dxa"/>
            <w:shd w:val="clear" w:color="auto" w:fill="F3F6FA"/>
            <w:vAlign w:val="center"/>
          </w:tcPr>
          <w:p w14:paraId="2F8C0C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10题赋分表与计分程序</w:t>
            </w:r>
          </w:p>
        </w:tc>
        <w:tc>
          <w:tcPr>
            <w:tcW w:w="3061" w:type="dxa"/>
            <w:shd w:val="clear" w:color="auto" w:fill="F3F6FA"/>
            <w:vAlign w:val="center"/>
          </w:tcPr>
          <w:p w14:paraId="22C4837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定位总体水平和每题表现。</w:t>
            </w:r>
          </w:p>
        </w:tc>
      </w:tr>
      <w:tr w14:paraId="2C4E1D8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75EE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过程数据</w:t>
            </w:r>
          </w:p>
        </w:tc>
        <w:tc>
          <w:tcPr>
            <w:tcW w:w="2608" w:type="dxa"/>
            <w:vAlign w:val="center"/>
          </w:tcPr>
          <w:p w14:paraId="70ED60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effective_time、revision_count、first/last_position_changed、P_IVI、process_labels</w:t>
            </w:r>
          </w:p>
        </w:tc>
        <w:tc>
          <w:tcPr>
            <w:tcW w:w="2324" w:type="dxa"/>
            <w:vAlign w:val="center"/>
          </w:tcPr>
          <w:p w14:paraId="2514A39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过程分析程序</w:t>
            </w:r>
          </w:p>
        </w:tc>
        <w:tc>
          <w:tcPr>
            <w:tcW w:w="3061" w:type="dxa"/>
            <w:vAlign w:val="center"/>
          </w:tcPr>
          <w:p w14:paraId="742CDC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解释判断形成方式。</w:t>
            </w:r>
          </w:p>
        </w:tc>
      </w:tr>
      <w:tr w14:paraId="74BAFFA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3D7E05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最终3题资料</w:t>
            </w:r>
          </w:p>
        </w:tc>
        <w:tc>
          <w:tcPr>
            <w:tcW w:w="2608" w:type="dxa"/>
            <w:shd w:val="clear" w:color="auto" w:fill="F3F6FA"/>
            <w:vAlign w:val="center"/>
          </w:tcPr>
          <w:p w14:paraId="43976F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selected_items、selection_sources、selection_reason、coverage_role</w:t>
            </w:r>
          </w:p>
        </w:tc>
        <w:tc>
          <w:tcPr>
            <w:tcW w:w="2324" w:type="dxa"/>
            <w:shd w:val="clear" w:color="auto" w:fill="F3F6FA"/>
            <w:vAlign w:val="center"/>
          </w:tcPr>
          <w:p w14:paraId="496C06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AI访谈实施模块</w:t>
            </w:r>
          </w:p>
        </w:tc>
        <w:tc>
          <w:tcPr>
            <w:tcW w:w="3061" w:type="dxa"/>
            <w:shd w:val="clear" w:color="auto" w:fill="F3F6FA"/>
            <w:vAlign w:val="center"/>
          </w:tcPr>
          <w:p w14:paraId="61EF95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说明为什么访谈这些题。</w:t>
            </w:r>
          </w:p>
        </w:tc>
      </w:tr>
      <w:tr w14:paraId="66EAA51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BE0D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访谈证据</w:t>
            </w:r>
          </w:p>
        </w:tc>
        <w:tc>
          <w:tcPr>
            <w:tcW w:w="2608" w:type="dxa"/>
            <w:vAlign w:val="center"/>
          </w:tcPr>
          <w:p w14:paraId="38632E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dialogue_summary、evidence_codes、key_evidence、missing_evidence</w:t>
            </w:r>
          </w:p>
        </w:tc>
        <w:tc>
          <w:tcPr>
            <w:tcW w:w="2324" w:type="dxa"/>
            <w:vAlign w:val="center"/>
          </w:tcPr>
          <w:p w14:paraId="6F72F2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AI访谈输出</w:t>
            </w:r>
          </w:p>
        </w:tc>
        <w:tc>
          <w:tcPr>
            <w:tcW w:w="3061" w:type="dxa"/>
            <w:vAlign w:val="center"/>
          </w:tcPr>
          <w:p w14:paraId="5824B0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确认教师是否理解、能否说明依据和生成策略。</w:t>
            </w:r>
          </w:p>
        </w:tc>
      </w:tr>
      <w:tr w14:paraId="0164C3D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3A0D86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题目知识库摘要</w:t>
            </w:r>
          </w:p>
        </w:tc>
        <w:tc>
          <w:tcPr>
            <w:tcW w:w="2608" w:type="dxa"/>
            <w:shd w:val="clear" w:color="auto" w:fill="F3F6FA"/>
            <w:vAlign w:val="center"/>
          </w:tcPr>
          <w:p w14:paraId="31F5E5D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core_conflict、observation_points、risk_paths、evidence_anchors</w:t>
            </w:r>
          </w:p>
        </w:tc>
        <w:tc>
          <w:tcPr>
            <w:tcW w:w="2324" w:type="dxa"/>
            <w:shd w:val="clear" w:color="auto" w:fill="F3F6FA"/>
            <w:vAlign w:val="center"/>
          </w:tcPr>
          <w:p w14:paraId="49D3F87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</w:t>
            </w:r>
          </w:p>
        </w:tc>
        <w:tc>
          <w:tcPr>
            <w:tcW w:w="3061" w:type="dxa"/>
            <w:shd w:val="clear" w:color="auto" w:fill="F3F6FA"/>
            <w:vAlign w:val="center"/>
          </w:tcPr>
          <w:p w14:paraId="42EE1B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辅助解释题目专业含义，不向教师泄露标准答案。</w:t>
            </w:r>
          </w:p>
        </w:tc>
      </w:tr>
      <w:tr w14:paraId="4C50835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BEFD7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既定指标体系</w:t>
            </w:r>
          </w:p>
        </w:tc>
        <w:tc>
          <w:tcPr>
            <w:tcW w:w="2608" w:type="dxa"/>
            <w:vAlign w:val="center"/>
          </w:tcPr>
          <w:p w14:paraId="5B4C56E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secondary_indicator、tertiary_indicator、observation_point、development_trajectory、ideal_level</w:t>
            </w:r>
          </w:p>
        </w:tc>
        <w:tc>
          <w:tcPr>
            <w:tcW w:w="2324" w:type="dxa"/>
            <w:vAlign w:val="center"/>
          </w:tcPr>
          <w:p w14:paraId="0815CC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专家指标框架</w:t>
            </w:r>
          </w:p>
        </w:tc>
        <w:tc>
          <w:tcPr>
            <w:tcW w:w="3061" w:type="dxa"/>
            <w:vAlign w:val="center"/>
          </w:tcPr>
          <w:p w14:paraId="7F42C2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报告能力画像主轴。</w:t>
            </w:r>
          </w:p>
        </w:tc>
      </w:tr>
    </w:tbl>
    <w:p w14:paraId="5B449A3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2.1 最小可运行资料包</w:t>
      </w:r>
    </w:p>
    <w:p w14:paraId="274FBBBB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教师10题最终排序、每题得分、总分、平均分和总体水平标签。</w:t>
      </w:r>
    </w:p>
    <w:p w14:paraId="1CC0A250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每题过程摘要，至少包括有效作答时长、修改次数、首末位变化、P-IVI和过程标签。</w:t>
      </w:r>
    </w:p>
    <w:p w14:paraId="0EED1299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最终3题入选理由、R/P/G/Final来源、关系标签和访谈重点。</w:t>
      </w:r>
    </w:p>
    <w:p w14:paraId="572514A9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三题AI访谈问答摘要、关键证据句、证据编码和缺失证据。</w:t>
      </w:r>
    </w:p>
    <w:p w14:paraId="5B239972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10题指标映射表和既定指标体系说明。</w:t>
      </w:r>
    </w:p>
    <w:p w14:paraId="78090EEB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报告生成规则、文本模板、教师阅读版与研究版风格要求。</w:t>
      </w:r>
    </w:p>
    <w:p w14:paraId="0DA304D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三、既定指标体系在报告中的使用规则</w:t>
      </w:r>
    </w:p>
    <w:p w14:paraId="2551016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报告中的能力画像应以三个二级指标为主结构，以七个三级指标作为证据解释层。报告可以用教师容易理解的语言转译指标，但后台字段、结构化判断和报告小标题必须保持规范。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494"/>
        <w:gridCol w:w="4649"/>
      </w:tblGrid>
      <w:tr w14:paraId="49D2053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4F81BD"/>
            <w:vAlign w:val="center"/>
          </w:tcPr>
          <w:p w14:paraId="790008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二级指标</w:t>
            </w:r>
          </w:p>
        </w:tc>
        <w:tc>
          <w:tcPr>
            <w:tcW w:w="2494" w:type="dxa"/>
            <w:shd w:val="clear" w:color="auto" w:fill="4F81BD"/>
            <w:vAlign w:val="center"/>
          </w:tcPr>
          <w:p w14:paraId="33C110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三级指标</w:t>
            </w:r>
          </w:p>
        </w:tc>
        <w:tc>
          <w:tcPr>
            <w:tcW w:w="4649" w:type="dxa"/>
            <w:shd w:val="clear" w:color="auto" w:fill="4F81BD"/>
            <w:vAlign w:val="center"/>
          </w:tcPr>
          <w:p w14:paraId="37E07A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观测点与报告解释方向</w:t>
            </w:r>
          </w:p>
        </w:tc>
      </w:tr>
      <w:tr w14:paraId="1D3EABC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DCF38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2494" w:type="dxa"/>
            <w:vAlign w:val="center"/>
          </w:tcPr>
          <w:p w14:paraId="05EE28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对游戏特点的理解</w:t>
            </w:r>
          </w:p>
        </w:tc>
        <w:tc>
          <w:tcPr>
            <w:tcW w:w="4649" w:type="dxa"/>
            <w:vAlign w:val="center"/>
          </w:tcPr>
          <w:p w14:paraId="002E81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重点解释教师是否理解游戏的自主性、自发性和儿童游戏逻辑，是否能先看懂儿童为什么这样玩。</w:t>
            </w:r>
          </w:p>
        </w:tc>
      </w:tr>
      <w:tr w14:paraId="1D81912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FB0A3C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2494" w:type="dxa"/>
            <w:shd w:val="clear" w:color="auto" w:fill="F3F6FA"/>
            <w:vAlign w:val="center"/>
          </w:tcPr>
          <w:p w14:paraId="1B9A02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对游戏价值的理解（游戏中的学习）</w:t>
            </w:r>
          </w:p>
        </w:tc>
        <w:tc>
          <w:tcPr>
            <w:tcW w:w="4649" w:type="dxa"/>
            <w:shd w:val="clear" w:color="auto" w:fill="F3F6FA"/>
            <w:vAlign w:val="center"/>
          </w:tcPr>
          <w:p w14:paraId="21531E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重点解释教师是否理解游戏是幼儿学习和发展的基本途径，是否能看见游戏中的经验表达、兴趣和学习。</w:t>
            </w:r>
          </w:p>
        </w:tc>
      </w:tr>
      <w:tr w14:paraId="7DAF23C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9E46CD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2494" w:type="dxa"/>
            <w:vAlign w:val="center"/>
          </w:tcPr>
          <w:p w14:paraId="49C624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对游戏价值实现的认识</w:t>
            </w:r>
          </w:p>
        </w:tc>
        <w:tc>
          <w:tcPr>
            <w:tcW w:w="4649" w:type="dxa"/>
            <w:vAlign w:val="center"/>
          </w:tcPr>
          <w:p w14:paraId="08EDCF5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重点解释教师是否理解游戏价值具有长期性、循序性，是否避免急于每天都“见效益”。</w:t>
            </w:r>
          </w:p>
        </w:tc>
      </w:tr>
      <w:tr w14:paraId="35504D1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560834A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2494" w:type="dxa"/>
            <w:shd w:val="clear" w:color="auto" w:fill="F3F6FA"/>
            <w:vAlign w:val="center"/>
          </w:tcPr>
          <w:p w14:paraId="6CD9ED9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游戏环境创设</w:t>
            </w:r>
          </w:p>
        </w:tc>
        <w:tc>
          <w:tcPr>
            <w:tcW w:w="4649" w:type="dxa"/>
            <w:shd w:val="clear" w:color="auto" w:fill="F3F6FA"/>
            <w:vAlign w:val="center"/>
          </w:tcPr>
          <w:p w14:paraId="09F28E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重点解释教师是否能保障游戏时间、空间、材料和环境，并根据儿童需要动态调整。</w:t>
            </w:r>
          </w:p>
        </w:tc>
      </w:tr>
      <w:tr w14:paraId="42C7C15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7BCEFE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2494" w:type="dxa"/>
            <w:vAlign w:val="center"/>
          </w:tcPr>
          <w:p w14:paraId="17B4C4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教师在幼儿游戏中的角色</w:t>
            </w:r>
          </w:p>
        </w:tc>
        <w:tc>
          <w:tcPr>
            <w:tcW w:w="4649" w:type="dxa"/>
            <w:vAlign w:val="center"/>
          </w:tcPr>
          <w:p w14:paraId="5320B8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重点解释教师是否能将自己定位为支持者、合作者与引导者，而非旁观或高控。</w:t>
            </w:r>
          </w:p>
        </w:tc>
      </w:tr>
      <w:tr w14:paraId="54881C8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03F812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2494" w:type="dxa"/>
            <w:shd w:val="clear" w:color="auto" w:fill="F3F6FA"/>
            <w:vAlign w:val="center"/>
          </w:tcPr>
          <w:p w14:paraId="3B56212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游戏中的观察</w:t>
            </w:r>
          </w:p>
        </w:tc>
        <w:tc>
          <w:tcPr>
            <w:tcW w:w="4649" w:type="dxa"/>
            <w:shd w:val="clear" w:color="auto" w:fill="F3F6FA"/>
            <w:vAlign w:val="center"/>
          </w:tcPr>
          <w:p w14:paraId="35EFBB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重点解释教师是否能有目的、有计划、持续深入地观察儿童游戏框架、游戏状态和发展线索。</w:t>
            </w:r>
          </w:p>
        </w:tc>
      </w:tr>
      <w:tr w14:paraId="5EB5851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E047C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2494" w:type="dxa"/>
            <w:vAlign w:val="center"/>
          </w:tcPr>
          <w:p w14:paraId="278D001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对游戏行为的分析与回应</w:t>
            </w:r>
          </w:p>
        </w:tc>
        <w:tc>
          <w:tcPr>
            <w:tcW w:w="4649" w:type="dxa"/>
            <w:vAlign w:val="center"/>
          </w:tcPr>
          <w:p w14:paraId="6441F9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重点解释教师是否能分析幼儿游戏行为、判断介入时机并采用适宜有效的回应方式。</w:t>
            </w:r>
          </w:p>
        </w:tc>
      </w:tr>
    </w:tbl>
    <w:p w14:paraId="074A1E3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3.1 指标语言的教师阅读化处理</w:t>
      </w:r>
    </w:p>
    <w:p w14:paraId="37C5CC2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教师阅读版报告不应堆砌指标术语。可在小标题或表格中保留规范指标名称，再用通俗语言解释。例如，“对游戏价值实现的认识”可解释为“能否看到游戏经验是在持续尝试中慢慢形成的，而不是急于每天都看到直接成果”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402"/>
        <w:gridCol w:w="3402"/>
      </w:tblGrid>
      <w:tr w14:paraId="6F4FCD7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4F81BD"/>
            <w:vAlign w:val="center"/>
          </w:tcPr>
          <w:p w14:paraId="3D03FAB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后台规范名称</w:t>
            </w:r>
          </w:p>
        </w:tc>
        <w:tc>
          <w:tcPr>
            <w:tcW w:w="3402" w:type="dxa"/>
            <w:shd w:val="clear" w:color="auto" w:fill="4F81BD"/>
            <w:vAlign w:val="center"/>
          </w:tcPr>
          <w:p w14:paraId="3962C0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教师阅读版可用表达</w:t>
            </w:r>
          </w:p>
        </w:tc>
        <w:tc>
          <w:tcPr>
            <w:tcW w:w="3402" w:type="dxa"/>
            <w:shd w:val="clear" w:color="auto" w:fill="4F81BD"/>
            <w:vAlign w:val="center"/>
          </w:tcPr>
          <w:p w14:paraId="1829CE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注意事项</w:t>
            </w:r>
          </w:p>
        </w:tc>
      </w:tr>
      <w:tr w14:paraId="4051DC4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D2C1F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对游戏特点的理解</w:t>
            </w:r>
          </w:p>
        </w:tc>
        <w:tc>
          <w:tcPr>
            <w:tcW w:w="3402" w:type="dxa"/>
            <w:vAlign w:val="center"/>
          </w:tcPr>
          <w:p w14:paraId="6AC8E1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看懂儿童为什么这样玩</w:t>
            </w:r>
          </w:p>
        </w:tc>
        <w:tc>
          <w:tcPr>
            <w:tcW w:w="3402" w:type="dxa"/>
            <w:vAlign w:val="center"/>
          </w:tcPr>
          <w:p w14:paraId="1C7C71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不能简化为“是否尊重孩子”，要体现游戏自主性与儿童逻辑。</w:t>
            </w:r>
          </w:p>
        </w:tc>
      </w:tr>
      <w:tr w14:paraId="6AD650A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613133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游戏环境创设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3F4659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为游戏提供合适的时间、空间和材料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4DBD30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不能只写“环境好不好”，要写材料分析与动态调整。</w:t>
            </w:r>
          </w:p>
        </w:tc>
      </w:tr>
      <w:tr w14:paraId="0C17A44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ABFFF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游戏中的观察</w:t>
            </w:r>
          </w:p>
        </w:tc>
        <w:tc>
          <w:tcPr>
            <w:tcW w:w="3402" w:type="dxa"/>
            <w:vAlign w:val="center"/>
          </w:tcPr>
          <w:p w14:paraId="3147B7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先观察，再判断孩子真正需要什么</w:t>
            </w:r>
          </w:p>
        </w:tc>
        <w:tc>
          <w:tcPr>
            <w:tcW w:w="3402" w:type="dxa"/>
            <w:vAlign w:val="center"/>
          </w:tcPr>
          <w:p w14:paraId="0583C1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不能把观察等同于“看看是否安全”。</w:t>
            </w:r>
          </w:p>
        </w:tc>
      </w:tr>
      <w:tr w14:paraId="6AC14AC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66284B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对游戏行为的分析与回应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34931D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根据孩子的行为选择合适的支持方式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70425B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要包含介入时机、介入方式和支持后退出。</w:t>
            </w:r>
          </w:p>
        </w:tc>
      </w:tr>
    </w:tbl>
    <w:p w14:paraId="2EE7C33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四、报告生成总体流程</w:t>
      </w:r>
    </w:p>
    <w:p w14:paraId="6D089ED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建议采用“两阶段生成、一道审核”的方式：先生成结构化能力判断，再生成报告正文，最后进行质量审核。这样可以避免模型边推理边写作导致前后不一致。</w:t>
      </w:r>
    </w:p>
    <w:p w14:paraId="09C8E3B8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步骤1：读取输入资料</w:t>
      </w:r>
      <w:r>
        <w:rPr>
          <w:rFonts w:hint="default" w:ascii="Times New Roman" w:hAnsi="Times New Roman" w:eastAsia="宋体" w:cs="Times New Roman"/>
          <w:sz w:val="21"/>
        </w:rPr>
        <w:t xml:space="preserve"> 读取教师基本信息、测验结果、过程摘要、最终3题、访谈证据编码、题目知识库摘要和指标体系。</w:t>
      </w:r>
    </w:p>
    <w:p w14:paraId="78F6286C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步骤2：形成测验定位</w:t>
      </w:r>
      <w:r>
        <w:rPr>
          <w:rFonts w:hint="default" w:ascii="Times New Roman" w:hAnsi="Times New Roman" w:eastAsia="宋体" w:cs="Times New Roman"/>
          <w:sz w:val="21"/>
        </w:rPr>
        <w:t xml:space="preserve"> 依据总分、常模位置、每题得分和相关指标映射，形成总体水平和相对优势/发展点。</w:t>
      </w:r>
    </w:p>
    <w:p w14:paraId="669B47B3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步骤3：解释过程数据</w:t>
      </w:r>
      <w:r>
        <w:rPr>
          <w:rFonts w:hint="default" w:ascii="Times New Roman" w:hAnsi="Times New Roman" w:eastAsia="宋体" w:cs="Times New Roman"/>
          <w:sz w:val="21"/>
        </w:rPr>
        <w:t xml:space="preserve"> 分析快速定型、高修正投入、首位摇摆、路径振荡等标签，但不直接判定能力强弱。</w:t>
      </w:r>
    </w:p>
    <w:p w14:paraId="533B825B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步骤4：分析访谈证据</w:t>
      </w:r>
      <w:r>
        <w:rPr>
          <w:rFonts w:hint="default" w:ascii="Times New Roman" w:hAnsi="Times New Roman" w:eastAsia="宋体" w:cs="Times New Roman"/>
          <w:sz w:val="21"/>
        </w:rPr>
        <w:t xml:space="preserve"> 逐题提取教师是否能说明儿童游戏意义、观察依据、介入时机、具体策略、年龄适宜性和后续支持。</w:t>
      </w:r>
    </w:p>
    <w:p w14:paraId="1E9FD9C6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步骤5：映射到指标画像</w:t>
      </w:r>
      <w:r>
        <w:rPr>
          <w:rFonts w:hint="default" w:ascii="Times New Roman" w:hAnsi="Times New Roman" w:eastAsia="宋体" w:cs="Times New Roman"/>
          <w:sz w:val="21"/>
        </w:rPr>
        <w:t xml:space="preserve"> 把测验、过程、访谈证据回写到三个二级指标和七个三级指标。</w:t>
      </w:r>
    </w:p>
    <w:p w14:paraId="398F190B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步骤6：进行三源融合</w:t>
      </w:r>
      <w:r>
        <w:rPr>
          <w:rFonts w:hint="default" w:ascii="Times New Roman" w:hAnsi="Times New Roman" w:eastAsia="宋体" w:cs="Times New Roman"/>
          <w:sz w:val="21"/>
        </w:rPr>
        <w:t xml:space="preserve"> 判断证据一致、冲突或不足，并给出判断可信度。</w:t>
      </w:r>
    </w:p>
    <w:p w14:paraId="7BA12E6E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步骤7：生成学习建议</w:t>
      </w:r>
      <w:r>
        <w:rPr>
          <w:rFonts w:hint="default" w:ascii="Times New Roman" w:hAnsi="Times New Roman" w:eastAsia="宋体" w:cs="Times New Roman"/>
          <w:sz w:val="21"/>
        </w:rPr>
        <w:t xml:space="preserve"> 根据发展需求选择与二级/三级指标对应的可操作建议。</w:t>
      </w:r>
    </w:p>
    <w:p w14:paraId="5FD9EFD2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步骤8：生成报告正文</w:t>
      </w:r>
      <w:r>
        <w:rPr>
          <w:rFonts w:hint="default" w:ascii="Times New Roman" w:hAnsi="Times New Roman" w:eastAsia="宋体" w:cs="Times New Roman"/>
          <w:sz w:val="21"/>
        </w:rPr>
        <w:t xml:space="preserve"> 按教师阅读版或研究版模板生成正文、表格、附录和小结。</w:t>
      </w:r>
    </w:p>
    <w:p w14:paraId="048E8A03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</w:rPr>
        <w:t>步骤9：质量审核</w:t>
      </w:r>
      <w:r>
        <w:rPr>
          <w:rFonts w:hint="default" w:ascii="Times New Roman" w:hAnsi="Times New Roman" w:eastAsia="宋体" w:cs="Times New Roman"/>
          <w:sz w:val="21"/>
        </w:rPr>
        <w:t xml:space="preserve"> 检查事实一致性、指标一致性、非评判语言、证据边界和隐私安全。</w:t>
      </w:r>
    </w:p>
    <w:p w14:paraId="08A2258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五、输入数据字段规范与API数据包</w:t>
      </w:r>
    </w:p>
    <w:p w14:paraId="23EA60E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正式系统中，报告生成模块应接收结构化JSON，而不是让模型直接读取原始Word、Excel和访谈全文。字段越稳定，报告越可复核。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855"/>
      </w:tblGrid>
      <w:tr w14:paraId="1507160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07A1CF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字段组</w:t>
            </w:r>
          </w:p>
        </w:tc>
        <w:tc>
          <w:tcPr>
            <w:tcW w:w="3402" w:type="dxa"/>
            <w:shd w:val="clear" w:color="auto" w:fill="4F81BD"/>
            <w:vAlign w:val="center"/>
          </w:tcPr>
          <w:p w14:paraId="5BD062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字段名示例</w:t>
            </w:r>
          </w:p>
        </w:tc>
        <w:tc>
          <w:tcPr>
            <w:tcW w:w="3855" w:type="dxa"/>
            <w:shd w:val="clear" w:color="auto" w:fill="4F81BD"/>
            <w:vAlign w:val="center"/>
          </w:tcPr>
          <w:p w14:paraId="7675FB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说明</w:t>
            </w:r>
          </w:p>
        </w:tc>
      </w:tr>
      <w:tr w14:paraId="0B0936C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EFF8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teacher_profile</w:t>
            </w:r>
          </w:p>
        </w:tc>
        <w:tc>
          <w:tcPr>
            <w:tcW w:w="3402" w:type="dxa"/>
            <w:vAlign w:val="center"/>
          </w:tcPr>
          <w:p w14:paraId="1A0FD6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teacher_id、teaching_years、class_age_group、test_date</w:t>
            </w:r>
          </w:p>
        </w:tc>
        <w:tc>
          <w:tcPr>
            <w:tcW w:w="3855" w:type="dxa"/>
            <w:vAlign w:val="center"/>
          </w:tcPr>
          <w:p w14:paraId="40032F9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教师基本信息，正式报告中应脱敏。</w:t>
            </w:r>
          </w:p>
        </w:tc>
      </w:tr>
      <w:tr w14:paraId="1900EE0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488BA6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test_result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6C0816C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total_score、mean_score、percentile、level_label、item_results</w:t>
            </w:r>
          </w:p>
        </w:tc>
        <w:tc>
          <w:tcPr>
            <w:tcW w:w="3855" w:type="dxa"/>
            <w:shd w:val="clear" w:color="auto" w:fill="F3F6FA"/>
            <w:vAlign w:val="center"/>
          </w:tcPr>
          <w:p w14:paraId="2E28A6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测验结果和总体现状定位。</w:t>
            </w:r>
          </w:p>
        </w:tc>
      </w:tr>
      <w:tr w14:paraId="1E9487C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1FFC3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indicator_scores</w:t>
            </w:r>
          </w:p>
        </w:tc>
        <w:tc>
          <w:tcPr>
            <w:tcW w:w="3402" w:type="dxa"/>
            <w:vAlign w:val="center"/>
          </w:tcPr>
          <w:p w14:paraId="41EEF2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secondary_indicator_summary、tertiary_indicator_summary</w:t>
            </w:r>
          </w:p>
        </w:tc>
        <w:tc>
          <w:tcPr>
            <w:tcW w:w="3855" w:type="dxa"/>
            <w:vAlign w:val="center"/>
          </w:tcPr>
          <w:p w14:paraId="7C740EE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按既定指标体系聚合后的初步画像。</w:t>
            </w:r>
          </w:p>
        </w:tc>
      </w:tr>
      <w:tr w14:paraId="723354F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1FA044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process_data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3B4723D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item_process、process_summary、interruption_notes</w:t>
            </w:r>
          </w:p>
        </w:tc>
        <w:tc>
          <w:tcPr>
            <w:tcW w:w="3855" w:type="dxa"/>
            <w:shd w:val="clear" w:color="auto" w:fill="F3F6FA"/>
            <w:vAlign w:val="center"/>
          </w:tcPr>
          <w:p w14:paraId="2A466B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过程数据摘要与解释边界。</w:t>
            </w:r>
          </w:p>
        </w:tc>
      </w:tr>
      <w:tr w14:paraId="711D592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389D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selected_interview_items</w:t>
            </w:r>
          </w:p>
        </w:tc>
        <w:tc>
          <w:tcPr>
            <w:tcW w:w="3402" w:type="dxa"/>
            <w:vAlign w:val="center"/>
          </w:tcPr>
          <w:p w14:paraId="657453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item_id、selection_sources、selection_reason、coverage_role</w:t>
            </w:r>
          </w:p>
        </w:tc>
        <w:tc>
          <w:tcPr>
            <w:tcW w:w="3855" w:type="dxa"/>
            <w:vAlign w:val="center"/>
          </w:tcPr>
          <w:p w14:paraId="488F498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最终访谈题与入选理由。</w:t>
            </w:r>
          </w:p>
        </w:tc>
      </w:tr>
      <w:tr w14:paraId="6FD2803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2A13DF4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interview_evidence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3DAA20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dialogue_summary、evidence_codes、key_evidence、missing_evidence</w:t>
            </w:r>
          </w:p>
        </w:tc>
        <w:tc>
          <w:tcPr>
            <w:tcW w:w="3855" w:type="dxa"/>
            <w:shd w:val="clear" w:color="auto" w:fill="F3F6FA"/>
            <w:vAlign w:val="center"/>
          </w:tcPr>
          <w:p w14:paraId="132CB83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AI访谈证据编码。</w:t>
            </w:r>
          </w:p>
        </w:tc>
      </w:tr>
      <w:tr w14:paraId="2926647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08AE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report_rules</w:t>
            </w:r>
          </w:p>
        </w:tc>
        <w:tc>
          <w:tcPr>
            <w:tcW w:w="3402" w:type="dxa"/>
            <w:vAlign w:val="center"/>
          </w:tcPr>
          <w:p w14:paraId="582F129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tone、do_not、version、audience</w:t>
            </w:r>
          </w:p>
        </w:tc>
        <w:tc>
          <w:tcPr>
            <w:tcW w:w="3855" w:type="dxa"/>
            <w:vAlign w:val="center"/>
          </w:tcPr>
          <w:p w14:paraId="1FB470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报告语言、禁用内容和版本配置。</w:t>
            </w:r>
          </w:p>
        </w:tc>
      </w:tr>
    </w:tbl>
    <w:p w14:paraId="0EF0A96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六、报告类型、对象与输出版本</w:t>
      </w:r>
    </w:p>
    <w:p w14:paraId="79992E1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建议系统同时支持两个报告版本：教师阅读版和研究版/专业版。二者使用同一套证据，但写作深度、术语密度和附录详细程度不同。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293"/>
        <w:gridCol w:w="3588"/>
        <w:gridCol w:w="2454"/>
      </w:tblGrid>
      <w:tr w14:paraId="412477E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7" w:type="dxa"/>
            <w:shd w:val="clear" w:color="auto" w:fill="4F81BD"/>
            <w:vAlign w:val="center"/>
          </w:tcPr>
          <w:p w14:paraId="00F4EE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报告版本</w:t>
            </w:r>
          </w:p>
        </w:tc>
        <w:tc>
          <w:tcPr>
            <w:tcW w:w="2381" w:type="dxa"/>
            <w:shd w:val="clear" w:color="auto" w:fill="4F81BD"/>
            <w:vAlign w:val="center"/>
          </w:tcPr>
          <w:p w14:paraId="019DE2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主要读者</w:t>
            </w:r>
          </w:p>
        </w:tc>
        <w:tc>
          <w:tcPr>
            <w:tcW w:w="3742" w:type="dxa"/>
            <w:shd w:val="clear" w:color="auto" w:fill="4F81BD"/>
            <w:vAlign w:val="center"/>
          </w:tcPr>
          <w:p w14:paraId="258CB0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写作重点</w:t>
            </w:r>
          </w:p>
        </w:tc>
        <w:tc>
          <w:tcPr>
            <w:tcW w:w="2551" w:type="dxa"/>
            <w:shd w:val="clear" w:color="auto" w:fill="4F81BD"/>
            <w:vAlign w:val="center"/>
          </w:tcPr>
          <w:p w14:paraId="6CC1E52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不宜包含</w:t>
            </w:r>
          </w:p>
        </w:tc>
      </w:tr>
      <w:tr w14:paraId="017BA7D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37A2DD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</w:rPr>
              <w:t>教师阅读版</w:t>
            </w:r>
          </w:p>
        </w:tc>
        <w:tc>
          <w:tcPr>
            <w:tcW w:w="2381" w:type="dxa"/>
            <w:vAlign w:val="center"/>
          </w:tcPr>
          <w:p w14:paraId="23C7DB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接受测评的教师、园所教研负责人</w:t>
            </w:r>
          </w:p>
        </w:tc>
        <w:tc>
          <w:tcPr>
            <w:tcW w:w="3742" w:type="dxa"/>
            <w:vAlign w:val="center"/>
          </w:tcPr>
          <w:p w14:paraId="3B69C0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语言温和、可读、发展取向，重点写优势、发展需求和可马上尝试的行动。</w:t>
            </w:r>
          </w:p>
        </w:tc>
        <w:tc>
          <w:tcPr>
            <w:tcW w:w="2551" w:type="dxa"/>
            <w:vAlign w:val="center"/>
          </w:tcPr>
          <w:p w14:paraId="7FEFF6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标准排序、具体赋分规则、过多算法术语、研究内部判断标签。</w:t>
            </w:r>
          </w:p>
        </w:tc>
      </w:tr>
      <w:tr w14:paraId="43C0F84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F3F6FA"/>
            <w:vAlign w:val="center"/>
          </w:tcPr>
          <w:p w14:paraId="740894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研究版/专业版</w:t>
            </w:r>
          </w:p>
        </w:tc>
        <w:tc>
          <w:tcPr>
            <w:tcW w:w="2381" w:type="dxa"/>
            <w:shd w:val="clear" w:color="auto" w:fill="F3F6FA"/>
            <w:vAlign w:val="center"/>
          </w:tcPr>
          <w:p w14:paraId="2F9E992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研究团队、项目负责人、测评系统维护人员</w:t>
            </w:r>
          </w:p>
        </w:tc>
        <w:tc>
          <w:tcPr>
            <w:tcW w:w="3742" w:type="dxa"/>
            <w:shd w:val="clear" w:color="auto" w:fill="F3F6FA"/>
            <w:vAlign w:val="center"/>
          </w:tcPr>
          <w:p w14:paraId="7538957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更完整呈现测验结果、过程标签、访谈证据、三源融合和判断可信度。</w:t>
            </w:r>
          </w:p>
        </w:tc>
        <w:tc>
          <w:tcPr>
            <w:tcW w:w="2551" w:type="dxa"/>
            <w:shd w:val="clear" w:color="auto" w:fill="F3F6FA"/>
            <w:vAlign w:val="center"/>
          </w:tcPr>
          <w:p w14:paraId="2F1D58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泄露可被教师端看到的标准答案；无证据的主观推断。</w:t>
            </w:r>
          </w:p>
        </w:tc>
      </w:tr>
    </w:tbl>
    <w:p w14:paraId="5CF61B7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七、能力画像生成规则：三个二级指标</w:t>
      </w:r>
    </w:p>
    <w:p w14:paraId="0D18247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能力画像不是将单题得分机械平均，而是把每个指标下的测验证据、过程证据和访谈证据放在一起解释。每个二级指标均应写出：当前水平、主要证据、可能机制、发展建议。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640"/>
        <w:gridCol w:w="2941"/>
        <w:gridCol w:w="2560"/>
      </w:tblGrid>
      <w:tr w14:paraId="2659EC6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73990A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二级指标</w:t>
            </w:r>
          </w:p>
        </w:tc>
        <w:tc>
          <w:tcPr>
            <w:tcW w:w="2948" w:type="dxa"/>
            <w:shd w:val="clear" w:color="auto" w:fill="4F81BD"/>
            <w:vAlign w:val="center"/>
          </w:tcPr>
          <w:p w14:paraId="15C83A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报告需要回答的问题</w:t>
            </w:r>
          </w:p>
        </w:tc>
        <w:tc>
          <w:tcPr>
            <w:tcW w:w="3288" w:type="dxa"/>
            <w:shd w:val="clear" w:color="auto" w:fill="4F81BD"/>
            <w:vAlign w:val="center"/>
          </w:tcPr>
          <w:p w14:paraId="7014CE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主要证据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4F0ED0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常见发展建议</w:t>
            </w:r>
          </w:p>
        </w:tc>
      </w:tr>
      <w:tr w14:paraId="12D7A81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E96D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2948" w:type="dxa"/>
            <w:vAlign w:val="center"/>
          </w:tcPr>
          <w:p w14:paraId="213330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教师是否看懂儿童游戏的自主性、学习价值和价值实现的长期性？</w:t>
            </w:r>
          </w:p>
        </w:tc>
        <w:tc>
          <w:tcPr>
            <w:tcW w:w="3288" w:type="dxa"/>
            <w:vAlign w:val="center"/>
          </w:tcPr>
          <w:p w14:paraId="1712F8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Q1、Q5、Q7等题的结果；访谈中对儿童游戏意义、游戏表征和长期价值的解释。</w:t>
            </w:r>
          </w:p>
        </w:tc>
        <w:tc>
          <w:tcPr>
            <w:tcW w:w="2835" w:type="dxa"/>
            <w:vAlign w:val="center"/>
          </w:tcPr>
          <w:p w14:paraId="667D75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练习记录儿童游戏片段，分析“孩子为什么这样玩”“游戏中正在发生什么学习”。</w:t>
            </w:r>
          </w:p>
        </w:tc>
      </w:tr>
      <w:tr w14:paraId="21E7B79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1CC123C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2948" w:type="dxa"/>
            <w:shd w:val="clear" w:color="auto" w:fill="F3F6FA"/>
            <w:vAlign w:val="center"/>
          </w:tcPr>
          <w:p w14:paraId="70C195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教师是否能通过环境、材料、时间和角色定位为游戏提供支持条件？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48C9DE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Q6等材料/环境题；访谈中对材料投放、环境调整、教师角色的说明。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12D0B2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围绕材料层次、区域环境、连续游戏条件建立观察—调整—回看机制。</w:t>
            </w:r>
          </w:p>
        </w:tc>
      </w:tr>
      <w:tr w14:paraId="55E68E4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58E6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2948" w:type="dxa"/>
            <w:vAlign w:val="center"/>
          </w:tcPr>
          <w:p w14:paraId="4313A9A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教师是否能观察儿童游戏、分析行为并适宜回应？</w:t>
            </w:r>
          </w:p>
        </w:tc>
        <w:tc>
          <w:tcPr>
            <w:tcW w:w="3288" w:type="dxa"/>
            <w:vAlign w:val="center"/>
          </w:tcPr>
          <w:p w14:paraId="0B901B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Q2、Q3、Q4、Q8、Q9、Q10等题；过程标签和访谈中的具体策略。</w:t>
            </w:r>
          </w:p>
        </w:tc>
        <w:tc>
          <w:tcPr>
            <w:tcW w:w="2835" w:type="dxa"/>
            <w:vAlign w:val="center"/>
          </w:tcPr>
          <w:p w14:paraId="4C1788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练习“先观察—再判断—给最小帮助—支持后退出”的支架链条。</w:t>
            </w:r>
          </w:p>
        </w:tc>
      </w:tr>
    </w:tbl>
    <w:p w14:paraId="48D4EEC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7.1 二级指标水平表述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4245"/>
        <w:gridCol w:w="4245"/>
      </w:tblGrid>
      <w:tr w14:paraId="1BE4991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4F81BD"/>
            <w:vAlign w:val="center"/>
          </w:tcPr>
          <w:p w14:paraId="5BB98E9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水平</w:t>
            </w:r>
          </w:p>
        </w:tc>
        <w:tc>
          <w:tcPr>
            <w:tcW w:w="4252" w:type="dxa"/>
            <w:shd w:val="clear" w:color="auto" w:fill="4F81BD"/>
            <w:vAlign w:val="center"/>
          </w:tcPr>
          <w:p w14:paraId="653CC6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判定依据</w:t>
            </w:r>
          </w:p>
        </w:tc>
        <w:tc>
          <w:tcPr>
            <w:tcW w:w="4252" w:type="dxa"/>
            <w:shd w:val="clear" w:color="auto" w:fill="4F81BD"/>
            <w:vAlign w:val="center"/>
          </w:tcPr>
          <w:p w14:paraId="30CBA4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报告表达建议</w:t>
            </w:r>
          </w:p>
        </w:tc>
      </w:tr>
      <w:tr w14:paraId="3B0C371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6A17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较强</w:t>
            </w:r>
          </w:p>
        </w:tc>
        <w:tc>
          <w:tcPr>
            <w:tcW w:w="4252" w:type="dxa"/>
            <w:vAlign w:val="center"/>
          </w:tcPr>
          <w:p w14:paraId="2D9AD8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测验表现较好，过程稳定或权衡合理，访谈能提供具体、年龄适宜、可迁移策略。</w:t>
            </w:r>
          </w:p>
        </w:tc>
        <w:tc>
          <w:tcPr>
            <w:tcW w:w="4252" w:type="dxa"/>
            <w:vAlign w:val="center"/>
          </w:tcPr>
          <w:p w14:paraId="29DBC4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“表现较为稳定”“具有较清晰的专业判断基础”。</w:t>
            </w:r>
          </w:p>
        </w:tc>
      </w:tr>
      <w:tr w14:paraId="4BD649B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3A1A280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中等偏上</w:t>
            </w:r>
          </w:p>
        </w:tc>
        <w:tc>
          <w:tcPr>
            <w:tcW w:w="4252" w:type="dxa"/>
            <w:shd w:val="clear" w:color="auto" w:fill="F3F6FA"/>
            <w:vAlign w:val="center"/>
          </w:tcPr>
          <w:p w14:paraId="246DC3E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测验表现较好，但访谈中策略细节、长期效果或迁移仍有不足。</w:t>
            </w:r>
          </w:p>
        </w:tc>
        <w:tc>
          <w:tcPr>
            <w:tcW w:w="4252" w:type="dxa"/>
            <w:shd w:val="clear" w:color="auto" w:fill="F3F6FA"/>
            <w:vAlign w:val="center"/>
          </w:tcPr>
          <w:p w14:paraId="0AE7BB0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“已有较好意识，仍可在具体支持链条上深化”。</w:t>
            </w:r>
          </w:p>
        </w:tc>
      </w:tr>
      <w:tr w14:paraId="26BAD80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07915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中等</w:t>
            </w:r>
          </w:p>
        </w:tc>
        <w:tc>
          <w:tcPr>
            <w:tcW w:w="4252" w:type="dxa"/>
            <w:vAlign w:val="center"/>
          </w:tcPr>
          <w:p w14:paraId="4E2CDC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能表达基本原则，但判断不够稳定，具体做法不足或需要追问激活。</w:t>
            </w:r>
          </w:p>
        </w:tc>
        <w:tc>
          <w:tcPr>
            <w:tcW w:w="4252" w:type="dxa"/>
            <w:vAlign w:val="center"/>
          </w:tcPr>
          <w:p w14:paraId="3CBE646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“具备基本认识，但从理念到现场策略的转化仍需加强”。</w:t>
            </w:r>
          </w:p>
        </w:tc>
      </w:tr>
      <w:tr w14:paraId="34FFD7A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3BD139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需重点支持</w:t>
            </w:r>
          </w:p>
        </w:tc>
        <w:tc>
          <w:tcPr>
            <w:tcW w:w="4252" w:type="dxa"/>
            <w:shd w:val="clear" w:color="auto" w:fill="F3F6FA"/>
            <w:vAlign w:val="center"/>
          </w:tcPr>
          <w:p w14:paraId="4D0593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测验表现偏低，过程简单定型或冲突明显，访谈仍缺少关键证据。</w:t>
            </w:r>
          </w:p>
        </w:tc>
        <w:tc>
          <w:tcPr>
            <w:tcW w:w="4252" w:type="dxa"/>
            <w:shd w:val="clear" w:color="auto" w:fill="F3F6FA"/>
            <w:vAlign w:val="center"/>
          </w:tcPr>
          <w:p w14:paraId="0E8660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“后续可优先围绕该方面开展案例学习和情境演练”。</w:t>
            </w:r>
          </w:p>
        </w:tc>
      </w:tr>
      <w:tr w14:paraId="0948ECC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0D15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证据不足</w:t>
            </w:r>
          </w:p>
        </w:tc>
        <w:tc>
          <w:tcPr>
            <w:tcW w:w="4252" w:type="dxa"/>
            <w:vAlign w:val="center"/>
          </w:tcPr>
          <w:p w14:paraId="389E3C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相关题目较少、未入选访谈或过程/访谈数据质量不足。</w:t>
            </w:r>
          </w:p>
        </w:tc>
        <w:tc>
          <w:tcPr>
            <w:tcW w:w="4252" w:type="dxa"/>
            <w:vAlign w:val="center"/>
          </w:tcPr>
          <w:p w14:paraId="6ECE95F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“当前证据不足以作出稳定判断，建议结合现场观察继续验证”。</w:t>
            </w:r>
          </w:p>
        </w:tc>
      </w:tr>
    </w:tbl>
    <w:p w14:paraId="70E2F7A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八、证据解释规则：七个三级指标</w:t>
      </w:r>
    </w:p>
    <w:p w14:paraId="6C8E899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三级指标用于解释教师回答中的具体机制。报告中不必每次都展开七个三级指标，但结构化判断中应尽量完成证据归类，特别是最终3题涉及的主三级指标必须写清。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2736"/>
        <w:gridCol w:w="2736"/>
        <w:gridCol w:w="2740"/>
      </w:tblGrid>
      <w:tr w14:paraId="3FE6D88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4F81BD"/>
            <w:vAlign w:val="center"/>
          </w:tcPr>
          <w:p w14:paraId="2B282F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三级指标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19E92B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高质量证据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1F64078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中等证据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294EAA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需支持证据</w:t>
            </w:r>
          </w:p>
        </w:tc>
      </w:tr>
      <w:tr w14:paraId="591B1BC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F6B6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对游戏特点的理解</w:t>
            </w:r>
          </w:p>
        </w:tc>
        <w:tc>
          <w:tcPr>
            <w:tcW w:w="2835" w:type="dxa"/>
            <w:vAlign w:val="center"/>
          </w:tcPr>
          <w:p w14:paraId="30926B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能说明儿童游戏逻辑、自主性和情节/角色意义，避免成人现实逻辑直接覆盖。</w:t>
            </w:r>
          </w:p>
        </w:tc>
        <w:tc>
          <w:tcPr>
            <w:tcW w:w="2835" w:type="dxa"/>
            <w:vAlign w:val="center"/>
          </w:tcPr>
          <w:p w14:paraId="579D78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能说尊重儿童游戏，但对儿童为什么这样玩的解释较笼统。</w:t>
            </w:r>
          </w:p>
        </w:tc>
        <w:tc>
          <w:tcPr>
            <w:tcW w:w="2835" w:type="dxa"/>
            <w:vAlign w:val="center"/>
          </w:tcPr>
          <w:p w14:paraId="44BA00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主要从成人要求、任务目标或管理秩序理解儿童行为。</w:t>
            </w:r>
          </w:p>
        </w:tc>
      </w:tr>
      <w:tr w14:paraId="0C3BCCC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3F6FA"/>
            <w:vAlign w:val="center"/>
          </w:tcPr>
          <w:p w14:paraId="458520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对游戏价值的理解（游戏中的学习）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4F2E7E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能看到游戏中儿童的学习、探索、表达、合作和发展价值。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1ECE2E8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承认游戏有价值，但难以具体说明正在发生什么学习。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46FADF1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把游戏主要看作放松、消遣或完成教师目标的工具。</w:t>
            </w:r>
          </w:p>
        </w:tc>
      </w:tr>
      <w:tr w14:paraId="1EC97A5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A53D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对游戏价值实现的认识</w:t>
            </w:r>
          </w:p>
        </w:tc>
        <w:tc>
          <w:tcPr>
            <w:tcW w:w="2835" w:type="dxa"/>
            <w:vAlign w:val="center"/>
          </w:tcPr>
          <w:p w14:paraId="42EC8B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能理解游戏价值在持续尝试中递进形成，不急于立刻见效。</w:t>
            </w:r>
          </w:p>
        </w:tc>
        <w:tc>
          <w:tcPr>
            <w:tcW w:w="2835" w:type="dxa"/>
            <w:vAlign w:val="center"/>
          </w:tcPr>
          <w:p w14:paraId="1C1FB7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能接受游戏需要时间，但策略仍偏短期目标。</w:t>
            </w:r>
          </w:p>
        </w:tc>
        <w:tc>
          <w:tcPr>
            <w:tcW w:w="2835" w:type="dxa"/>
            <w:vAlign w:val="center"/>
          </w:tcPr>
          <w:p w14:paraId="33659F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急于把游戏转化为立刻可见的教育结果。</w:t>
            </w:r>
          </w:p>
        </w:tc>
      </w:tr>
      <w:tr w14:paraId="6DE4DB9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3F6FA"/>
            <w:vAlign w:val="center"/>
          </w:tcPr>
          <w:p w14:paraId="40B658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游戏环境创设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460A71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能依据儿童兴趣和水平动态调整材料、空间、时间和环境。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02976C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能提供基本材料，但层次、挑战和连续性不足。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4BECCF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材料投放被动、单一，较少根据儿童需要调整。</w:t>
            </w:r>
          </w:p>
        </w:tc>
      </w:tr>
      <w:tr w14:paraId="32E6357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DDD62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教师在幼儿游戏中的角色</w:t>
            </w:r>
          </w:p>
        </w:tc>
        <w:tc>
          <w:tcPr>
            <w:tcW w:w="2835" w:type="dxa"/>
            <w:vAlign w:val="center"/>
          </w:tcPr>
          <w:p w14:paraId="56D82B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能在支持者、合作者、引导者之间灵活转换，并适时退出。</w:t>
            </w:r>
          </w:p>
        </w:tc>
        <w:tc>
          <w:tcPr>
            <w:tcW w:w="2835" w:type="dxa"/>
            <w:vAlign w:val="center"/>
          </w:tcPr>
          <w:p w14:paraId="27EEFC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知道要支持儿童，但角色转换不够灵活。</w:t>
            </w:r>
          </w:p>
        </w:tc>
        <w:tc>
          <w:tcPr>
            <w:tcW w:w="2835" w:type="dxa"/>
            <w:vAlign w:val="center"/>
          </w:tcPr>
          <w:p w14:paraId="62AB994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容易旁观、放任或高控制接管。</w:t>
            </w:r>
          </w:p>
        </w:tc>
      </w:tr>
      <w:tr w14:paraId="269FF16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3F6FA"/>
            <w:vAlign w:val="center"/>
          </w:tcPr>
          <w:p w14:paraId="0600B5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游戏中的观察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64381A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能有目的、持续、个别化观察游戏框架、状态和发展线索。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320A410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能观察到明显行为，但原因判断和证据链不足。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6C34D3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主要关注安全、冲突或是否完成任务。</w:t>
            </w:r>
          </w:p>
        </w:tc>
      </w:tr>
      <w:tr w14:paraId="520C92F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88BD3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对游戏行为的分析与回应</w:t>
            </w:r>
          </w:p>
        </w:tc>
        <w:tc>
          <w:tcPr>
            <w:tcW w:w="2835" w:type="dxa"/>
            <w:vAlign w:val="center"/>
          </w:tcPr>
          <w:p w14:paraId="53EE4A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能分析行为原因，判断介入时机，用提问、材料、同伴等低控制支架回应。</w:t>
            </w:r>
          </w:p>
        </w:tc>
        <w:tc>
          <w:tcPr>
            <w:tcW w:w="2835" w:type="dxa"/>
            <w:vAlign w:val="center"/>
          </w:tcPr>
          <w:p w14:paraId="3FA1EF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能提出回应原则，但现场语言和步骤不够具体。</w:t>
            </w:r>
          </w:p>
        </w:tc>
        <w:tc>
          <w:tcPr>
            <w:tcW w:w="2835" w:type="dxa"/>
            <w:vAlign w:val="center"/>
          </w:tcPr>
          <w:p w14:paraId="491622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容易直接制止、讲解、代做或空泛“引导”。</w:t>
            </w:r>
          </w:p>
        </w:tc>
      </w:tr>
    </w:tbl>
    <w:p w14:paraId="5FB83CC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九、测验结果、过程数据与访谈证据的三源融合规则</w:t>
      </w:r>
    </w:p>
    <w:p w14:paraId="6B3C6A8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三源证据不是简单相加。测验结果负责定位，过程数据负责解释判断形成方式，访谈证据负责确认教师是否真正理解并能生成策略。报告必须说明三类证据之间是一致、互补还是存在张力。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625"/>
        <w:gridCol w:w="1179"/>
      </w:tblGrid>
      <w:tr w14:paraId="267F1FE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4F81BD"/>
            <w:vAlign w:val="center"/>
          </w:tcPr>
          <w:p w14:paraId="4061B8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证据组合</w:t>
            </w:r>
          </w:p>
        </w:tc>
        <w:tc>
          <w:tcPr>
            <w:tcW w:w="5625" w:type="dxa"/>
            <w:shd w:val="clear" w:color="auto" w:fill="4F81BD"/>
            <w:vAlign w:val="center"/>
          </w:tcPr>
          <w:p w14:paraId="22C939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解释规则</w:t>
            </w:r>
          </w:p>
        </w:tc>
        <w:tc>
          <w:tcPr>
            <w:tcW w:w="1179" w:type="dxa"/>
            <w:shd w:val="clear" w:color="auto" w:fill="4F81BD"/>
            <w:vAlign w:val="center"/>
          </w:tcPr>
          <w:p w14:paraId="129467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可信度</w:t>
            </w:r>
          </w:p>
        </w:tc>
      </w:tr>
      <w:tr w14:paraId="15B430C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C33B3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测验、过程、访谈一致</w:t>
            </w:r>
          </w:p>
        </w:tc>
        <w:tc>
          <w:tcPr>
            <w:tcW w:w="5625" w:type="dxa"/>
            <w:vAlign w:val="center"/>
          </w:tcPr>
          <w:p w14:paraId="760967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可形成较稳定判断。例如某三级指标相关题表现较好，过程稳定，访谈能说出具体策略。</w:t>
            </w:r>
          </w:p>
        </w:tc>
        <w:tc>
          <w:tcPr>
            <w:tcW w:w="1179" w:type="dxa"/>
            <w:vAlign w:val="center"/>
          </w:tcPr>
          <w:p w14:paraId="277852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高</w:t>
            </w:r>
          </w:p>
        </w:tc>
      </w:tr>
      <w:tr w14:paraId="12BCAF8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4455E0D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测验与访谈一致，过程一般</w:t>
            </w:r>
          </w:p>
        </w:tc>
        <w:tc>
          <w:tcPr>
            <w:tcW w:w="5625" w:type="dxa"/>
            <w:shd w:val="clear" w:color="auto" w:fill="F3F6FA"/>
            <w:vAlign w:val="center"/>
          </w:tcPr>
          <w:p w14:paraId="394CF3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可形成较可靠判断，但要说明过程投入不足或过程数据噪声。</w:t>
            </w:r>
          </w:p>
        </w:tc>
        <w:tc>
          <w:tcPr>
            <w:tcW w:w="1179" w:type="dxa"/>
            <w:shd w:val="clear" w:color="auto" w:fill="F3F6FA"/>
            <w:vAlign w:val="center"/>
          </w:tcPr>
          <w:p w14:paraId="747E4D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较高</w:t>
            </w:r>
          </w:p>
        </w:tc>
      </w:tr>
      <w:tr w14:paraId="0918864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7F1FA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测验高、访谈弱</w:t>
            </w:r>
          </w:p>
        </w:tc>
        <w:tc>
          <w:tcPr>
            <w:tcW w:w="5625" w:type="dxa"/>
            <w:vAlign w:val="center"/>
          </w:tcPr>
          <w:p w14:paraId="42841C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不改测验分；说明教师可能有判断直觉，但专业表达和策略生成不足。</w:t>
            </w:r>
          </w:p>
        </w:tc>
        <w:tc>
          <w:tcPr>
            <w:tcW w:w="1179" w:type="dxa"/>
            <w:vAlign w:val="center"/>
          </w:tcPr>
          <w:p w14:paraId="64F6CBD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中等</w:t>
            </w:r>
          </w:p>
        </w:tc>
      </w:tr>
      <w:tr w14:paraId="27006B7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752705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测验低、访谈强</w:t>
            </w:r>
          </w:p>
        </w:tc>
        <w:tc>
          <w:tcPr>
            <w:tcW w:w="5625" w:type="dxa"/>
            <w:shd w:val="clear" w:color="auto" w:fill="F3F6FA"/>
            <w:vAlign w:val="center"/>
          </w:tcPr>
          <w:p w14:paraId="25A285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不改测验分；说明能力在追问下可被激活，独立判断稳定性仍需加强。</w:t>
            </w:r>
          </w:p>
        </w:tc>
        <w:tc>
          <w:tcPr>
            <w:tcW w:w="1179" w:type="dxa"/>
            <w:shd w:val="clear" w:color="auto" w:fill="F3F6FA"/>
            <w:vAlign w:val="center"/>
          </w:tcPr>
          <w:p w14:paraId="5CBD7F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中等</w:t>
            </w:r>
          </w:p>
        </w:tc>
      </w:tr>
      <w:tr w14:paraId="1E43930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BE7FB0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过程复杂但结果高</w:t>
            </w:r>
          </w:p>
        </w:tc>
        <w:tc>
          <w:tcPr>
            <w:tcW w:w="5625" w:type="dxa"/>
            <w:vAlign w:val="center"/>
          </w:tcPr>
          <w:p w14:paraId="07CCF72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说明教师经过权衡形成较好判断，可作为专业敏感性的证据。</w:t>
            </w:r>
          </w:p>
        </w:tc>
        <w:tc>
          <w:tcPr>
            <w:tcW w:w="1179" w:type="dxa"/>
            <w:vAlign w:val="center"/>
          </w:tcPr>
          <w:p w14:paraId="1338C8D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较高</w:t>
            </w:r>
          </w:p>
        </w:tc>
      </w:tr>
      <w:tr w14:paraId="491AEE1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1050B20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过程简单但结果低</w:t>
            </w:r>
          </w:p>
        </w:tc>
        <w:tc>
          <w:tcPr>
            <w:tcW w:w="5625" w:type="dxa"/>
            <w:shd w:val="clear" w:color="auto" w:fill="F3F6FA"/>
            <w:vAlign w:val="center"/>
          </w:tcPr>
          <w:p w14:paraId="44420F2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可能存在稳定经验惯性或未觉察盲点，需要发展性解释。</w:t>
            </w:r>
          </w:p>
        </w:tc>
        <w:tc>
          <w:tcPr>
            <w:tcW w:w="1179" w:type="dxa"/>
            <w:shd w:val="clear" w:color="auto" w:fill="F3F6FA"/>
            <w:vAlign w:val="center"/>
          </w:tcPr>
          <w:p w14:paraId="59A2BE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中等</w:t>
            </w:r>
          </w:p>
        </w:tc>
      </w:tr>
      <w:tr w14:paraId="03F6C70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01F5F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访谈时间不足或回答重复</w:t>
            </w:r>
          </w:p>
        </w:tc>
        <w:tc>
          <w:tcPr>
            <w:tcW w:w="5625" w:type="dxa"/>
            <w:vAlign w:val="center"/>
          </w:tcPr>
          <w:p w14:paraId="7242B47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只能作有限解释，不能过度推断。</w:t>
            </w:r>
          </w:p>
        </w:tc>
        <w:tc>
          <w:tcPr>
            <w:tcW w:w="1179" w:type="dxa"/>
            <w:vAlign w:val="center"/>
          </w:tcPr>
          <w:p w14:paraId="467124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较低</w:t>
            </w:r>
          </w:p>
        </w:tc>
      </w:tr>
    </w:tbl>
    <w:p w14:paraId="7897FD6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十、判断可信度与证据冲突处理</w:t>
      </w:r>
    </w:p>
    <w:p w14:paraId="79F30FE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报告应把证据冲突作为有价值的信息，而不是简单消除。特别是“测验低但访谈强”“测验高但访谈空泛”是能力诊断中很有价值的现象。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2357"/>
        <w:gridCol w:w="5695"/>
      </w:tblGrid>
      <w:tr w14:paraId="3FEADE6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0" w:type="dxa"/>
            <w:shd w:val="clear" w:color="auto" w:fill="4F81BD"/>
            <w:vAlign w:val="center"/>
          </w:tcPr>
          <w:p w14:paraId="4C9099A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冲突情形</w:t>
            </w:r>
          </w:p>
        </w:tc>
        <w:tc>
          <w:tcPr>
            <w:tcW w:w="2357" w:type="dxa"/>
            <w:shd w:val="clear" w:color="auto" w:fill="4F81BD"/>
            <w:vAlign w:val="center"/>
          </w:tcPr>
          <w:p w14:paraId="390918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不当写法</w:t>
            </w:r>
          </w:p>
        </w:tc>
        <w:tc>
          <w:tcPr>
            <w:tcW w:w="5695" w:type="dxa"/>
            <w:shd w:val="clear" w:color="auto" w:fill="4F81BD"/>
            <w:vAlign w:val="center"/>
          </w:tcPr>
          <w:p w14:paraId="61B980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推荐写法</w:t>
            </w:r>
          </w:p>
        </w:tc>
      </w:tr>
      <w:tr w14:paraId="29385D7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dxa"/>
            <w:vAlign w:val="center"/>
          </w:tcPr>
          <w:p w14:paraId="0B4402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测验低但访谈强</w:t>
            </w:r>
          </w:p>
        </w:tc>
        <w:tc>
          <w:tcPr>
            <w:tcW w:w="2357" w:type="dxa"/>
            <w:vAlign w:val="center"/>
          </w:tcPr>
          <w:p w14:paraId="0C4777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“访谈证明教师其实能力很好，测验不准。”</w:t>
            </w:r>
          </w:p>
        </w:tc>
        <w:tc>
          <w:tcPr>
            <w:tcW w:w="5695" w:type="dxa"/>
            <w:vAlign w:val="center"/>
          </w:tcPr>
          <w:p w14:paraId="6FAF48F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“访谈显示该教师在追问支持下能够补充较专业的理解，说明相关能力可被激活；但独立情境判断的稳定性仍需继续巩固。”</w:t>
            </w:r>
          </w:p>
        </w:tc>
      </w:tr>
      <w:tr w14:paraId="25A3B87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dxa"/>
            <w:shd w:val="clear" w:color="auto" w:fill="F3F6FA"/>
            <w:vAlign w:val="center"/>
          </w:tcPr>
          <w:p w14:paraId="57F4C4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测验高但访谈弱</w:t>
            </w:r>
          </w:p>
        </w:tc>
        <w:tc>
          <w:tcPr>
            <w:tcW w:w="2357" w:type="dxa"/>
            <w:shd w:val="clear" w:color="auto" w:fill="F3F6FA"/>
            <w:vAlign w:val="center"/>
          </w:tcPr>
          <w:p w14:paraId="54525D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“教师只是蒙对了。”</w:t>
            </w:r>
          </w:p>
        </w:tc>
        <w:tc>
          <w:tcPr>
            <w:tcW w:w="5695" w:type="dxa"/>
            <w:shd w:val="clear" w:color="auto" w:fill="F3F6FA"/>
            <w:vAlign w:val="center"/>
          </w:tcPr>
          <w:p w14:paraId="2A7AF7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“测验表现较好，但访谈中对判断依据和现场策略的表达仍不充分，提示其专业判断可能更多依赖经验直觉。”</w:t>
            </w:r>
          </w:p>
        </w:tc>
      </w:tr>
      <w:tr w14:paraId="481DEA1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dxa"/>
            <w:vAlign w:val="center"/>
          </w:tcPr>
          <w:p w14:paraId="5D6047A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过程高投入但结果低</w:t>
            </w:r>
          </w:p>
        </w:tc>
        <w:tc>
          <w:tcPr>
            <w:tcW w:w="2357" w:type="dxa"/>
            <w:vAlign w:val="center"/>
          </w:tcPr>
          <w:p w14:paraId="011E66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“想得多但不会。”</w:t>
            </w:r>
          </w:p>
        </w:tc>
        <w:tc>
          <w:tcPr>
            <w:tcW w:w="5695" w:type="dxa"/>
            <w:vAlign w:val="center"/>
          </w:tcPr>
          <w:p w14:paraId="2430EF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“该题触发了教师明显权衡，但最终判断路径与实证高分路径仍有差距，适合进一步支持其厘清判断标准。”</w:t>
            </w:r>
          </w:p>
        </w:tc>
      </w:tr>
      <w:tr w14:paraId="6968E86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dxa"/>
            <w:shd w:val="clear" w:color="auto" w:fill="F3F6FA"/>
            <w:vAlign w:val="center"/>
          </w:tcPr>
          <w:p w14:paraId="1E7802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快速定型且低分</w:t>
            </w:r>
          </w:p>
        </w:tc>
        <w:tc>
          <w:tcPr>
            <w:tcW w:w="2357" w:type="dxa"/>
            <w:shd w:val="clear" w:color="auto" w:fill="F3F6FA"/>
            <w:vAlign w:val="center"/>
          </w:tcPr>
          <w:p w14:paraId="0AA5EB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“作答不认真。”</w:t>
            </w:r>
          </w:p>
        </w:tc>
        <w:tc>
          <w:tcPr>
            <w:tcW w:w="5695" w:type="dxa"/>
            <w:shd w:val="clear" w:color="auto" w:fill="F3F6FA"/>
            <w:vAlign w:val="center"/>
          </w:tcPr>
          <w:p w14:paraId="73122B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“教师较快形成判断，可能存在稳定经验惯性或对情境复杂性关注不足，需要通过访谈和案例验证。”</w:t>
            </w:r>
          </w:p>
        </w:tc>
      </w:tr>
    </w:tbl>
    <w:p w14:paraId="015B094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十一、继续学习建议生成规则</w:t>
      </w:r>
    </w:p>
    <w:p w14:paraId="1FB6035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学习建议必须从证据出发，指向具体指标，落实到可操作行动。避免泛泛写“加强学习”“多观察幼儿”“提高专业能力”。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6"/>
      </w:tblGrid>
      <w:tr w14:paraId="0DBE384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446BA9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发展需求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30638A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学习目标</w:t>
            </w:r>
          </w:p>
        </w:tc>
        <w:tc>
          <w:tcPr>
            <w:tcW w:w="4536" w:type="dxa"/>
            <w:shd w:val="clear" w:color="auto" w:fill="4F81BD"/>
            <w:vAlign w:val="center"/>
          </w:tcPr>
          <w:p w14:paraId="0EC387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可操作建议</w:t>
            </w:r>
          </w:p>
        </w:tc>
      </w:tr>
      <w:tr w14:paraId="0DCA31B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F713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游戏特点理解需深化</w:t>
            </w:r>
          </w:p>
        </w:tc>
        <w:tc>
          <w:tcPr>
            <w:tcW w:w="2835" w:type="dxa"/>
            <w:vAlign w:val="center"/>
          </w:tcPr>
          <w:p w14:paraId="06F6EF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从成人目标转向儿童游戏逻辑。</w:t>
            </w:r>
          </w:p>
        </w:tc>
        <w:tc>
          <w:tcPr>
            <w:tcW w:w="4536" w:type="dxa"/>
            <w:vAlign w:val="center"/>
          </w:tcPr>
          <w:p w14:paraId="1E140A3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每周记录2个游戏片段，写出儿童在玩什么、为什么这样玩、教师如何接住兴趣。</w:t>
            </w:r>
          </w:p>
        </w:tc>
      </w:tr>
      <w:tr w14:paraId="554973C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060D52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游戏价值理解需深化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52F68F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看见游戏中的学习与发展。</w:t>
            </w:r>
          </w:p>
        </w:tc>
        <w:tc>
          <w:tcPr>
            <w:tcW w:w="4536" w:type="dxa"/>
            <w:shd w:val="clear" w:color="auto" w:fill="F3F6FA"/>
            <w:vAlign w:val="center"/>
          </w:tcPr>
          <w:p w14:paraId="3CBF1C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用“兴趣—经验—互动—问题解决”四栏分析一个区域游戏案例。</w:t>
            </w:r>
          </w:p>
        </w:tc>
      </w:tr>
      <w:tr w14:paraId="124D2BD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785F1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游戏价值实现认识需深化</w:t>
            </w:r>
          </w:p>
        </w:tc>
        <w:tc>
          <w:tcPr>
            <w:tcW w:w="2835" w:type="dxa"/>
            <w:vAlign w:val="center"/>
          </w:tcPr>
          <w:p w14:paraId="5537AF6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理解游戏价值的长期性和循序性。</w:t>
            </w:r>
          </w:p>
        </w:tc>
        <w:tc>
          <w:tcPr>
            <w:tcW w:w="4536" w:type="dxa"/>
            <w:vAlign w:val="center"/>
          </w:tcPr>
          <w:p w14:paraId="7DA2E3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对一个连续游戏追踪3天，记录儿童经验如何逐步变化。</w:t>
            </w:r>
          </w:p>
        </w:tc>
      </w:tr>
      <w:tr w14:paraId="0CA86C9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653782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游戏环境创设需深化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5B5628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根据儿童需要动态调整材料和环境。</w:t>
            </w:r>
          </w:p>
        </w:tc>
        <w:tc>
          <w:tcPr>
            <w:tcW w:w="4536" w:type="dxa"/>
            <w:shd w:val="clear" w:color="auto" w:fill="F3F6FA"/>
            <w:vAlign w:val="center"/>
          </w:tcPr>
          <w:p w14:paraId="3344B50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建立材料观察表：谁使用、怎么玩、卡在哪里、下次如何调整。</w:t>
            </w:r>
          </w:p>
        </w:tc>
      </w:tr>
      <w:tr w14:paraId="4DD03B4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D256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教师角色定位需深化</w:t>
            </w:r>
          </w:p>
        </w:tc>
        <w:tc>
          <w:tcPr>
            <w:tcW w:w="2835" w:type="dxa"/>
            <w:vAlign w:val="center"/>
          </w:tcPr>
          <w:p w14:paraId="0D0250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从高控或旁观转向支持、合作、引导。</w:t>
            </w:r>
          </w:p>
        </w:tc>
        <w:tc>
          <w:tcPr>
            <w:tcW w:w="4536" w:type="dxa"/>
            <w:vAlign w:val="center"/>
          </w:tcPr>
          <w:p w14:paraId="2131CCB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练习三种角色转换：旁边观察、短时加入、提供支架后退出。</w:t>
            </w:r>
          </w:p>
        </w:tc>
      </w:tr>
      <w:tr w14:paraId="3D2292D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0C26B8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游戏观察需深化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6C7C407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形成有目的、持续、个别化观察。</w:t>
            </w:r>
          </w:p>
        </w:tc>
        <w:tc>
          <w:tcPr>
            <w:tcW w:w="4536" w:type="dxa"/>
            <w:shd w:val="clear" w:color="auto" w:fill="F3F6FA"/>
            <w:vAlign w:val="center"/>
          </w:tcPr>
          <w:p w14:paraId="52E6E4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使用“游戏框架—儿童状态—同伴互动—问题解决”记录单。</w:t>
            </w:r>
          </w:p>
        </w:tc>
      </w:tr>
      <w:tr w14:paraId="5444E0A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B1A3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行为分析与回应需深化</w:t>
            </w:r>
          </w:p>
        </w:tc>
        <w:tc>
          <w:tcPr>
            <w:tcW w:w="2835" w:type="dxa"/>
            <w:vAlign w:val="center"/>
          </w:tcPr>
          <w:p w14:paraId="12F804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把行为原因分析转化为适宜回应。</w:t>
            </w:r>
          </w:p>
        </w:tc>
        <w:tc>
          <w:tcPr>
            <w:tcW w:w="4536" w:type="dxa"/>
            <w:vAlign w:val="center"/>
          </w:tcPr>
          <w:p w14:paraId="485576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练习“先观察—再判断—最小帮助—支持后退出”的现场回应链。</w:t>
            </w:r>
          </w:p>
        </w:tc>
      </w:tr>
    </w:tbl>
    <w:p w14:paraId="2901108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十二、教师阅读版报告写作规则</w:t>
      </w:r>
    </w:p>
    <w:p w14:paraId="43F92BE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教师阅读版强调可读、发展、鼓励和行动性。它可以呈现数据，但应避免算法过重、术语过密和评价性语言。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29E292D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4F81BD"/>
            <w:vAlign w:val="center"/>
          </w:tcPr>
          <w:p w14:paraId="22B458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写作要求</w:t>
            </w:r>
          </w:p>
        </w:tc>
        <w:tc>
          <w:tcPr>
            <w:tcW w:w="6917" w:type="dxa"/>
            <w:shd w:val="clear" w:color="auto" w:fill="4F81BD"/>
            <w:vAlign w:val="center"/>
          </w:tcPr>
          <w:p w14:paraId="36178CD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具体说明</w:t>
            </w:r>
          </w:p>
        </w:tc>
      </w:tr>
      <w:tr w14:paraId="7482589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0490A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标题亲和</w:t>
            </w:r>
          </w:p>
        </w:tc>
        <w:tc>
          <w:tcPr>
            <w:tcW w:w="6917" w:type="dxa"/>
            <w:vAlign w:val="center"/>
          </w:tcPr>
          <w:p w14:paraId="48CA98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可使用“先看总体画像”“哪些情境触发了专业权衡”“接下来可以怎样继续学习”等小标题。</w:t>
            </w:r>
          </w:p>
        </w:tc>
      </w:tr>
      <w:tr w14:paraId="19260AF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1B9C98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语言非评判</w:t>
            </w:r>
          </w:p>
        </w:tc>
        <w:tc>
          <w:tcPr>
            <w:tcW w:w="6917" w:type="dxa"/>
            <w:shd w:val="clear" w:color="auto" w:fill="F3F6FA"/>
            <w:vAlign w:val="center"/>
          </w:tcPr>
          <w:p w14:paraId="4153CA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避免“错误、不会、能力差、不合格”等词，改用“仍可深化、需要进一步支持、当前证据显示”。</w:t>
            </w:r>
          </w:p>
        </w:tc>
      </w:tr>
      <w:tr w14:paraId="5B00460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0CFA3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证据要简明</w:t>
            </w:r>
          </w:p>
        </w:tc>
        <w:tc>
          <w:tcPr>
            <w:tcW w:w="6917" w:type="dxa"/>
            <w:vAlign w:val="center"/>
          </w:tcPr>
          <w:p w14:paraId="0F1696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每个判断给1—2条证据，不堆砌过程指标。</w:t>
            </w:r>
          </w:p>
        </w:tc>
      </w:tr>
      <w:tr w14:paraId="24C17BE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D06FD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建议要可行动</w:t>
            </w:r>
          </w:p>
        </w:tc>
        <w:tc>
          <w:tcPr>
            <w:tcW w:w="6917" w:type="dxa"/>
            <w:shd w:val="clear" w:color="auto" w:fill="F3F6FA"/>
            <w:vAlign w:val="center"/>
          </w:tcPr>
          <w:p w14:paraId="501F0F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建议具体到一句现场话、一个观察表、一次材料调整或一项教研练习。</w:t>
            </w:r>
          </w:p>
        </w:tc>
      </w:tr>
      <w:tr w14:paraId="080A3AF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D1A94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不泄露后台信息</w:t>
            </w:r>
          </w:p>
        </w:tc>
        <w:tc>
          <w:tcPr>
            <w:tcW w:w="6917" w:type="dxa"/>
            <w:vAlign w:val="center"/>
          </w:tcPr>
          <w:p w14:paraId="03E9E71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不出现标准排序、最高分路径、专家首末位、具体赋分规则。</w:t>
            </w:r>
          </w:p>
        </w:tc>
      </w:tr>
    </w:tbl>
    <w:p w14:paraId="62C46D0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十二.1 教师阅读版推荐结构</w:t>
      </w:r>
    </w:p>
    <w:p w14:paraId="78E9C338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封面与阅读说明</w:t>
      </w:r>
    </w:p>
    <w:p w14:paraId="3EA841BA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一、先看总体画像</w:t>
      </w:r>
    </w:p>
    <w:p w14:paraId="48BF217D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二、情境判断测验结果：在哪些情境中判断较稳定</w:t>
      </w:r>
    </w:p>
    <w:p w14:paraId="60585636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三、作答过程：哪些情境触发了专业权衡</w:t>
      </w:r>
    </w:p>
    <w:p w14:paraId="442F315B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四、AI访谈反馈：从原则走向具体做法</w:t>
      </w:r>
    </w:p>
    <w:p w14:paraId="5535A4E8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五、基于既定指标体系的能力画像</w:t>
      </w:r>
    </w:p>
    <w:p w14:paraId="7FBEA542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六、综合判断：能力基础与专业成长空间</w:t>
      </w:r>
    </w:p>
    <w:p w14:paraId="030CD4F2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七、接下来可以怎样继续学习</w:t>
      </w:r>
    </w:p>
    <w:p w14:paraId="0948FC73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八、结束语与附录数据摘要</w:t>
      </w:r>
    </w:p>
    <w:p w14:paraId="3F63703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十三、研究版/专业版报告写作规则</w:t>
      </w:r>
    </w:p>
    <w:p w14:paraId="0DC0BD8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研究版/专业版用于研究团队、项目负责人和报告审核者。它可以保留更多证据表、结构化判断和可信度说明，但仍应坚持发展取向和隐私保护。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1DB2141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4F81BD"/>
            <w:vAlign w:val="center"/>
          </w:tcPr>
          <w:p w14:paraId="4A29F8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写作要求</w:t>
            </w:r>
          </w:p>
        </w:tc>
        <w:tc>
          <w:tcPr>
            <w:tcW w:w="6917" w:type="dxa"/>
            <w:shd w:val="clear" w:color="auto" w:fill="4F81BD"/>
            <w:vAlign w:val="center"/>
          </w:tcPr>
          <w:p w14:paraId="4281722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具体说明</w:t>
            </w:r>
          </w:p>
        </w:tc>
      </w:tr>
      <w:tr w14:paraId="325649F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CA0D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证据链完整</w:t>
            </w:r>
          </w:p>
        </w:tc>
        <w:tc>
          <w:tcPr>
            <w:tcW w:w="6917" w:type="dxa"/>
            <w:vAlign w:val="center"/>
          </w:tcPr>
          <w:p w14:paraId="14D12C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每个二级/三级指标判断均应说明测验证据、过程证据、访谈证据及其一致性。</w:t>
            </w:r>
          </w:p>
        </w:tc>
      </w:tr>
      <w:tr w14:paraId="30AC6CC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5711682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可信度明确</w:t>
            </w:r>
          </w:p>
        </w:tc>
        <w:tc>
          <w:tcPr>
            <w:tcW w:w="6917" w:type="dxa"/>
            <w:shd w:val="clear" w:color="auto" w:fill="F3F6FA"/>
            <w:vAlign w:val="center"/>
          </w:tcPr>
          <w:p w14:paraId="58B56E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对证据一致、冲突和不足分别标注可信度，不做过度推断。</w:t>
            </w:r>
          </w:p>
        </w:tc>
      </w:tr>
      <w:tr w14:paraId="4F04E8A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FAF98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结构化程度高</w:t>
            </w:r>
          </w:p>
        </w:tc>
        <w:tc>
          <w:tcPr>
            <w:tcW w:w="6917" w:type="dxa"/>
            <w:vAlign w:val="center"/>
          </w:tcPr>
          <w:p w14:paraId="2D7E4E7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建议使用表格呈现总分、过程标签、访谈题入选理由、指标画像和学习建议。</w:t>
            </w:r>
          </w:p>
        </w:tc>
      </w:tr>
      <w:tr w14:paraId="25E7E3F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6A3695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便于复核</w:t>
            </w:r>
          </w:p>
        </w:tc>
        <w:tc>
          <w:tcPr>
            <w:tcW w:w="6917" w:type="dxa"/>
            <w:shd w:val="clear" w:color="auto" w:fill="F3F6FA"/>
            <w:vAlign w:val="center"/>
          </w:tcPr>
          <w:p w14:paraId="14F974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附录应保留得分摘要、过程摘要、访谈证据编码摘要。</w:t>
            </w:r>
          </w:p>
        </w:tc>
      </w:tr>
      <w:tr w14:paraId="3E11A67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3A1AE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保护后台答案</w:t>
            </w:r>
          </w:p>
        </w:tc>
        <w:tc>
          <w:tcPr>
            <w:tcW w:w="6917" w:type="dxa"/>
            <w:vAlign w:val="center"/>
          </w:tcPr>
          <w:p w14:paraId="694D7A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即使是研究版，也不应把标准排序和最高分路径写入教师可见报告。</w:t>
            </w:r>
          </w:p>
        </w:tc>
      </w:tr>
    </w:tbl>
    <w:p w14:paraId="3102994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十四、报告正文模板</w:t>
      </w:r>
    </w:p>
    <w:p w14:paraId="1F8D214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14.1 教师阅读版正文模板</w:t>
      </w:r>
    </w:p>
    <w:p w14:paraId="05A8E5A7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幼儿园教师游戏支持与引导能力综合分析报告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教师阅读版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亲爱的老师：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这份报告不是为了判断“对或错”，也不是给您贴标签，而是帮助您了解：在典型游戏情境中，您通常怎样理解儿童、怎样判断是否介入、怎样支持游戏继续发展。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一、先看总体画像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您的游戏支持与引导能力整体处于【level_label】。您在【优势指标】方面表现较为稳定；在【发展指标】方面还可以继续深化。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二、情境判断测验结果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本次10题测验总分为【total_score】/40，平均分为【mean_score】/4。相对优势题集中在【items】，提示您在【indicator】方面已有较好基础；建议重点反思的题集中在【items】，需要结合过程与访谈一起理解。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三、作答过程分析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在【items】等题中，您的作答出现【process_labels】。这说明这些情境触发了专业权衡，并不直接表示能力强弱。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四、AI访谈反馈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本次访谈围绕【selected_items】展开。访谈显示，您能够【positive_evidence】；同时在【missing_evidence】方面仍可继续深化。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五、基于既定指标体系的能力画像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对游戏的特点、价值的理解：【level】。依据：【evidence】。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游戏条件的保障：【level】。依据：【evidence】。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游戏支持与指导：【level】。依据：【evidence】。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六、接下来可以怎样学习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建议您下一阶段重点围绕【target_indicator】练习。可以从【action_1】、【action_2】和【action_3】开始。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27717921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14.2 研究版/专业版正文模板</w:t>
      </w:r>
    </w:p>
    <w:p w14:paraId="1652F37E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幼儿园教师游戏支持与引导能力综合分析报告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研究版/专业版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一、报告说明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本报告基于情境判断测验结果、作答过程数据和AI一对一访谈证据生成，用于形成分层、解释性、发展取向的教师能力画像。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二、教师基本信息与总体结论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教师编号：【teacher_id】；任教年龄班：【class_age_group】；测验总分：【total_score】；常模位置：【percentile】；综合水平：【level_label】；判断可信度：【confidence】。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三、情境判断测验结果分析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呈现10题得分、相关指标、相对优势题和相对发展题。强调实证赋分优先，不泄露标准排序。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四、作答过程数据分析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呈现过程标签、P-IVI、首末位变化和有效时长，解释判断形成方式。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五、AI访谈证据分析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逐题说明访谈焦点、教师回答摘要、关键证据、缺失证据和证据编码。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六、基于既定指标体系的能力画像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按三个二级指标和相关三级指标写明水平、证据、解释和发展建议。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七、三源证据融合与综合判断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说明测验、过程、访谈证据的一致、冲突和可信度。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八、主要优势、关键发展需求与继续学习建议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按指标体系提出具体、可操作、分阶段的建议。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九、附录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得分摘要、过程指标摘要、访谈题入选理由、访谈证据编码摘要。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72AB6FA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十五、AI生成提示词与两阶段生成流程</w:t>
      </w:r>
    </w:p>
    <w:p w14:paraId="36A9BBD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正式系统中，建议先让AI生成结构化能力判断，再基于结构化判断生成报告正文。这样可以显著降低前后不一致、证据遗漏和语言过度评价的风险。</w:t>
      </w:r>
    </w:p>
    <w:p w14:paraId="1FC1389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15.1 结构化判断提示词</w:t>
      </w:r>
    </w:p>
    <w:p w14:paraId="32D0B75D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你是一名幼儿园教师游戏支持与引导能力测评报告分析专家。请基于输入资料包，先生成结构化能力判断，不写完整报告。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要求：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必须区分测验结果、过程数据和访谈证据。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必须回到既定指标体系：三个二级指标、七个三级指标、观测点、发展脉络和理想水平。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不得泄露标准答案、专家排序或后台赋分细节。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4. 不得用访谈表现覆盖实证得分。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5. 输出包括：总体水平、二级指标画像、三级指标证据、三源融合、判断可信度、优势、发展需求、学习建议。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37B3332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15.2 报告正文生成提示词</w:t>
      </w:r>
    </w:p>
    <w:p w14:paraId="4792DD7C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请根据结构化能力判断，生成《幼儿园教师游戏支持与引导能力综合分析报告》。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报告版本：{{teacher_reading_version / professional_version}}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语言要求：专业、温和、发展取向，避免标签化评价。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必须包含：报告说明、总体结论、测验结果分析、过程数据分析、AI访谈证据分析、指标体系能力画像、三源证据融合、优势与发展建议、附录。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禁止包含：标准排序、专家答案、最高分路径、具体赋分规则、对教师的负面标签。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789ACB3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15.3 质量审核提示词</w:t>
      </w:r>
    </w:p>
    <w:p w14:paraId="0F60B987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请审核报告是否存在以下问题：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题号、得分、访谈题目与输入数据不一致；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仍使用旧“五维能力框架”作为主轴；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把低分直接解释为能力弱；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4. 把修改次数多直接解释为能力差；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5. 用访谈表现覆盖测验分数；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6. 忽视年龄适宜性、长期效果或文化适宜性；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7. 学习建议空泛；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8. 泄露标准排序、专家答案或评分规则；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9. 语言带有标签化、惩罚性或过度判断。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请逐条指出问题并给出修改建议。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53890A6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十六、质量审核清单与常见错误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4"/>
      </w:tblGrid>
      <w:tr w14:paraId="60D1F52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4F81BD"/>
            <w:vAlign w:val="center"/>
          </w:tcPr>
          <w:p w14:paraId="3B19A6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检查项</w:t>
            </w:r>
          </w:p>
        </w:tc>
        <w:tc>
          <w:tcPr>
            <w:tcW w:w="6804" w:type="dxa"/>
            <w:shd w:val="clear" w:color="auto" w:fill="4F81BD"/>
            <w:vAlign w:val="center"/>
          </w:tcPr>
          <w:p w14:paraId="3FFE83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合格标准</w:t>
            </w:r>
          </w:p>
        </w:tc>
      </w:tr>
      <w:tr w14:paraId="6C94074C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28411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事实一致性</w:t>
            </w:r>
          </w:p>
        </w:tc>
        <w:tc>
          <w:tcPr>
            <w:tcW w:w="6804" w:type="dxa"/>
            <w:vAlign w:val="center"/>
          </w:tcPr>
          <w:p w14:paraId="5A0C1E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报告中的题号、题名、得分、总分、访谈题目、过程标签均与输入数据一致。</w:t>
            </w:r>
          </w:p>
        </w:tc>
      </w:tr>
      <w:tr w14:paraId="49E7F712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148ED5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指标一致性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2E434B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所有能力画像均使用既定指标体系，不再以旧五维框架组织。</w:t>
            </w:r>
          </w:p>
        </w:tc>
      </w:tr>
      <w:tr w14:paraId="5A22759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DBFFB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证据边界</w:t>
            </w:r>
          </w:p>
        </w:tc>
        <w:tc>
          <w:tcPr>
            <w:tcW w:w="6804" w:type="dxa"/>
            <w:vAlign w:val="center"/>
          </w:tcPr>
          <w:p w14:paraId="5CB635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测验、过程、访谈三类证据分工清楚，不互相替代。</w:t>
            </w:r>
          </w:p>
        </w:tc>
      </w:tr>
      <w:tr w14:paraId="13B2802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1D4B8F0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非评判语言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3860AA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不出现“答错、能力差、不会、不合格”等标签化表述。</w:t>
            </w:r>
          </w:p>
        </w:tc>
      </w:tr>
      <w:tr w14:paraId="30EC7BC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EB303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不泄露后台答案</w:t>
            </w:r>
          </w:p>
        </w:tc>
        <w:tc>
          <w:tcPr>
            <w:tcW w:w="6804" w:type="dxa"/>
            <w:vAlign w:val="center"/>
          </w:tcPr>
          <w:p w14:paraId="58B77F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不出现标准排序、专家答案、最高分路径或具体赋分规则。</w:t>
            </w:r>
          </w:p>
        </w:tc>
      </w:tr>
      <w:tr w14:paraId="6139CEB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4D0419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学习建议可操作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0A2A5E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建议具体到观察表、回应语、材料支架、规则共建或教研练习。</w:t>
            </w:r>
          </w:p>
        </w:tc>
      </w:tr>
      <w:tr w14:paraId="0EDBD41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B8695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年龄适宜性</w:t>
            </w:r>
          </w:p>
        </w:tc>
        <w:tc>
          <w:tcPr>
            <w:tcW w:w="6804" w:type="dxa"/>
            <w:vAlign w:val="center"/>
          </w:tcPr>
          <w:p w14:paraId="1121FD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涉及策略判断时说明与小/中/大班儿童特点的关系。</w:t>
            </w:r>
          </w:p>
        </w:tc>
      </w:tr>
      <w:tr w14:paraId="014DB5B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3F6FA"/>
            <w:vAlign w:val="center"/>
          </w:tcPr>
          <w:p w14:paraId="4FB1B1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文化适宜性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4AA2629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兼顾儿童自主、教师责任、共同生活、安全边界和同伴合作。</w:t>
            </w:r>
          </w:p>
        </w:tc>
      </w:tr>
      <w:tr w14:paraId="0E322B5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4EAEB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可复核性</w:t>
            </w:r>
          </w:p>
        </w:tc>
        <w:tc>
          <w:tcPr>
            <w:tcW w:w="6804" w:type="dxa"/>
            <w:vAlign w:val="center"/>
          </w:tcPr>
          <w:p w14:paraId="489822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附录保留得分摘要、过程摘要和访谈证据编码摘要。</w:t>
            </w:r>
          </w:p>
        </w:tc>
      </w:tr>
    </w:tbl>
    <w:p w14:paraId="16F46D3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16.1 常见错误与修正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70"/>
      </w:tblGrid>
      <w:tr w14:paraId="79816AE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4F81BD"/>
            <w:vAlign w:val="center"/>
          </w:tcPr>
          <w:p w14:paraId="7A8DB4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常见错误</w:t>
            </w:r>
          </w:p>
        </w:tc>
        <w:tc>
          <w:tcPr>
            <w:tcW w:w="5670" w:type="dxa"/>
            <w:shd w:val="clear" w:color="auto" w:fill="4F81BD"/>
            <w:vAlign w:val="center"/>
          </w:tcPr>
          <w:p w14:paraId="7E2125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修正方式</w:t>
            </w:r>
          </w:p>
        </w:tc>
      </w:tr>
      <w:tr w14:paraId="313410C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D0CBE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简单把六个或三个文件拼接成报告手册。</w:t>
            </w:r>
          </w:p>
        </w:tc>
        <w:tc>
          <w:tcPr>
            <w:tcW w:w="5670" w:type="dxa"/>
            <w:vAlign w:val="center"/>
          </w:tcPr>
          <w:p w14:paraId="2E68AB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按报告生成流程重排为：规则—字段—画像—融合—模板—样例—质检。</w:t>
            </w:r>
          </w:p>
        </w:tc>
      </w:tr>
      <w:tr w14:paraId="72A6A3A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3F6FA"/>
            <w:vAlign w:val="center"/>
          </w:tcPr>
          <w:p w14:paraId="695462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继续用“游戏理解、观察诊断”等旧维度作为报告主轴。</w:t>
            </w:r>
          </w:p>
        </w:tc>
        <w:tc>
          <w:tcPr>
            <w:tcW w:w="5670" w:type="dxa"/>
            <w:shd w:val="clear" w:color="auto" w:fill="F3F6FA"/>
            <w:vAlign w:val="center"/>
          </w:tcPr>
          <w:p w14:paraId="554052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改为三个二级指标和七个三级指标，旧术语只能作为解释性语言而非主框架。</w:t>
            </w:r>
          </w:p>
        </w:tc>
      </w:tr>
      <w:tr w14:paraId="493EEF8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C7CB01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报告只写访谈摘要，不做能力画像。</w:t>
            </w:r>
          </w:p>
        </w:tc>
        <w:tc>
          <w:tcPr>
            <w:tcW w:w="5670" w:type="dxa"/>
            <w:vAlign w:val="center"/>
          </w:tcPr>
          <w:p w14:paraId="68AAE3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必须把访谈证据回写到指标体系，形成二级和三级指标判断。</w:t>
            </w:r>
          </w:p>
        </w:tc>
      </w:tr>
      <w:tr w14:paraId="5709F0D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3F6FA"/>
            <w:vAlign w:val="center"/>
          </w:tcPr>
          <w:p w14:paraId="1E5A9A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教师阅读版过于研究化。</w:t>
            </w:r>
          </w:p>
        </w:tc>
        <w:tc>
          <w:tcPr>
            <w:tcW w:w="5670" w:type="dxa"/>
            <w:shd w:val="clear" w:color="auto" w:fill="F3F6FA"/>
            <w:vAlign w:val="center"/>
          </w:tcPr>
          <w:p w14:paraId="1DD12F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减少算法术语，突出“我现在怎么样、为什么、下一步怎么做”。</w:t>
            </w:r>
          </w:p>
        </w:tc>
      </w:tr>
      <w:tr w14:paraId="7842EA5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13326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研究版缺少证据可信度。</w:t>
            </w:r>
          </w:p>
        </w:tc>
        <w:tc>
          <w:tcPr>
            <w:tcW w:w="5670" w:type="dxa"/>
            <w:vAlign w:val="center"/>
          </w:tcPr>
          <w:p w14:paraId="725A7F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增加测验、过程、访谈三源融合表和可信度标注。</w:t>
            </w:r>
          </w:p>
        </w:tc>
      </w:tr>
    </w:tbl>
    <w:p w14:paraId="75BDBB6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附录A：报告数据包JSON模板</w:t>
      </w:r>
    </w:p>
    <w:p w14:paraId="5D587E23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"teacher_profile":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"teacher_id": "T001",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"teaching_years": 6,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"class_age_group": "中班",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"test_date": "YYYY-MM-DD"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"test_result":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"total_score": 31,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"mean_score": 3.1,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"level_label": "中等偏上",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"percentile": 72,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"item_results":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{"item_id": "Q1", "item_title": "篮球架玩水", "final_ranking": "ACBD", "score": 4,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"primary_secondary_indicator": "游戏支持与指导",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"primary_tertiary_indicator": "对游戏行为的分析与回应"}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"process_data":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"item_process":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{"item_id": "Q5", "effective_time": 92, "revision_count": 4,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"first_position_changed": true, "P_IVI": 78,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 "process_labels": ["高修正投入", "首位摇摆"]}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"selected_interview_items":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{"item_id": "Q5", "selection_sources": ["R", "G", "Final"],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"selection_reason": "结果低+过程复杂，适合解释教师对游戏表征与现实价值关系的判断机制"}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"interview_evidence":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{"item_id": "Q5", "dialogue_summary": "教师能意识到儿童可能开心的是救火成功，但具体回应语仍偏抽象。",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"evidence_codes": {"game_logic_understanding": "较好", "strategy_specificity": "中等"},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"key_evidence": ["教师说：我会先问他是不是因为消防员救火成功才开心。"]}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"report_rules":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"tone": "专业、发展性、非评判",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"do_not": ["不要说教师答错", "不要泄露标准排序", "不要把过程异常直接解释为能力弱"]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0E95C07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附录B：结构化能力判断JSON模板</w:t>
      </w:r>
    </w:p>
    <w:p w14:paraId="38A8E7CC">
      <w:pPr>
        <w:shd w:val="clear" w:fill="F2F2F2"/>
        <w:ind w:left="227" w:right="2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"overall_judgment":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"level": "中等偏上",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"confidence": "较高",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"summary": "教师具有较好的游戏支持判断基础，优势集中在理解儿童兴趣和规则安全意识，发展点集中在观察诊断和具体支架策略。"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"secondary_indicator_profile":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"secondary_indicator": "对游戏的特点、价值的理解",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"level": "中等偏上",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"test_evidence": "相关题表现较稳定。",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"process_evidence": "价值澄清题出现高修正投入。",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"interview_evidence": "能在追问下区分游戏表征与现实危险。",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"development_need": "进一步练习先接住儿童游戏意义，再进行价值澄清。"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"tertiary_indicator_evidence":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"tertiary_indicator": "对游戏行为的分析与回应",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"evidence_level": "中等",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"supporting_evidence": ["能提出帮助儿童继续探索", "现场回应语和退出意识仍不够具体"],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"confidence": "中等"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"learning_suggestions": [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{"target_indicator": "游戏中的观察", "action": "使用行为—可能原因—证据—支持方式四列表分析一次游戏停滞情境。"}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</w:p>
    <w:p w14:paraId="77EDE580">
      <w:pPr>
        <w:rPr>
          <w:rFonts w:hint="default" w:ascii="Times New Roman" w:hAnsi="Times New Roman" w:eastAsia="宋体" w:cs="Times New Roman"/>
          <w:color w:val="1F4E79"/>
        </w:rPr>
      </w:pPr>
      <w:r>
        <w:rPr>
          <w:rFonts w:hint="default" w:ascii="Times New Roman" w:hAnsi="Times New Roman" w:eastAsia="宋体" w:cs="Times New Roman"/>
          <w:color w:val="1F4E79"/>
        </w:rPr>
        <w:br w:type="page"/>
      </w:r>
    </w:p>
    <w:p w14:paraId="5FD5775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附录C：教师阅读版报告模拟样例</w:t>
      </w:r>
    </w:p>
    <w:p w14:paraId="6DEAEEA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以下样例用于展示教师阅读版的语言风格和结构。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文字表述可以进一步根据实际情况进行优化。</w:t>
      </w:r>
      <w:r>
        <w:rPr>
          <w:rFonts w:hint="default" w:ascii="Times New Roman" w:hAnsi="Times New Roman" w:eastAsia="宋体" w:cs="Times New Roman"/>
          <w:b w:val="0"/>
          <w:sz w:val="21"/>
        </w:rPr>
        <w:t>正式报告应基于真实测验、过程数据和AI访谈证据生成。</w:t>
      </w:r>
    </w:p>
    <w:p w14:paraId="29E39EFE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C1 封面与总体信息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09C76C77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5A8C4D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项目</w:t>
            </w:r>
          </w:p>
        </w:tc>
        <w:tc>
          <w:tcPr>
            <w:tcW w:w="6804" w:type="dxa"/>
            <w:shd w:val="clear" w:color="auto" w:fill="4F81BD"/>
            <w:vAlign w:val="center"/>
          </w:tcPr>
          <w:p w14:paraId="47E1CF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内容</w:t>
            </w:r>
          </w:p>
        </w:tc>
      </w:tr>
      <w:tr w14:paraId="420AEAF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FDB73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教师编号</w:t>
            </w:r>
          </w:p>
        </w:tc>
        <w:tc>
          <w:tcPr>
            <w:tcW w:w="6804" w:type="dxa"/>
            <w:vAlign w:val="center"/>
          </w:tcPr>
          <w:p w14:paraId="47EF80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T-GS-2026-001（模拟）</w:t>
            </w:r>
          </w:p>
        </w:tc>
      </w:tr>
      <w:tr w14:paraId="37CDF6D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28C013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任教年龄班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16D46A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中班</w:t>
            </w:r>
          </w:p>
        </w:tc>
      </w:tr>
      <w:tr w14:paraId="31D4532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BF7E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教龄</w:t>
            </w:r>
          </w:p>
        </w:tc>
        <w:tc>
          <w:tcPr>
            <w:tcW w:w="6804" w:type="dxa"/>
            <w:vAlign w:val="center"/>
          </w:tcPr>
          <w:p w14:paraId="28F6FE4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6年</w:t>
            </w:r>
          </w:p>
        </w:tc>
      </w:tr>
      <w:tr w14:paraId="488FB6C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02B682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测验总分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1972E4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30 / 40</w:t>
            </w:r>
          </w:p>
        </w:tc>
      </w:tr>
      <w:tr w14:paraId="445C298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8C024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综合水平</w:t>
            </w:r>
          </w:p>
        </w:tc>
        <w:tc>
          <w:tcPr>
            <w:tcW w:w="6804" w:type="dxa"/>
            <w:vAlign w:val="center"/>
          </w:tcPr>
          <w:p w14:paraId="24FEA39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中等偏上</w:t>
            </w:r>
          </w:p>
        </w:tc>
      </w:tr>
      <w:tr w14:paraId="555344E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036B37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参照位置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58DAD6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约第72百分位（模拟数据）</w:t>
            </w:r>
          </w:p>
        </w:tc>
      </w:tr>
    </w:tbl>
    <w:p w14:paraId="210AD223">
      <w:pPr>
        <w:rPr>
          <w:rFonts w:hint="default" w:ascii="Times New Roman" w:hAnsi="Times New Roman" w:eastAsia="宋体" w:cs="Times New Roman"/>
          <w:b w:val="0"/>
          <w:sz w:val="21"/>
        </w:rPr>
      </w:pPr>
    </w:p>
    <w:p w14:paraId="2E74C1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亲爱的</w:t>
      </w:r>
      <w:r>
        <w:rPr>
          <w:rFonts w:hint="eastAsia" w:ascii="Times New Roman" w:hAnsi="Times New Roman" w:eastAsia="宋体" w:cs="Times New Roman"/>
          <w:b w:val="0"/>
          <w:sz w:val="21"/>
          <w:lang w:val="en-US" w:eastAsia="zh-CN"/>
        </w:rPr>
        <w:t>**</w:t>
      </w:r>
      <w:r>
        <w:rPr>
          <w:rFonts w:hint="default" w:ascii="Times New Roman" w:hAnsi="Times New Roman" w:eastAsia="宋体" w:cs="Times New Roman"/>
          <w:b w:val="0"/>
          <w:sz w:val="21"/>
        </w:rPr>
        <w:t>老师：这份报告不是为了判断“对或错”，也不是给您贴标签，而是帮助您了解：在典型游戏情境中，您通常怎样理解儿童、怎样判断是否介入、怎样支持游戏继续发展。</w:t>
      </w:r>
    </w:p>
    <w:p w14:paraId="73AE1ED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C2 一句话概括</w:t>
      </w:r>
    </w:p>
    <w:p w14:paraId="46DAAD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您的游戏支持与引导能力整体处于中等偏上水平。您能够较好地看见儿童游戏兴趣，也比较重视安全、规则和共同游戏秩序；同时，在判断儿童真实需要、提供低控制支架、把儿童兴趣和困难转化为持续游戏经验方面，还可以继续深化。</w:t>
      </w:r>
      <w:bookmarkStart w:id="0" w:name="_GoBack"/>
      <w:bookmarkEnd w:id="0"/>
    </w:p>
    <w:p w14:paraId="0CF152E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C3 测验与过程提示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2483"/>
        <w:gridCol w:w="1886"/>
        <w:gridCol w:w="3675"/>
      </w:tblGrid>
      <w:tr w14:paraId="0D4AA90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79" w:type="dxa"/>
            <w:shd w:val="clear" w:color="auto" w:fill="4F81BD"/>
            <w:vAlign w:val="center"/>
          </w:tcPr>
          <w:p w14:paraId="2C747B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题号</w:t>
            </w:r>
          </w:p>
        </w:tc>
        <w:tc>
          <w:tcPr>
            <w:tcW w:w="2483" w:type="dxa"/>
            <w:shd w:val="clear" w:color="auto" w:fill="4F81BD"/>
            <w:vAlign w:val="center"/>
          </w:tcPr>
          <w:p w14:paraId="0E174B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情境简称</w:t>
            </w:r>
          </w:p>
        </w:tc>
        <w:tc>
          <w:tcPr>
            <w:tcW w:w="1886" w:type="dxa"/>
            <w:shd w:val="clear" w:color="auto" w:fill="4F81BD"/>
            <w:vAlign w:val="center"/>
          </w:tcPr>
          <w:p w14:paraId="099737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表现</w:t>
            </w:r>
          </w:p>
        </w:tc>
        <w:tc>
          <w:tcPr>
            <w:tcW w:w="3675" w:type="dxa"/>
            <w:shd w:val="clear" w:color="auto" w:fill="4F81BD"/>
            <w:vAlign w:val="center"/>
          </w:tcPr>
          <w:p w14:paraId="182F71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阅读提示</w:t>
            </w:r>
          </w:p>
        </w:tc>
      </w:tr>
      <w:tr w14:paraId="30AF67F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dxa"/>
            <w:vAlign w:val="center"/>
          </w:tcPr>
          <w:p w14:paraId="2B501ED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Q1</w:t>
            </w:r>
          </w:p>
        </w:tc>
        <w:tc>
          <w:tcPr>
            <w:tcW w:w="2483" w:type="dxa"/>
            <w:vAlign w:val="center"/>
          </w:tcPr>
          <w:p w14:paraId="16012D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篮球架玩水</w:t>
            </w:r>
          </w:p>
        </w:tc>
        <w:tc>
          <w:tcPr>
            <w:tcW w:w="1886" w:type="dxa"/>
            <w:vAlign w:val="center"/>
          </w:tcPr>
          <w:p w14:paraId="1ED532C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表现较好</w:t>
            </w:r>
          </w:p>
        </w:tc>
        <w:tc>
          <w:tcPr>
            <w:tcW w:w="3675" w:type="dxa"/>
            <w:vAlign w:val="center"/>
          </w:tcPr>
          <w:p w14:paraId="73F358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能兼顾儿童兴趣、场地适宜性和安全边界。</w:t>
            </w:r>
          </w:p>
        </w:tc>
      </w:tr>
      <w:tr w14:paraId="4E98E6E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dxa"/>
            <w:shd w:val="clear" w:color="auto" w:fill="F3F6FA"/>
            <w:vAlign w:val="center"/>
          </w:tcPr>
          <w:p w14:paraId="726D51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Q2</w:t>
            </w:r>
          </w:p>
        </w:tc>
        <w:tc>
          <w:tcPr>
            <w:tcW w:w="2483" w:type="dxa"/>
            <w:shd w:val="clear" w:color="auto" w:fill="F3F6FA"/>
            <w:vAlign w:val="center"/>
          </w:tcPr>
          <w:p w14:paraId="7E2712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幼儿频繁求助</w:t>
            </w:r>
          </w:p>
        </w:tc>
        <w:tc>
          <w:tcPr>
            <w:tcW w:w="1886" w:type="dxa"/>
            <w:shd w:val="clear" w:color="auto" w:fill="F3F6FA"/>
            <w:vAlign w:val="center"/>
          </w:tcPr>
          <w:p w14:paraId="079529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建议重点反思</w:t>
            </w:r>
          </w:p>
        </w:tc>
        <w:tc>
          <w:tcPr>
            <w:tcW w:w="3675" w:type="dxa"/>
            <w:shd w:val="clear" w:color="auto" w:fill="F3F6FA"/>
            <w:vAlign w:val="center"/>
          </w:tcPr>
          <w:p w14:paraId="3F605B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需要结合过程和访谈理解，不宜只看分数。</w:t>
            </w:r>
          </w:p>
        </w:tc>
      </w:tr>
      <w:tr w14:paraId="616C996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dxa"/>
            <w:vAlign w:val="center"/>
          </w:tcPr>
          <w:p w14:paraId="75BA09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Q5</w:t>
            </w:r>
          </w:p>
        </w:tc>
        <w:tc>
          <w:tcPr>
            <w:tcW w:w="2483" w:type="dxa"/>
            <w:vAlign w:val="center"/>
          </w:tcPr>
          <w:p w14:paraId="3B6690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游戏兴趣点与常规价值不符</w:t>
            </w:r>
          </w:p>
        </w:tc>
        <w:tc>
          <w:tcPr>
            <w:tcW w:w="1886" w:type="dxa"/>
            <w:vAlign w:val="center"/>
          </w:tcPr>
          <w:p w14:paraId="0D5DCF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建议重点反思</w:t>
            </w:r>
          </w:p>
        </w:tc>
        <w:tc>
          <w:tcPr>
            <w:tcW w:w="3675" w:type="dxa"/>
            <w:vAlign w:val="center"/>
          </w:tcPr>
          <w:p w14:paraId="6932D9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涉及游戏表征与现实价值澄清。</w:t>
            </w:r>
          </w:p>
        </w:tc>
      </w:tr>
      <w:tr w14:paraId="448516B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dxa"/>
            <w:shd w:val="clear" w:color="auto" w:fill="F3F6FA"/>
            <w:vAlign w:val="center"/>
          </w:tcPr>
          <w:p w14:paraId="43D67DF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Q8</w:t>
            </w:r>
          </w:p>
        </w:tc>
        <w:tc>
          <w:tcPr>
            <w:tcW w:w="2483" w:type="dxa"/>
            <w:shd w:val="clear" w:color="auto" w:fill="F3F6FA"/>
            <w:vAlign w:val="center"/>
          </w:tcPr>
          <w:p w14:paraId="77687E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难题未解，兴趣减弱</w:t>
            </w:r>
          </w:p>
        </w:tc>
        <w:tc>
          <w:tcPr>
            <w:tcW w:w="1886" w:type="dxa"/>
            <w:shd w:val="clear" w:color="auto" w:fill="F3F6FA"/>
            <w:vAlign w:val="center"/>
          </w:tcPr>
          <w:p w14:paraId="6E640E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建议重点反思</w:t>
            </w:r>
          </w:p>
        </w:tc>
        <w:tc>
          <w:tcPr>
            <w:tcW w:w="3675" w:type="dxa"/>
            <w:shd w:val="clear" w:color="auto" w:fill="F3F6FA"/>
            <w:vAlign w:val="center"/>
          </w:tcPr>
          <w:p w14:paraId="48DA0E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涉及探究停滞后的兴趣重建和支架方式。</w:t>
            </w:r>
          </w:p>
        </w:tc>
      </w:tr>
      <w:tr w14:paraId="082038B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" w:type="dxa"/>
            <w:vAlign w:val="center"/>
          </w:tcPr>
          <w:p w14:paraId="1F21BF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Q10</w:t>
            </w:r>
          </w:p>
        </w:tc>
        <w:tc>
          <w:tcPr>
            <w:tcW w:w="2483" w:type="dxa"/>
            <w:vAlign w:val="center"/>
          </w:tcPr>
          <w:p w14:paraId="6733DDE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跳绳秩序混乱</w:t>
            </w:r>
          </w:p>
        </w:tc>
        <w:tc>
          <w:tcPr>
            <w:tcW w:w="1886" w:type="dxa"/>
            <w:vAlign w:val="center"/>
          </w:tcPr>
          <w:p w14:paraId="3B05F1F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表现较好</w:t>
            </w:r>
          </w:p>
        </w:tc>
        <w:tc>
          <w:tcPr>
            <w:tcW w:w="3675" w:type="dxa"/>
            <w:vAlign w:val="center"/>
          </w:tcPr>
          <w:p w14:paraId="5E17C0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能关注安全组织和儿童参与规则形成。</w:t>
            </w:r>
          </w:p>
        </w:tc>
      </w:tr>
    </w:tbl>
    <w:p w14:paraId="7D224F8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C4 AI访谈反馈摘录</w:t>
      </w:r>
    </w:p>
    <w:p w14:paraId="71D17C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本次访谈围绕Q2、Q5、Q8三道题展开。访谈显示，您在追问后能补充儿童视角、材料支架和价值澄清思路，但初始策略有时仍偏向直接示范、成人判断或快速解决问题。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2629"/>
        <w:gridCol w:w="2738"/>
        <w:gridCol w:w="2849"/>
      </w:tblGrid>
      <w:tr w14:paraId="5BA7A53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4F81BD"/>
            <w:vAlign w:val="center"/>
          </w:tcPr>
          <w:p w14:paraId="2B9328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访谈题</w:t>
            </w:r>
          </w:p>
        </w:tc>
        <w:tc>
          <w:tcPr>
            <w:tcW w:w="2721" w:type="dxa"/>
            <w:shd w:val="clear" w:color="auto" w:fill="4F81BD"/>
            <w:vAlign w:val="center"/>
          </w:tcPr>
          <w:p w14:paraId="61C292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您已经具备的基础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1A9786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还可以继续深化</w:t>
            </w:r>
          </w:p>
        </w:tc>
        <w:tc>
          <w:tcPr>
            <w:tcW w:w="2948" w:type="dxa"/>
            <w:shd w:val="clear" w:color="auto" w:fill="4F81BD"/>
            <w:vAlign w:val="center"/>
          </w:tcPr>
          <w:p w14:paraId="1E25EF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可以尝试的一句话/一步做法</w:t>
            </w:r>
          </w:p>
        </w:tc>
      </w:tr>
      <w:tr w14:paraId="68540A4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FEE2BC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Q2 幼儿频繁求助</w:t>
            </w:r>
          </w:p>
        </w:tc>
        <w:tc>
          <w:tcPr>
            <w:tcW w:w="2721" w:type="dxa"/>
            <w:vAlign w:val="center"/>
          </w:tcPr>
          <w:p w14:paraId="5260D3E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能注意到孩子求助时的情绪需要。</w:t>
            </w:r>
          </w:p>
        </w:tc>
        <w:tc>
          <w:tcPr>
            <w:tcW w:w="2835" w:type="dxa"/>
            <w:vAlign w:val="center"/>
          </w:tcPr>
          <w:p w14:paraId="5A6D554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避免过早替孩子示范全部过程。</w:t>
            </w:r>
          </w:p>
        </w:tc>
        <w:tc>
          <w:tcPr>
            <w:tcW w:w="2948" w:type="dxa"/>
            <w:vAlign w:val="center"/>
          </w:tcPr>
          <w:p w14:paraId="308CF2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“你已经搭到这里了，接下来最想让我帮哪一步？”</w:t>
            </w:r>
          </w:p>
        </w:tc>
      </w:tr>
      <w:tr w14:paraId="6ED063B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3F6FA"/>
            <w:vAlign w:val="center"/>
          </w:tcPr>
          <w:p w14:paraId="602490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Q5 消防员救火开心</w:t>
            </w:r>
          </w:p>
        </w:tc>
        <w:tc>
          <w:tcPr>
            <w:tcW w:w="2721" w:type="dxa"/>
            <w:shd w:val="clear" w:color="auto" w:fill="F3F6FA"/>
            <w:vAlign w:val="center"/>
          </w:tcPr>
          <w:p w14:paraId="288419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能区分游戏中的救火成功体验与真实火灾危险。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5CBBCA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先接住游戏叙事，再进行具体安全澄清。</w:t>
            </w:r>
          </w:p>
        </w:tc>
        <w:tc>
          <w:tcPr>
            <w:tcW w:w="2948" w:type="dxa"/>
            <w:shd w:val="clear" w:color="auto" w:fill="F3F6FA"/>
            <w:vAlign w:val="center"/>
          </w:tcPr>
          <w:p w14:paraId="08B71D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“你开心的是消防员把火灭了、大家安全了吗？”</w:t>
            </w:r>
          </w:p>
        </w:tc>
      </w:tr>
      <w:tr w14:paraId="6E7C653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E52D7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Q8 引水难题未解</w:t>
            </w:r>
          </w:p>
        </w:tc>
        <w:tc>
          <w:tcPr>
            <w:tcW w:w="2721" w:type="dxa"/>
            <w:vAlign w:val="center"/>
          </w:tcPr>
          <w:p w14:paraId="0BD830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愿意支持幼儿继续探索。</w:t>
            </w:r>
          </w:p>
        </w:tc>
        <w:tc>
          <w:tcPr>
            <w:tcW w:w="2835" w:type="dxa"/>
            <w:vAlign w:val="center"/>
          </w:tcPr>
          <w:p w14:paraId="6047915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减少教师直接调好水渠，给儿童保留试错空间。</w:t>
            </w:r>
          </w:p>
        </w:tc>
        <w:tc>
          <w:tcPr>
            <w:tcW w:w="2948" w:type="dxa"/>
            <w:vAlign w:val="center"/>
          </w:tcPr>
          <w:p w14:paraId="459241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先补充木块和支架，再问：“哪里高一点？水会往哪边流？”</w:t>
            </w:r>
          </w:p>
        </w:tc>
      </w:tr>
    </w:tbl>
    <w:p w14:paraId="22717D9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C5 基于既定指标体系的能力画像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537"/>
        <w:gridCol w:w="3544"/>
        <w:gridCol w:w="3055"/>
      </w:tblGrid>
      <w:tr w14:paraId="55F51AB5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5173DC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二级指标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700F79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当前画像</w:t>
            </w:r>
          </w:p>
        </w:tc>
        <w:tc>
          <w:tcPr>
            <w:tcW w:w="3969" w:type="dxa"/>
            <w:shd w:val="clear" w:color="auto" w:fill="4F81BD"/>
            <w:vAlign w:val="center"/>
          </w:tcPr>
          <w:p w14:paraId="0C7423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证据说明</w:t>
            </w:r>
          </w:p>
        </w:tc>
        <w:tc>
          <w:tcPr>
            <w:tcW w:w="3402" w:type="dxa"/>
            <w:shd w:val="clear" w:color="auto" w:fill="4F81BD"/>
            <w:vAlign w:val="center"/>
          </w:tcPr>
          <w:p w14:paraId="7A44EF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发展提示</w:t>
            </w:r>
          </w:p>
        </w:tc>
      </w:tr>
      <w:tr w14:paraId="421C9923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618E3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对游戏的特点、价值的理解</w:t>
            </w:r>
          </w:p>
        </w:tc>
        <w:tc>
          <w:tcPr>
            <w:tcW w:w="1701" w:type="dxa"/>
            <w:vAlign w:val="center"/>
          </w:tcPr>
          <w:p w14:paraId="19BB2B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中等偏上</w:t>
            </w:r>
          </w:p>
        </w:tc>
        <w:tc>
          <w:tcPr>
            <w:tcW w:w="3969" w:type="dxa"/>
            <w:vAlign w:val="center"/>
          </w:tcPr>
          <w:p w14:paraId="63F478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能较好看见儿童兴趣和角色经验；在价值澄清情境中还需更稳定地先接住儿童游戏意义。</w:t>
            </w:r>
          </w:p>
        </w:tc>
        <w:tc>
          <w:tcPr>
            <w:tcW w:w="3402" w:type="dxa"/>
            <w:vAlign w:val="center"/>
          </w:tcPr>
          <w:p w14:paraId="2AFAAC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继续练习“先接住儿童游戏意义，再进行规则或价值回应”。</w:t>
            </w:r>
          </w:p>
        </w:tc>
      </w:tr>
      <w:tr w14:paraId="1A11D85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44BA5F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游戏条件的保障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7BDFFC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</w:t>
            </w:r>
          </w:p>
        </w:tc>
        <w:tc>
          <w:tcPr>
            <w:tcW w:w="3969" w:type="dxa"/>
            <w:shd w:val="clear" w:color="auto" w:fill="F3F6FA"/>
            <w:vAlign w:val="center"/>
          </w:tcPr>
          <w:p w14:paraId="1A8975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能意识到材料和环境支持的重要性，但材料层次和连续调整还可更具体。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25E594B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建立材料支架篮和材料观察记录。</w:t>
            </w:r>
          </w:p>
        </w:tc>
      </w:tr>
      <w:tr w14:paraId="3C8D010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8946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游戏支持与指导</w:t>
            </w:r>
          </w:p>
        </w:tc>
        <w:tc>
          <w:tcPr>
            <w:tcW w:w="1701" w:type="dxa"/>
            <w:vAlign w:val="center"/>
          </w:tcPr>
          <w:p w14:paraId="411A8C2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中等偏上</w:t>
            </w:r>
          </w:p>
        </w:tc>
        <w:tc>
          <w:tcPr>
            <w:tcW w:w="3969" w:type="dxa"/>
            <w:vAlign w:val="center"/>
          </w:tcPr>
          <w:p w14:paraId="6C1500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多数情境中不简单否定儿童；在探究失败情境中仍容易偏向直接帮助。</w:t>
            </w:r>
          </w:p>
        </w:tc>
        <w:tc>
          <w:tcPr>
            <w:tcW w:w="3402" w:type="dxa"/>
            <w:vAlign w:val="center"/>
          </w:tcPr>
          <w:p w14:paraId="1F27D0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使用最小帮助原则，支持后及时退出，把游戏还给儿童。</w:t>
            </w:r>
          </w:p>
        </w:tc>
      </w:tr>
    </w:tbl>
    <w:p w14:paraId="70A7D5E2">
      <w:pPr>
        <w:rPr>
          <w:rFonts w:hint="default" w:ascii="Times New Roman" w:hAnsi="Times New Roman" w:eastAsia="宋体" w:cs="Times New Roman"/>
          <w:color w:val="1F4E79"/>
        </w:rPr>
      </w:pPr>
      <w:r>
        <w:rPr>
          <w:rFonts w:hint="eastAsia" w:ascii="Times New Roman" w:hAnsi="Times New Roman" w:eastAsia="宋体" w:cs="Times New Roman"/>
          <w:color w:val="1F4E79"/>
          <w:lang w:val="en-US" w:eastAsia="zh-CN"/>
        </w:rPr>
        <w:t>略</w:t>
      </w:r>
      <w:r>
        <w:rPr>
          <w:rFonts w:hint="default" w:ascii="Times New Roman" w:hAnsi="Times New Roman" w:eastAsia="宋体" w:cs="Times New Roman"/>
          <w:color w:val="1F4E79"/>
        </w:rPr>
        <w:br w:type="page"/>
      </w:r>
    </w:p>
    <w:p w14:paraId="187F2DB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附录D：研究版/专业版报告模拟样例</w:t>
      </w:r>
    </w:p>
    <w:p w14:paraId="2A358F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以下样例用于展示研究版/专业版报告的分析深度。正式应用时，所有数值和证据均应来自真实平台数据。</w:t>
      </w:r>
    </w:p>
    <w:p w14:paraId="2445E73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D1 报告说明与总体结论</w:t>
      </w:r>
    </w:p>
    <w:p w14:paraId="1049458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报告旨在对教师游戏支持与引导能力进行分层、解释性、发展取向的综合判断。报告采用的基本分析原则是：测验得分用于定位教师在典型游戏情境中的专业判断水平；过程数据用于解释教师作答时的判断形成方式；访谈证据用于进一步确认教师是否理解儿童游戏意义、能否说明介入依据、能否生成符合年龄适宜性和文化适宜性的支持策略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14488C1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5A6452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项目</w:t>
            </w:r>
          </w:p>
        </w:tc>
        <w:tc>
          <w:tcPr>
            <w:tcW w:w="6804" w:type="dxa"/>
            <w:shd w:val="clear" w:color="auto" w:fill="4F81BD"/>
            <w:vAlign w:val="center"/>
          </w:tcPr>
          <w:p w14:paraId="1C87BA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模拟信息</w:t>
            </w:r>
          </w:p>
        </w:tc>
      </w:tr>
      <w:tr w14:paraId="6EC5DBB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0A38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教师编号</w:t>
            </w:r>
          </w:p>
        </w:tc>
        <w:tc>
          <w:tcPr>
            <w:tcW w:w="6804" w:type="dxa"/>
            <w:vAlign w:val="center"/>
          </w:tcPr>
          <w:p w14:paraId="34EF5A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T-GS-2026-001</w:t>
            </w:r>
          </w:p>
        </w:tc>
      </w:tr>
      <w:tr w14:paraId="1A1051C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1265D7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任教年龄班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1CDAAF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中班</w:t>
            </w:r>
          </w:p>
        </w:tc>
      </w:tr>
      <w:tr w14:paraId="24AE26D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12C83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教龄</w:t>
            </w:r>
          </w:p>
        </w:tc>
        <w:tc>
          <w:tcPr>
            <w:tcW w:w="6804" w:type="dxa"/>
            <w:vAlign w:val="center"/>
          </w:tcPr>
          <w:p w14:paraId="2AEC44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6年</w:t>
            </w:r>
          </w:p>
        </w:tc>
      </w:tr>
      <w:tr w14:paraId="4EC7214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14B6110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测验总分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6C8A8A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30 / 40</w:t>
            </w:r>
          </w:p>
        </w:tc>
      </w:tr>
      <w:tr w14:paraId="32C7EF66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7D39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常模参照位置</w:t>
            </w:r>
          </w:p>
        </w:tc>
        <w:tc>
          <w:tcPr>
            <w:tcW w:w="6804" w:type="dxa"/>
            <w:vAlign w:val="center"/>
          </w:tcPr>
          <w:p w14:paraId="2BF363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约第72百分位（模拟常模）</w:t>
            </w:r>
          </w:p>
        </w:tc>
      </w:tr>
      <w:tr w14:paraId="22EC6A7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A"/>
            <w:vAlign w:val="center"/>
          </w:tcPr>
          <w:p w14:paraId="6245BC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综合水平判断</w:t>
            </w:r>
          </w:p>
        </w:tc>
        <w:tc>
          <w:tcPr>
            <w:tcW w:w="6804" w:type="dxa"/>
            <w:shd w:val="clear" w:color="auto" w:fill="F3F6FA"/>
            <w:vAlign w:val="center"/>
          </w:tcPr>
          <w:p w14:paraId="01AE5B3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中等偏上</w:t>
            </w:r>
          </w:p>
        </w:tc>
      </w:tr>
      <w:tr w14:paraId="7669D93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2A0F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判断可信度</w:t>
            </w:r>
          </w:p>
        </w:tc>
        <w:tc>
          <w:tcPr>
            <w:tcW w:w="6804" w:type="dxa"/>
            <w:vAlign w:val="center"/>
          </w:tcPr>
          <w:p w14:paraId="63049B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较高：测验、过程、访谈三类证据能够相互解释，但个别三级指标仍需现场观察补充。</w:t>
            </w:r>
          </w:p>
        </w:tc>
      </w:tr>
    </w:tbl>
    <w:p w14:paraId="67A3298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D2 情境判断测验结果分析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2264"/>
        <w:gridCol w:w="849"/>
        <w:gridCol w:w="2264"/>
        <w:gridCol w:w="2264"/>
        <w:gridCol w:w="1698"/>
      </w:tblGrid>
      <w:tr w14:paraId="4AE650FA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4F81BD"/>
            <w:vAlign w:val="center"/>
          </w:tcPr>
          <w:p w14:paraId="46CB4A1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题号</w:t>
            </w:r>
          </w:p>
        </w:tc>
        <w:tc>
          <w:tcPr>
            <w:tcW w:w="2268" w:type="dxa"/>
            <w:shd w:val="clear" w:color="auto" w:fill="4F81BD"/>
            <w:vAlign w:val="center"/>
          </w:tcPr>
          <w:p w14:paraId="6863BB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题目简称</w:t>
            </w:r>
          </w:p>
        </w:tc>
        <w:tc>
          <w:tcPr>
            <w:tcW w:w="850" w:type="dxa"/>
            <w:shd w:val="clear" w:color="auto" w:fill="4F81BD"/>
            <w:vAlign w:val="center"/>
          </w:tcPr>
          <w:p w14:paraId="32CCCF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得分</w:t>
            </w:r>
          </w:p>
        </w:tc>
        <w:tc>
          <w:tcPr>
            <w:tcW w:w="2268" w:type="dxa"/>
            <w:shd w:val="clear" w:color="auto" w:fill="4F81BD"/>
            <w:vAlign w:val="center"/>
          </w:tcPr>
          <w:p w14:paraId="03B791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主二级指标</w:t>
            </w:r>
          </w:p>
        </w:tc>
        <w:tc>
          <w:tcPr>
            <w:tcW w:w="2268" w:type="dxa"/>
            <w:shd w:val="clear" w:color="auto" w:fill="4F81BD"/>
            <w:vAlign w:val="center"/>
          </w:tcPr>
          <w:p w14:paraId="5D0BE4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主三级指标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5399A9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4"/>
              </w:rPr>
              <w:t>解释标签</w:t>
            </w:r>
          </w:p>
        </w:tc>
      </w:tr>
      <w:tr w14:paraId="5DD37F3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7F0D79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Q1</w:t>
            </w:r>
          </w:p>
        </w:tc>
        <w:tc>
          <w:tcPr>
            <w:tcW w:w="2268" w:type="dxa"/>
            <w:vAlign w:val="center"/>
          </w:tcPr>
          <w:p w14:paraId="294525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篮球架玩水</w:t>
            </w:r>
          </w:p>
        </w:tc>
        <w:tc>
          <w:tcPr>
            <w:tcW w:w="850" w:type="dxa"/>
            <w:vAlign w:val="center"/>
          </w:tcPr>
          <w:p w14:paraId="5B4275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4</w:t>
            </w:r>
          </w:p>
        </w:tc>
        <w:tc>
          <w:tcPr>
            <w:tcW w:w="2268" w:type="dxa"/>
            <w:vAlign w:val="center"/>
          </w:tcPr>
          <w:p w14:paraId="405C75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游戏支持与指导</w:t>
            </w:r>
          </w:p>
        </w:tc>
        <w:tc>
          <w:tcPr>
            <w:tcW w:w="2268" w:type="dxa"/>
            <w:vAlign w:val="center"/>
          </w:tcPr>
          <w:p w14:paraId="500CAC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对游戏行为的分析与回应</w:t>
            </w:r>
          </w:p>
        </w:tc>
        <w:tc>
          <w:tcPr>
            <w:tcW w:w="1701" w:type="dxa"/>
            <w:vAlign w:val="center"/>
          </w:tcPr>
          <w:p w14:paraId="20ECAF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较高</w:t>
            </w:r>
          </w:p>
        </w:tc>
      </w:tr>
      <w:tr w14:paraId="0C45E48E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6FA"/>
            <w:vAlign w:val="center"/>
          </w:tcPr>
          <w:p w14:paraId="3C25B9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Q2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5949ED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幼儿频繁求助</w:t>
            </w:r>
          </w:p>
        </w:tc>
        <w:tc>
          <w:tcPr>
            <w:tcW w:w="850" w:type="dxa"/>
            <w:shd w:val="clear" w:color="auto" w:fill="F3F6FA"/>
            <w:vAlign w:val="center"/>
          </w:tcPr>
          <w:p w14:paraId="7404D5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2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399495A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游戏支持与指导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478C19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游戏中的观察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3D2AE2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需重点解释</w:t>
            </w:r>
          </w:p>
        </w:tc>
      </w:tr>
      <w:tr w14:paraId="676BB10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522154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Q5</w:t>
            </w:r>
          </w:p>
        </w:tc>
        <w:tc>
          <w:tcPr>
            <w:tcW w:w="2268" w:type="dxa"/>
            <w:vAlign w:val="center"/>
          </w:tcPr>
          <w:p w14:paraId="54E042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游戏兴趣点与常规价值不符</w:t>
            </w:r>
          </w:p>
        </w:tc>
        <w:tc>
          <w:tcPr>
            <w:tcW w:w="850" w:type="dxa"/>
            <w:vAlign w:val="center"/>
          </w:tcPr>
          <w:p w14:paraId="45CD26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2</w:t>
            </w:r>
          </w:p>
        </w:tc>
        <w:tc>
          <w:tcPr>
            <w:tcW w:w="2268" w:type="dxa"/>
            <w:vAlign w:val="center"/>
          </w:tcPr>
          <w:p w14:paraId="7B6645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对游戏的特点、价值的理解</w:t>
            </w:r>
          </w:p>
        </w:tc>
        <w:tc>
          <w:tcPr>
            <w:tcW w:w="2268" w:type="dxa"/>
            <w:vAlign w:val="center"/>
          </w:tcPr>
          <w:p w14:paraId="7BF968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对游戏特点的理解</w:t>
            </w:r>
          </w:p>
        </w:tc>
        <w:tc>
          <w:tcPr>
            <w:tcW w:w="1701" w:type="dxa"/>
            <w:vAlign w:val="center"/>
          </w:tcPr>
          <w:p w14:paraId="556CF9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需重点解释</w:t>
            </w:r>
          </w:p>
        </w:tc>
      </w:tr>
      <w:tr w14:paraId="5C132F7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6FA"/>
            <w:vAlign w:val="center"/>
          </w:tcPr>
          <w:p w14:paraId="7F6499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Q6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22AD66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材料选择无层次</w:t>
            </w:r>
          </w:p>
        </w:tc>
        <w:tc>
          <w:tcPr>
            <w:tcW w:w="850" w:type="dxa"/>
            <w:shd w:val="clear" w:color="auto" w:fill="F3F6FA"/>
            <w:vAlign w:val="center"/>
          </w:tcPr>
          <w:p w14:paraId="2BF3BA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3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15DE399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游戏条件的保障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41A681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游戏环境创设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6BB1D5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中等偏上</w:t>
            </w:r>
          </w:p>
        </w:tc>
      </w:tr>
      <w:tr w14:paraId="32DC9A2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EA6C8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Q8</w:t>
            </w:r>
          </w:p>
        </w:tc>
        <w:tc>
          <w:tcPr>
            <w:tcW w:w="2268" w:type="dxa"/>
            <w:vAlign w:val="center"/>
          </w:tcPr>
          <w:p w14:paraId="6388E6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难题未解，兴趣减弱</w:t>
            </w:r>
          </w:p>
        </w:tc>
        <w:tc>
          <w:tcPr>
            <w:tcW w:w="850" w:type="dxa"/>
            <w:vAlign w:val="center"/>
          </w:tcPr>
          <w:p w14:paraId="3E578A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2</w:t>
            </w:r>
          </w:p>
        </w:tc>
        <w:tc>
          <w:tcPr>
            <w:tcW w:w="2268" w:type="dxa"/>
            <w:vAlign w:val="center"/>
          </w:tcPr>
          <w:p w14:paraId="591343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游戏支持与指导</w:t>
            </w:r>
          </w:p>
        </w:tc>
        <w:tc>
          <w:tcPr>
            <w:tcW w:w="2268" w:type="dxa"/>
            <w:vAlign w:val="center"/>
          </w:tcPr>
          <w:p w14:paraId="1DF951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对游戏行为的分析与回应</w:t>
            </w:r>
          </w:p>
        </w:tc>
        <w:tc>
          <w:tcPr>
            <w:tcW w:w="1701" w:type="dxa"/>
            <w:vAlign w:val="center"/>
          </w:tcPr>
          <w:p w14:paraId="1888A0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需重点解释</w:t>
            </w:r>
          </w:p>
        </w:tc>
      </w:tr>
      <w:tr w14:paraId="75EAAC5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6FA"/>
            <w:vAlign w:val="center"/>
          </w:tcPr>
          <w:p w14:paraId="0E0EC5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Q10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6903799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跳绳秩序混乱</w:t>
            </w:r>
          </w:p>
        </w:tc>
        <w:tc>
          <w:tcPr>
            <w:tcW w:w="850" w:type="dxa"/>
            <w:shd w:val="clear" w:color="auto" w:fill="F3F6FA"/>
            <w:vAlign w:val="center"/>
          </w:tcPr>
          <w:p w14:paraId="5BE1ED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4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7C54AB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游戏支持与指导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0B4F9A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对游戏行为的分析与回应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734873D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4"/>
              </w:rPr>
              <w:t>较高</w:t>
            </w:r>
          </w:p>
        </w:tc>
      </w:tr>
    </w:tbl>
    <w:p w14:paraId="2DA6654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D3 作答过程数据分析</w:t>
      </w:r>
    </w:p>
    <w:p w14:paraId="5DDD25D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过程数据表明，该教师在Q2、Q5、Q8中出现高修正投入、首位摇摆或路径振荡。这些题目触发了明显的专业权衡，尤其涉及观察诊断、游戏表征理解和探究停滞后的支架方式。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1541"/>
        <w:gridCol w:w="1532"/>
        <w:gridCol w:w="2541"/>
        <w:gridCol w:w="3533"/>
      </w:tblGrid>
      <w:tr w14:paraId="2EACF4F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4F81BD"/>
            <w:vAlign w:val="center"/>
          </w:tcPr>
          <w:p w14:paraId="6A6D4E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题号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330B96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有效时长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67ADA1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修改次数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07083B2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过程标签</w:t>
            </w:r>
          </w:p>
        </w:tc>
        <w:tc>
          <w:tcPr>
            <w:tcW w:w="3969" w:type="dxa"/>
            <w:shd w:val="clear" w:color="auto" w:fill="4F81BD"/>
            <w:vAlign w:val="center"/>
          </w:tcPr>
          <w:p w14:paraId="3545BF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解释</w:t>
            </w:r>
          </w:p>
        </w:tc>
      </w:tr>
      <w:tr w14:paraId="0F29FAA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5F925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Q2</w:t>
            </w:r>
          </w:p>
        </w:tc>
        <w:tc>
          <w:tcPr>
            <w:tcW w:w="1701" w:type="dxa"/>
            <w:vAlign w:val="center"/>
          </w:tcPr>
          <w:p w14:paraId="621FAD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118秒</w:t>
            </w:r>
          </w:p>
        </w:tc>
        <w:tc>
          <w:tcPr>
            <w:tcW w:w="1701" w:type="dxa"/>
            <w:vAlign w:val="center"/>
          </w:tcPr>
          <w:p w14:paraId="41405D6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5次</w:t>
            </w:r>
          </w:p>
        </w:tc>
        <w:tc>
          <w:tcPr>
            <w:tcW w:w="2835" w:type="dxa"/>
            <w:vAlign w:val="center"/>
          </w:tcPr>
          <w:p w14:paraId="60759A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高修正投入；首位摇摆</w:t>
            </w:r>
          </w:p>
        </w:tc>
        <w:tc>
          <w:tcPr>
            <w:tcW w:w="3969" w:type="dxa"/>
            <w:vAlign w:val="center"/>
          </w:tcPr>
          <w:p w14:paraId="29D1BF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在直接帮助和先观察儿童真实需要之间有明显摇摆。</w:t>
            </w:r>
          </w:p>
        </w:tc>
      </w:tr>
      <w:tr w14:paraId="742AC85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3F6FA"/>
            <w:vAlign w:val="center"/>
          </w:tcPr>
          <w:p w14:paraId="61D71C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Q5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6A36FA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126秒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2F2E54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4次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307E759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高修正投入；首位摇摆</w:t>
            </w:r>
          </w:p>
        </w:tc>
        <w:tc>
          <w:tcPr>
            <w:tcW w:w="3969" w:type="dxa"/>
            <w:shd w:val="clear" w:color="auto" w:fill="F3F6FA"/>
            <w:vAlign w:val="center"/>
          </w:tcPr>
          <w:p w14:paraId="7D3747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在现实安全教育和理解游戏意义之间反复比较。</w:t>
            </w:r>
          </w:p>
        </w:tc>
      </w:tr>
      <w:tr w14:paraId="3AC197E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BBCE7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Q8</w:t>
            </w:r>
          </w:p>
        </w:tc>
        <w:tc>
          <w:tcPr>
            <w:tcW w:w="1701" w:type="dxa"/>
            <w:vAlign w:val="center"/>
          </w:tcPr>
          <w:p w14:paraId="35DE89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138秒</w:t>
            </w:r>
          </w:p>
        </w:tc>
        <w:tc>
          <w:tcPr>
            <w:tcW w:w="1701" w:type="dxa"/>
            <w:vAlign w:val="center"/>
          </w:tcPr>
          <w:p w14:paraId="0209E7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6次</w:t>
            </w:r>
          </w:p>
        </w:tc>
        <w:tc>
          <w:tcPr>
            <w:tcW w:w="2835" w:type="dxa"/>
            <w:vAlign w:val="center"/>
          </w:tcPr>
          <w:p w14:paraId="36E8409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路径振荡；高过程价值</w:t>
            </w:r>
          </w:p>
        </w:tc>
        <w:tc>
          <w:tcPr>
            <w:tcW w:w="3969" w:type="dxa"/>
            <w:vAlign w:val="center"/>
          </w:tcPr>
          <w:p w14:paraId="63EDC74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对探究失败后的介入方式存在明显不确定。</w:t>
            </w:r>
          </w:p>
        </w:tc>
      </w:tr>
    </w:tbl>
    <w:p w14:paraId="776C9E4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D4 AI访谈证据分析</w:t>
      </w:r>
    </w:p>
    <w:p w14:paraId="0F52155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访谈证据显示，该教师在追问后能够补充儿童视角、材料支架和价值澄清思路，但在独立初始判断中仍容易受到“尽快解决问题”“尽快恢复秩序”“尽快进行安全教育”的倾向影响。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2009"/>
        <w:gridCol w:w="1274"/>
        <w:gridCol w:w="3009"/>
        <w:gridCol w:w="2520"/>
      </w:tblGrid>
      <w:tr w14:paraId="68128F6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0" w:type="dxa"/>
            <w:shd w:val="clear" w:color="auto" w:fill="4F81BD"/>
            <w:vAlign w:val="center"/>
          </w:tcPr>
          <w:p w14:paraId="557CF13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访谈题</w:t>
            </w:r>
          </w:p>
        </w:tc>
        <w:tc>
          <w:tcPr>
            <w:tcW w:w="2268" w:type="dxa"/>
            <w:shd w:val="clear" w:color="auto" w:fill="4F81BD"/>
            <w:vAlign w:val="center"/>
          </w:tcPr>
          <w:p w14:paraId="005E2B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访谈焦点</w:t>
            </w:r>
          </w:p>
        </w:tc>
        <w:tc>
          <w:tcPr>
            <w:tcW w:w="1417" w:type="dxa"/>
            <w:shd w:val="clear" w:color="auto" w:fill="4F81BD"/>
            <w:vAlign w:val="center"/>
          </w:tcPr>
          <w:p w14:paraId="7FD041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访谈判断</w:t>
            </w:r>
          </w:p>
        </w:tc>
        <w:tc>
          <w:tcPr>
            <w:tcW w:w="3402" w:type="dxa"/>
            <w:shd w:val="clear" w:color="auto" w:fill="4F81BD"/>
            <w:vAlign w:val="center"/>
          </w:tcPr>
          <w:p w14:paraId="3AB9FB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关键证据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17C5F0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后续支持重点</w:t>
            </w:r>
          </w:p>
        </w:tc>
      </w:tr>
      <w:tr w14:paraId="1A72B124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4618F4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Q2</w:t>
            </w:r>
          </w:p>
        </w:tc>
        <w:tc>
          <w:tcPr>
            <w:tcW w:w="2268" w:type="dxa"/>
            <w:vAlign w:val="center"/>
          </w:tcPr>
          <w:p w14:paraId="2A7A17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观察儿童真实需要</w:t>
            </w:r>
          </w:p>
        </w:tc>
        <w:tc>
          <w:tcPr>
            <w:tcW w:w="1417" w:type="dxa"/>
            <w:vAlign w:val="center"/>
          </w:tcPr>
          <w:p w14:paraId="7326B5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</w:t>
            </w:r>
          </w:p>
        </w:tc>
        <w:tc>
          <w:tcPr>
            <w:tcW w:w="3402" w:type="dxa"/>
            <w:vAlign w:val="center"/>
          </w:tcPr>
          <w:p w14:paraId="3F087E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能意识到安抚与询问需要，但诊断依据不够稳定。</w:t>
            </w:r>
          </w:p>
        </w:tc>
        <w:tc>
          <w:tcPr>
            <w:tcW w:w="2835" w:type="dxa"/>
            <w:vAlign w:val="center"/>
          </w:tcPr>
          <w:p w14:paraId="1959EC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练习先观察、再询问、给最小帮助。</w:t>
            </w:r>
          </w:p>
        </w:tc>
      </w:tr>
      <w:tr w14:paraId="2FECC38D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shd w:val="clear" w:color="auto" w:fill="F3F6FA"/>
            <w:vAlign w:val="center"/>
          </w:tcPr>
          <w:p w14:paraId="02F2EF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Q5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6349A7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游戏表征与现实价值澄清</w:t>
            </w:r>
          </w:p>
        </w:tc>
        <w:tc>
          <w:tcPr>
            <w:tcW w:w="1417" w:type="dxa"/>
            <w:shd w:val="clear" w:color="auto" w:fill="F3F6FA"/>
            <w:vAlign w:val="center"/>
          </w:tcPr>
          <w:p w14:paraId="275A65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中等偏上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7D5836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追问后能区分游戏中的开心与真实火灾危险。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6841E0A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练习先接住游戏意义，再具体澄清价值。</w:t>
            </w:r>
          </w:p>
        </w:tc>
      </w:tr>
      <w:tr w14:paraId="6CD720C8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599845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Q8</w:t>
            </w:r>
          </w:p>
        </w:tc>
        <w:tc>
          <w:tcPr>
            <w:tcW w:w="2268" w:type="dxa"/>
            <w:vAlign w:val="center"/>
          </w:tcPr>
          <w:p w14:paraId="6413BB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探究支架与兴趣重建</w:t>
            </w:r>
          </w:p>
        </w:tc>
        <w:tc>
          <w:tcPr>
            <w:tcW w:w="1417" w:type="dxa"/>
            <w:vAlign w:val="center"/>
          </w:tcPr>
          <w:p w14:paraId="3F10B0D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</w:t>
            </w:r>
          </w:p>
        </w:tc>
        <w:tc>
          <w:tcPr>
            <w:tcW w:w="3402" w:type="dxa"/>
            <w:vAlign w:val="center"/>
          </w:tcPr>
          <w:p w14:paraId="7E2F62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愿意帮助儿童继续探索，但初始策略偏直接介入。</w:t>
            </w:r>
          </w:p>
        </w:tc>
        <w:tc>
          <w:tcPr>
            <w:tcW w:w="2835" w:type="dxa"/>
            <w:vAlign w:val="center"/>
          </w:tcPr>
          <w:p w14:paraId="026884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练习材料支架、问题支架和延迟介入。</w:t>
            </w:r>
          </w:p>
        </w:tc>
      </w:tr>
    </w:tbl>
    <w:p w14:paraId="7119BC7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D5 三源证据融合与综合判断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6"/>
        <w:gridCol w:w="3685"/>
      </w:tblGrid>
      <w:tr w14:paraId="6AD3398F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4F81BD"/>
            <w:vAlign w:val="center"/>
          </w:tcPr>
          <w:p w14:paraId="16E262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证据来源</w:t>
            </w:r>
          </w:p>
        </w:tc>
        <w:tc>
          <w:tcPr>
            <w:tcW w:w="4536" w:type="dxa"/>
            <w:shd w:val="clear" w:color="auto" w:fill="4F81BD"/>
            <w:vAlign w:val="center"/>
          </w:tcPr>
          <w:p w14:paraId="56D70E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主要发现</w:t>
            </w:r>
          </w:p>
        </w:tc>
        <w:tc>
          <w:tcPr>
            <w:tcW w:w="3685" w:type="dxa"/>
            <w:shd w:val="clear" w:color="auto" w:fill="4F81BD"/>
            <w:vAlign w:val="center"/>
          </w:tcPr>
          <w:p w14:paraId="292484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综合含义</w:t>
            </w:r>
          </w:p>
        </w:tc>
      </w:tr>
      <w:tr w14:paraId="6F0925C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6AE7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测验结果</w:t>
            </w:r>
          </w:p>
        </w:tc>
        <w:tc>
          <w:tcPr>
            <w:tcW w:w="4536" w:type="dxa"/>
            <w:vAlign w:val="center"/>
          </w:tcPr>
          <w:p w14:paraId="2ED338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总分30/40，约第72百分位；规则安全和兴趣转化类题目表现较好。</w:t>
            </w:r>
          </w:p>
        </w:tc>
        <w:tc>
          <w:tcPr>
            <w:tcW w:w="3685" w:type="dxa"/>
            <w:vAlign w:val="center"/>
          </w:tcPr>
          <w:p w14:paraId="5AC71FD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能力基础较好，整体处于中等偏上。</w:t>
            </w:r>
          </w:p>
        </w:tc>
      </w:tr>
      <w:tr w14:paraId="1C4AA19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75908A0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过程数据</w:t>
            </w:r>
          </w:p>
        </w:tc>
        <w:tc>
          <w:tcPr>
            <w:tcW w:w="4536" w:type="dxa"/>
            <w:shd w:val="clear" w:color="auto" w:fill="F3F6FA"/>
            <w:vAlign w:val="center"/>
          </w:tcPr>
          <w:p w14:paraId="60D7520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Q2、Q5、Q8高修正投入，说明在诊断、价值澄清和探究支架上存在明显权衡。</w:t>
            </w:r>
          </w:p>
        </w:tc>
        <w:tc>
          <w:tcPr>
            <w:tcW w:w="3685" w:type="dxa"/>
            <w:shd w:val="clear" w:color="auto" w:fill="F3F6FA"/>
            <w:vAlign w:val="center"/>
          </w:tcPr>
          <w:p w14:paraId="6FB4849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这些情境是能力机制解释重点，不是简单低分题。</w:t>
            </w:r>
          </w:p>
        </w:tc>
      </w:tr>
      <w:tr w14:paraId="2AF81611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F3DD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访谈证据</w:t>
            </w:r>
          </w:p>
        </w:tc>
        <w:tc>
          <w:tcPr>
            <w:tcW w:w="4536" w:type="dxa"/>
            <w:vAlign w:val="center"/>
          </w:tcPr>
          <w:p w14:paraId="00A887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追问后能补充儿童视角、材料支架和价值澄清思路，但初始策略具体性不足。</w:t>
            </w:r>
          </w:p>
        </w:tc>
        <w:tc>
          <w:tcPr>
            <w:tcW w:w="3685" w:type="dxa"/>
            <w:vAlign w:val="center"/>
          </w:tcPr>
          <w:p w14:paraId="329A17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具有较好可发展潜力，需要训练策略稳定性。</w:t>
            </w:r>
          </w:p>
        </w:tc>
      </w:tr>
      <w:tr w14:paraId="60CFA66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0F23AE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综合判断</w:t>
            </w:r>
          </w:p>
        </w:tc>
        <w:tc>
          <w:tcPr>
            <w:tcW w:w="4536" w:type="dxa"/>
            <w:shd w:val="clear" w:color="auto" w:fill="F3F6FA"/>
            <w:vAlign w:val="center"/>
          </w:tcPr>
          <w:p w14:paraId="5B4998E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三类证据总体一致：优势较清楚，发展点集中。</w:t>
            </w:r>
          </w:p>
        </w:tc>
        <w:tc>
          <w:tcPr>
            <w:tcW w:w="3685" w:type="dxa"/>
            <w:shd w:val="clear" w:color="auto" w:fill="F3F6FA"/>
            <w:vAlign w:val="center"/>
          </w:tcPr>
          <w:p w14:paraId="41486F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判断可信度较高，建议结合现场观察继续验证。</w:t>
            </w:r>
          </w:p>
        </w:tc>
      </w:tr>
    </w:tbl>
    <w:p w14:paraId="71FF4CC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</w:rPr>
        <w:t>D6 基于既定指标体系的能力画像</w:t>
      </w:r>
    </w:p>
    <w:tbl>
      <w:tblPr>
        <w:tblStyle w:val="33"/>
        <w:tblW w:w="0" w:type="auto"/>
        <w:jc w:val="center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1511"/>
        <w:gridCol w:w="3962"/>
        <w:gridCol w:w="2601"/>
      </w:tblGrid>
      <w:tr w14:paraId="57EA2F80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4F81BD"/>
            <w:vAlign w:val="center"/>
          </w:tcPr>
          <w:p w14:paraId="51E1C02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二级指标</w:t>
            </w:r>
          </w:p>
        </w:tc>
        <w:tc>
          <w:tcPr>
            <w:tcW w:w="1701" w:type="dxa"/>
            <w:shd w:val="clear" w:color="auto" w:fill="4F81BD"/>
            <w:vAlign w:val="center"/>
          </w:tcPr>
          <w:p w14:paraId="01A845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综合判断</w:t>
            </w:r>
          </w:p>
        </w:tc>
        <w:tc>
          <w:tcPr>
            <w:tcW w:w="4536" w:type="dxa"/>
            <w:shd w:val="clear" w:color="auto" w:fill="4F81BD"/>
            <w:vAlign w:val="center"/>
          </w:tcPr>
          <w:p w14:paraId="0FE425C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证据摘要</w:t>
            </w:r>
          </w:p>
        </w:tc>
        <w:tc>
          <w:tcPr>
            <w:tcW w:w="2948" w:type="dxa"/>
            <w:shd w:val="clear" w:color="auto" w:fill="4F81BD"/>
            <w:vAlign w:val="center"/>
          </w:tcPr>
          <w:p w14:paraId="3B37C72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发展提示</w:t>
            </w:r>
          </w:p>
        </w:tc>
      </w:tr>
      <w:tr w14:paraId="2CDB411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0FBEB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对游戏的特点、价值的理解</w:t>
            </w:r>
          </w:p>
        </w:tc>
        <w:tc>
          <w:tcPr>
            <w:tcW w:w="1701" w:type="dxa"/>
            <w:vAlign w:val="center"/>
          </w:tcPr>
          <w:p w14:paraId="4C5DFB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中等偏上</w:t>
            </w:r>
          </w:p>
        </w:tc>
        <w:tc>
          <w:tcPr>
            <w:tcW w:w="4536" w:type="dxa"/>
            <w:vAlign w:val="center"/>
          </w:tcPr>
          <w:p w14:paraId="6F8DB4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能理解儿童兴趣和角色经验；Q5追问后能区分游戏表征与现实价值。</w:t>
            </w:r>
          </w:p>
        </w:tc>
        <w:tc>
          <w:tcPr>
            <w:tcW w:w="2948" w:type="dxa"/>
            <w:vAlign w:val="center"/>
          </w:tcPr>
          <w:p w14:paraId="372570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进一步练习先理解儿童游戏意义，再进行安全或价值澄清。</w:t>
            </w:r>
          </w:p>
        </w:tc>
      </w:tr>
      <w:tr w14:paraId="01495999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A"/>
            <w:vAlign w:val="center"/>
          </w:tcPr>
          <w:p w14:paraId="33C64B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游戏条件的保障</w:t>
            </w:r>
          </w:p>
        </w:tc>
        <w:tc>
          <w:tcPr>
            <w:tcW w:w="1701" w:type="dxa"/>
            <w:shd w:val="clear" w:color="auto" w:fill="F3F6FA"/>
            <w:vAlign w:val="center"/>
          </w:tcPr>
          <w:p w14:paraId="1428C3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</w:t>
            </w:r>
          </w:p>
        </w:tc>
        <w:tc>
          <w:tcPr>
            <w:tcW w:w="4536" w:type="dxa"/>
            <w:shd w:val="clear" w:color="auto" w:fill="F3F6FA"/>
            <w:vAlign w:val="center"/>
          </w:tcPr>
          <w:p w14:paraId="5E8468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能意识到材料支持价值，但材料层次、环境动态调整和连续观察证据不足。</w:t>
            </w:r>
          </w:p>
        </w:tc>
        <w:tc>
          <w:tcPr>
            <w:tcW w:w="2948" w:type="dxa"/>
            <w:shd w:val="clear" w:color="auto" w:fill="F3F6FA"/>
            <w:vAlign w:val="center"/>
          </w:tcPr>
          <w:p w14:paraId="249A22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建立材料观察与动态投放记录。</w:t>
            </w:r>
          </w:p>
        </w:tc>
      </w:tr>
      <w:tr w14:paraId="429D259B">
        <w:tblPrEx>
          <w:tblBorders>
            <w:top w:val="single" w:color="B7B7B7" w:sz="6" w:space="0"/>
            <w:left w:val="single" w:color="B7B7B7" w:sz="6" w:space="0"/>
            <w:bottom w:val="single" w:color="B7B7B7" w:sz="6" w:space="0"/>
            <w:right w:val="single" w:color="B7B7B7" w:sz="6" w:space="0"/>
            <w:insideH w:val="single" w:color="B7B7B7" w:sz="6" w:space="0"/>
            <w:insideV w:val="single" w:color="B7B7B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A4F7E2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游戏支持与指导</w:t>
            </w:r>
          </w:p>
        </w:tc>
        <w:tc>
          <w:tcPr>
            <w:tcW w:w="1701" w:type="dxa"/>
            <w:vAlign w:val="center"/>
          </w:tcPr>
          <w:p w14:paraId="64F7955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中等偏上</w:t>
            </w:r>
          </w:p>
        </w:tc>
        <w:tc>
          <w:tcPr>
            <w:tcW w:w="4536" w:type="dxa"/>
            <w:vAlign w:val="center"/>
          </w:tcPr>
          <w:p w14:paraId="0251B5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多数情境中不简单制止儿童，但在求助和探究停滞情境中仍容易直接帮助。</w:t>
            </w:r>
          </w:p>
        </w:tc>
        <w:tc>
          <w:tcPr>
            <w:tcW w:w="2948" w:type="dxa"/>
            <w:vAlign w:val="center"/>
          </w:tcPr>
          <w:p w14:paraId="404FAA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强化低控制、可退出、最小帮助的介入方式。</w:t>
            </w:r>
          </w:p>
        </w:tc>
      </w:tr>
    </w:tbl>
    <w:p w14:paraId="1E79AED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E79"/>
        </w:rPr>
        <w:t>手册使用建议</w:t>
      </w:r>
    </w:p>
    <w:p w14:paraId="735D0DD1">
      <w:pPr>
        <w:rPr>
          <w:rFonts w:hint="default" w:ascii="Times New Roman" w:hAnsi="Times New Roman" w:eastAsia="宋体" w:cs="Times New Roman"/>
          <w:b w:val="0"/>
          <w:sz w:val="21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手册应与《幼儿园教师游戏支持与引导能力AI访谈实施手册》配套使用。实施手册输出访谈证据，本手册负责将证据转化为报告。后续若题目、赋分表、指标映射表或访谈提示词发生调整，应同步更新本手册中的字段模板、能力画像规则和模拟样例，避免报告口径与测评/访谈系统不一致。</w:t>
      </w:r>
    </w:p>
    <w:p w14:paraId="11E613E5">
      <w:pPr>
        <w:rPr>
          <w:rFonts w:hint="default" w:ascii="Times New Roman" w:hAnsi="Times New Roman" w:eastAsia="宋体" w:cs="Times New Roman"/>
          <w:b w:val="0"/>
          <w:sz w:val="21"/>
        </w:rPr>
      </w:pPr>
    </w:p>
    <w:p w14:paraId="21D29D60">
      <w:pPr>
        <w:rPr>
          <w:rFonts w:hint="default" w:ascii="Times New Roman" w:hAnsi="Times New Roman" w:eastAsia="宋体" w:cs="Times New Roman"/>
          <w:b w:val="0"/>
          <w:sz w:val="21"/>
        </w:rPr>
      </w:pPr>
    </w:p>
    <w:sectPr>
      <w:footerReference r:id="rId5" w:type="default"/>
      <w:pgSz w:w="12240" w:h="15840"/>
      <w:pgMar w:top="1191" w:right="1134" w:bottom="1191" w:left="1134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02CB5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3F7F3">
                          <w:pPr>
                            <w:pStyle w:val="2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23F7F3">
                    <w:pPr>
                      <w:pStyle w:val="2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093A30"/>
    <w:rsid w:val="57C0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微软雅黑" w:hAnsi="微软雅黑" w:eastAsia="微软雅黑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3626</Words>
  <Characters>4585</Characters>
  <Lines>0</Lines>
  <Paragraphs>0</Paragraphs>
  <TotalTime>14</TotalTime>
  <ScaleCrop>false</ScaleCrop>
  <LinksUpToDate>false</LinksUpToDate>
  <CharactersWithSpaces>4605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2013-12-23T23:15:00Z</dcterms:created>
  <dcterms:modified xsi:type="dcterms:W3CDTF">2026-07-02T12:22:52Z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eyJoZGlkIjoiYzdjMjJmYTUxM2NiOGQyZmZjZGE4MmE4YzhkN2VlM2YiLCJ1c2VySWQiOiIyNTk3MTk3NDcifQ==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EB095F4564714E43BE2931D0F897E1BD_12</vt:lpwstr>
  </property>
</Properties>
</file>