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360"/>
        <w:jc w:val="center"/>
      </w:pPr>
      <w:r>
        <w:rPr>
          <w:rFonts w:ascii="Microsoft YaHei" w:hAnsi="Microsoft YaHei" w:eastAsia="Microsoft YaHei"/>
          <w:b/>
          <w:i w:val="0"/>
          <w:color w:val="9A6700"/>
          <w:sz w:val="21"/>
        </w:rPr>
        <w:t>TCIM · 共同决策记录</w:t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i w:val="0"/>
          <w:color w:val="183153"/>
          <w:sz w:val="56"/>
        </w:rPr>
        <w:t>可替代路径原则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25"/>
        </w:rPr>
        <w:t>用于五表、运行时、Evidence判断与后续人工复核的一致语义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/>
          <w:i w:val="0"/>
          <w:color w:val="9B1C1C"/>
          <w:sz w:val="20"/>
        </w:rPr>
        <w:t>研究比较版 · 不等同于正式测评效度发布</w:t>
      </w:r>
    </w:p>
    <w:p>
      <w:pPr>
        <w:spacing w:before="2200"/>
        <w:jc w:val="center"/>
      </w:pPr>
      <w:r>
        <w:rPr>
          <w:rFonts w:ascii="Microsoft YaHei" w:hAnsi="Microsoft YaHei" w:eastAsia="Microsoft YaHei"/>
          <w:b/>
          <w:i w:val="0"/>
          <w:color w:val="183153"/>
          <w:sz w:val="20"/>
        </w:rPr>
        <w:t>版本：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V0.2 / DR-20260830-01</w:t>
        <w:br/>
      </w:r>
      <w:r>
        <w:rPr>
          <w:rFonts w:ascii="Microsoft YaHei" w:hAnsi="Microsoft YaHei" w:eastAsia="Microsoft YaHei"/>
          <w:b/>
          <w:i w:val="0"/>
          <w:color w:val="183153"/>
          <w:sz w:val="20"/>
        </w:rPr>
        <w:t>日期：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2026年8月30日</w:t>
        <w:br/>
      </w:r>
      <w:r>
        <w:rPr>
          <w:rFonts w:ascii="Microsoft YaHei" w:hAnsi="Microsoft YaHei" w:eastAsia="Microsoft YaHei"/>
          <w:b/>
          <w:i w:val="0"/>
          <w:color w:val="183153"/>
          <w:sz w:val="20"/>
        </w:rPr>
        <w:t>适用对象：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研究负责人、程序员、编程AI、后续复核者</w:t>
        <w:br/>
      </w:r>
    </w:p>
    <w:p>
      <w:r>
        <w:br w:type="page"/>
      </w:r>
    </w:p>
    <w:p>
      <w:pPr>
        <w:pStyle w:val="Heading1"/>
      </w:pPr>
      <w:r>
        <w:t>一、决定内容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9A6700"/>
                <w:sz w:val="21"/>
              </w:rPr>
              <w:t>正式决定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同一能力下列出的A/B/C（或A/B）路径，是可替代的专业实现路径。教师只要在具体情境中体现其中任意一条，并满足相应证据锚点，即可形成支持性证据；不得要求教师同时体现全部路径，也不得因某一路径未出现而直接判为能力不足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50"/>
        <w:gridCol w:w="7010"/>
      </w:tblGrid>
      <w:tr>
        <w:trPr>
          <w:tblHeader w:val="true"/>
          <w:cantSplit/>
        </w:trPr>
        <w:tc>
          <w:tcPr>
            <w:tcW w:type="dxa" w:w="235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项目</w:t>
            </w:r>
          </w:p>
        </w:tc>
        <w:tc>
          <w:tcPr>
            <w:tcW w:type="dxa" w:w="701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记录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决定日期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2026年8月30日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决定状态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研究负责人确认；SIMULATION_ACTIVE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决定对象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表3的path_refs及其与表2多路径Ontology的关系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替代方案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ALL_OF（全部满足）——否决；空path_refs——否决；能力证据统一ANY_OF——通过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修订触发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真人试用或专家证据表明路径并非同一能力的可替代实现时，按单元重新分组或降级为CAPABILITY_ONLY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决定理由：幼儿园游戏支持具有情境性、多样性和文化差异。同一能力可通过不同强度、材料安排、互动姿态或时间顺序体现。把路径设为全部必需会制造虚假的单一标准，并压缩Dialogue Agent理解教师独特实践的空间。第二轮复核进一步确认：路径不能仅凭编号配对，必须同时核对证据命题、能力引用和路径描述。</w:t>
      </w:r>
    </w:p>
    <w:p>
      <w:r>
        <w:br w:type="page"/>
      </w:r>
    </w:p>
    <w:p>
      <w:pPr>
        <w:pStyle w:val="Heading1"/>
      </w:pPr>
      <w:r>
        <w:t>二、系统中的位置与责任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4200"/>
        <w:gridCol w:w="3060"/>
      </w:tblGrid>
      <w:tr>
        <w:trPr>
          <w:tblHeader w:val="true"/>
          <w:cantSplit/>
        </w:trPr>
        <w:tc>
          <w:tcPr>
            <w:tcW w:type="dxa" w:w="21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模块</w:t>
            </w:r>
          </w:p>
        </w:tc>
        <w:tc>
          <w:tcPr>
            <w:tcW w:type="dxa" w:w="42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如何使用本原则</w:t>
            </w:r>
          </w:p>
        </w:tc>
        <w:tc>
          <w:tcPr>
            <w:tcW w:type="dxa" w:w="30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不得做什么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Ontology / 新表2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提供同一能力的多种可能实现路径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把路径写成固定流程或标准答案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Dialogue Agent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把路径作为理解与探询的候选视角，自主决定是否使用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机械逐条询问A/B/C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Evidence State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记录教师原话支持了哪类能力命题及情境边界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因未覆盖所有路径降低能力结论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Evidence Validator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验证证据锚点、来源独立性和结论上限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要求教师输出path_id；把AI诱导当证据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RRMC（后续）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仅在明显偏航、关系风险或长期证据缺口时低频提示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接管每轮对话方向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16794B"/>
                <w:sz w:val="21"/>
              </w:rPr>
              <w:t>权力边界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本原则扩大专业理解空间，不扩大无依据画像的权力。路径用于“看见更多可能”，证据合同用于“限制能下多大的结论”。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三、可执行例子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以Q08为例，若教师清楚说明自己先追问儿童困难、再给最小提示并观察儿童是否继续探索，这可以支持A路径。程序可以记录该能力的支持性证据，而无需等待教师再谈材料调整B或共同示范C。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情况</w:t>
            </w:r>
          </w:p>
        </w:tc>
        <w:tc>
          <w:tcPr>
            <w:tcW w:type="dxa" w:w="54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教师自发给出A路径且满足锚点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可形成支持性证据；继续问不问由Dialogue Agent根据整体信息价值决定</w:t>
            </w:r>
          </w:p>
        </w:tc>
      </w:tr>
      <w:tr>
        <w:trPr>
          <w:cantSplit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教师只说“我会引导一下”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信息不足；可自然追问具体做法、依据或儿童反应</w:t>
            </w:r>
          </w:p>
        </w:tc>
      </w:tr>
      <w:tr>
        <w:trPr>
          <w:cantSplit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AI先提出B路径，教师只回答“对”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属于受提示认同；不得证明教师原有能力</w:t>
            </w:r>
          </w:p>
        </w:tc>
      </w:tr>
      <w:tr>
        <w:trPr>
          <w:cantSplit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教师给出表外但合理的新做法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不得因不在A/B/C中拒绝；保留为新路径候选并核查证据</w:t>
            </w:r>
          </w:p>
        </w:tc>
      </w:tr>
      <w:tr>
        <w:trPr>
          <w:cantSplit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A/B/C实际对应不同能力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触发人工复核；重新分组，不继续沿用ANY_OF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ANY_OF不是“任意一句都算证据”，仍须满足support_anchors和来源要求。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ANY_OF不是“只看一条就结束”，Dialogue Agent可为理解教师而继续开放探索。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ANY_OF不排斥新路径；表外合理实践应进入候选治理流程。</w:t>
      </w:r>
    </w:p>
    <w:p>
      <w:r>
        <w:br w:type="page"/>
      </w:r>
    </w:p>
    <w:p>
      <w:pPr>
        <w:pStyle w:val="Heading1"/>
      </w:pPr>
      <w:r>
        <w:t>四、落地字段与复核机制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2500"/>
        <w:gridCol w:w="4660"/>
      </w:tblGrid>
      <w:tr>
        <w:trPr>
          <w:tblHeader w:val="true"/>
          <w:cantSplit/>
        </w:trPr>
        <w:tc>
          <w:tcPr>
            <w:tcW w:type="dxa" w:w="22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字段</w:t>
            </w:r>
          </w:p>
        </w:tc>
        <w:tc>
          <w:tcPr>
            <w:tcW w:type="dxa" w:w="25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允许值</w:t>
            </w:r>
          </w:p>
        </w:tc>
        <w:tc>
          <w:tcPr>
            <w:tcW w:type="dxa" w:w="46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本版规则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path_relation_mode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ALTERNATIVE_PATHS / CAPABILITY_ONLY / NOT_APPLICABLE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能力证据本版均为ALTERNATIVE_PATHS；来源政策为NOT_APPLICABLE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path_match_rule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ANY_OF / NONE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多路径只允许ANY_OF；不适用时NONE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path_refs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正式path_id数组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能力证据2—3条同题引用；来源政策为空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path_relation_reason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可审计文本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记录为什么属于同一可替代组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2E5AAC"/>
                <w:sz w:val="21"/>
              </w:rPr>
              <w:t>后续复核最重要的问题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不是问“教师是否把A/B/C全部说到”，而是问：这些路径是否真的体现同一能力？每条路径的适用条件和风险是否清楚？证据锚点能否区分真实判断与事后附和？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若未来证据推翻本决定，应保留DR-20260830-01和旧配置指纹，新建决策记录与版本号，说明受影响题目、路径组、Fixture和画像结论，确保研究结果可复现。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i w:val="0"/>
        <w:color w:val="667085"/>
        <w:sz w:val="17"/>
      </w:rPr>
      <w:t>TCIM新五表治理共同决策记录 ·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4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1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15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TCIM新五表治理共同决策记录：可替代路径原则</dc:title>
  <dc:subject/>
  <dc:creator>TCIM研究项目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