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left"/>
      </w:pPr>
      <w:r>
        <w:rPr>
          <w:rFonts w:ascii="Arial" w:cs="Arial" w:eastAsia="Arial" w:hAnsi="Arial"/>
          <w:b/>
          <w:bCs/>
          <w:color w:val="1BB882"/>
          <w:sz w:val="20"/>
          <w:szCs w:val="20"/>
        </w:rPr>
        <w:t xml:space="preserve">GRATIA</w:t>
      </w:r>
    </w:p>
    <w:p>
      <w:pPr>
        <w:pBdr>
          <w:bottom w:val="single" w:color="1BB882" w:sz="6" w:space="12"/>
        </w:pBdr>
        <w:spacing w:after="120"/>
      </w:pPr>
      <w:r>
        <w:rPr>
          <w:rFonts w:ascii="Arial" w:cs="Arial" w:eastAsia="Arial" w:hAnsi="Arial"/>
          <w:b/>
          <w:bCs/>
          <w:color w:val="032729"/>
          <w:sz w:val="48"/>
          <w:szCs w:val="48"/>
        </w:rPr>
        <w:t xml:space="preserve">Series A Readiness:
Operational &amp; Technical Playbook</w:t>
      </w:r>
    </w:p>
    <w:p>
      <w:pPr>
        <w:spacing w:before="300" w:after="80"/>
      </w:pPr>
      <w:r>
        <w:rPr>
          <w:rFonts w:ascii="Arial" w:cs="Arial" w:eastAsia="Arial" w:hAnsi="Arial"/>
          <w:color w:val="4A6B6D"/>
          <w:sz w:val="22"/>
          <w:szCs w:val="22"/>
        </w:rPr>
        <w:t xml:space="preserve">Extracted from investor stress-test simulation</w:t>
      </w:r>
    </w:p>
    <w:p>
      <w:pPr>
        <w:spacing w:after="80"/>
      </w:pPr>
      <w:r>
        <w:rPr>
          <w:rFonts w:ascii="Arial" w:cs="Arial" w:eastAsia="Arial" w:hAnsi="Arial"/>
          <w:color w:val="8AACAE"/>
          <w:sz w:val="20"/>
          <w:szCs w:val="20"/>
        </w:rPr>
        <w:t xml:space="preserve">February 2026  |  Internal document  |  Not for distribution</w:t>
      </w:r>
    </w:p>
    <w:p>
      <w:pPr>
        <w:spacing w:before="600"/>
      </w:pPr>
      <w:r>
        <w:rPr>
          <w:rFonts w:ascii="Arial" w:cs="Arial" w:eastAsia="Arial" w:hAnsi="Arial"/>
          <w:color w:val="4A6B6D"/>
          <w:sz w:val="21"/>
          <w:szCs w:val="21"/>
        </w:rPr>
        <w:t xml:space="preserve">This document captures every operational, technical, architectural, and strategic action item surfaced during investor pitch stress-testing. It is organized by urgency and owner.</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32729"/>
          <w:sz w:val="32"/>
          <w:szCs w:val="32"/>
        </w:rPr>
        <w:t xml:space="preserve">1. Metrics to Pull Before Any Partner Meeting</w:t>
      </w:r>
    </w:p>
    <w:p>
      <w:pPr>
        <w:spacing w:after="160"/>
      </w:pPr>
      <w:r>
        <w:rPr>
          <w:rFonts w:ascii="Arial" w:cs="Arial" w:eastAsia="Arial" w:hAnsi="Arial"/>
          <w:color w:val="4A6B6D"/>
          <w:sz w:val="21"/>
          <w:szCs w:val="21"/>
        </w:rPr>
        <w:t xml:space="preserve">These numbers will be asked. Not having them is worse than having bad ones.</w:t>
      </w:r>
    </w:p>
    <w:p>
      <w:pPr>
        <w:pStyle w:val="Heading2"/>
        <w:spacing w:before="280" w:after="160"/>
      </w:pPr>
      <w:r>
        <w:rPr>
          <w:rFonts w:ascii="Arial" w:cs="Arial" w:eastAsia="Arial" w:hAnsi="Arial"/>
          <w:b/>
          <w:bCs/>
          <w:color w:val="1BB882"/>
          <w:sz w:val="26"/>
          <w:szCs w:val="26"/>
        </w:rPr>
        <w:t xml:space="preserve">1.1 Must-Have Numbers (Fill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60"/>
        <w:gridCol w:w="2500"/>
      </w:tblGrid>
      <w:tr>
        <w:tc>
          <w:tcPr>
            <w:tcW w:type="dxa" w:w="3200"/>
            <w:tcBorders>
              <w:top w:val="single" w:color="D0D8D5" w:sz="1"/>
              <w:left w:val="single" w:color="D0D8D5" w:sz="1"/>
              <w:bottom w:val="single" w:color="D0D8D5" w:sz="1"/>
              <w:right w:val="single" w:color="D0D8D5" w:sz="1"/>
            </w:tcBorders>
            <w:shd w:fill="03272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660"/>
            <w:tcBorders>
              <w:top w:val="single" w:color="D0D8D5" w:sz="1"/>
              <w:left w:val="single" w:color="D0D8D5" w:sz="1"/>
              <w:bottom w:val="single" w:color="D0D8D5" w:sz="1"/>
              <w:right w:val="single" w:color="D0D8D5" w:sz="1"/>
            </w:tcBorders>
            <w:shd w:fill="032729"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500"/>
            <w:tcBorders>
              <w:top w:val="single" w:color="D0D8D5" w:sz="1"/>
              <w:left w:val="single" w:color="D0D8D5" w:sz="1"/>
              <w:bottom w:val="single" w:color="D0D8D5" w:sz="1"/>
              <w:right w:val="single" w:color="D0D8D5" w:sz="1"/>
            </w:tcBorders>
            <w:shd w:fill="03272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20"/>
                <w:szCs w:val="20"/>
              </w:rPr>
              <w:t xml:space="preserve">Current ops touch % per project</w:t>
            </w:r>
          </w:p>
        </w:tc>
        <w:tc>
          <w:tcPr>
            <w:tcW w:type="dxa" w:w="366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Proves marketplace vs. agency. Goes on slide 19.</w:t>
            </w:r>
          </w:p>
        </w:tc>
        <w:tc>
          <w:tcPr>
            <w:tcW w:type="dxa" w:w="2500"/>
            <w:tcBorders>
              <w:top w:val="single" w:color="D0D8D5" w:sz="1"/>
              <w:left w:val="single" w:color="D0D8D5" w:sz="1"/>
              <w:bottom w:val="single" w:color="D0D8D5" w:sz="1"/>
              <w:right w:val="single" w:color="D0D8D5" w:sz="1"/>
            </w:tcBorders>
            <w:shd w:fill="FFF3E0" w:val="clear"/>
            <w:tcMar>
              <w:top w:type="dxa" w:w="80"/>
              <w:left w:type="dxa" w:w="120"/>
              <w:bottom w:type="dxa" w:w="80"/>
              <w:right w:type="dxa" w:w="120"/>
            </w:tcMar>
          </w:tcPr>
          <w:p>
            <w:r>
              <w:rPr>
                <w:rFonts w:ascii="Arial" w:cs="Arial" w:eastAsia="Arial" w:hAnsi="Arial"/>
                <w:color w:val="E65100"/>
                <w:sz w:val="20"/>
                <w:szCs w:val="20"/>
              </w:rPr>
              <w:t xml:space="preserve">Fill in: [X]%</w:t>
            </w:r>
          </w:p>
        </w:tc>
      </w:tr>
      <w:tr>
        <w:tc>
          <w:tcPr>
            <w:tcW w:type="dxa" w:w="320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20"/>
                <w:szCs w:val="20"/>
              </w:rPr>
              <w:t xml:space="preserve">Top-quartile analyst retention at 12 months</w:t>
            </w:r>
          </w:p>
        </w:tc>
        <w:tc>
          <w:tcPr>
            <w:tcW w:type="dxa" w:w="366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Proves supply lock-in is structural, not theoretical.</w:t>
            </w:r>
          </w:p>
        </w:tc>
        <w:tc>
          <w:tcPr>
            <w:tcW w:type="dxa" w:w="2500"/>
            <w:tcBorders>
              <w:top w:val="single" w:color="D0D8D5" w:sz="1"/>
              <w:left w:val="single" w:color="D0D8D5" w:sz="1"/>
              <w:bottom w:val="single" w:color="D0D8D5" w:sz="1"/>
              <w:right w:val="single" w:color="D0D8D5" w:sz="1"/>
            </w:tcBorders>
            <w:shd w:fill="FFF3E0" w:val="clear"/>
            <w:tcMar>
              <w:top w:type="dxa" w:w="80"/>
              <w:left w:type="dxa" w:w="120"/>
              <w:bottom w:type="dxa" w:w="80"/>
              <w:right w:type="dxa" w:w="120"/>
            </w:tcMar>
          </w:tcPr>
          <w:p>
            <w:r>
              <w:rPr>
                <w:rFonts w:ascii="Arial" w:cs="Arial" w:eastAsia="Arial" w:hAnsi="Arial"/>
                <w:color w:val="E65100"/>
                <w:sz w:val="20"/>
                <w:szCs w:val="20"/>
              </w:rPr>
              <w:t xml:space="preserve">Fill in: [X]%</w:t>
            </w:r>
          </w:p>
        </w:tc>
      </w:tr>
      <w:tr>
        <w:tc>
          <w:tcPr>
            <w:tcW w:type="dxa" w:w="320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20"/>
                <w:szCs w:val="20"/>
              </w:rPr>
              <w:t xml:space="preserve">Apollo as % of total revenue</w:t>
            </w:r>
          </w:p>
        </w:tc>
        <w:tc>
          <w:tcPr>
            <w:tcW w:type="dxa" w:w="366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Concentration risk. Partners will calculate this themselves.</w:t>
            </w:r>
          </w:p>
        </w:tc>
        <w:tc>
          <w:tcPr>
            <w:tcW w:type="dxa" w:w="2500"/>
            <w:tcBorders>
              <w:top w:val="single" w:color="D0D8D5" w:sz="1"/>
              <w:left w:val="single" w:color="D0D8D5" w:sz="1"/>
              <w:bottom w:val="single" w:color="D0D8D5" w:sz="1"/>
              <w:right w:val="single" w:color="D0D8D5" w:sz="1"/>
            </w:tcBorders>
            <w:shd w:fill="FFF3E0" w:val="clear"/>
            <w:tcMar>
              <w:top w:type="dxa" w:w="80"/>
              <w:left w:type="dxa" w:w="120"/>
              <w:bottom w:type="dxa" w:w="80"/>
              <w:right w:type="dxa" w:w="120"/>
            </w:tcMar>
          </w:tcPr>
          <w:p>
            <w:r>
              <w:rPr>
                <w:rFonts w:ascii="Arial" w:cs="Arial" w:eastAsia="Arial" w:hAnsi="Arial"/>
                <w:color w:val="E65100"/>
                <w:sz w:val="20"/>
                <w:szCs w:val="20"/>
              </w:rPr>
              <w:t xml:space="preserve">Fill in: [X]%</w:t>
            </w:r>
          </w:p>
        </w:tc>
      </w:tr>
      <w:tr>
        <w:tc>
          <w:tcPr>
            <w:tcW w:type="dxa" w:w="320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20"/>
                <w:szCs w:val="20"/>
              </w:rPr>
              <w:t xml:space="preserve">SMB base as % of revenue (ex-Apollo)</w:t>
            </w:r>
          </w:p>
        </w:tc>
        <w:tc>
          <w:tcPr>
            <w:tcW w:type="dxa" w:w="366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Proves model works broadly, not just one whale.</w:t>
            </w:r>
          </w:p>
        </w:tc>
        <w:tc>
          <w:tcPr>
            <w:tcW w:type="dxa" w:w="2500"/>
            <w:tcBorders>
              <w:top w:val="single" w:color="D0D8D5" w:sz="1"/>
              <w:left w:val="single" w:color="D0D8D5" w:sz="1"/>
              <w:bottom w:val="single" w:color="D0D8D5" w:sz="1"/>
              <w:right w:val="single" w:color="D0D8D5" w:sz="1"/>
            </w:tcBorders>
            <w:shd w:fill="FFF3E0" w:val="clear"/>
            <w:tcMar>
              <w:top w:type="dxa" w:w="80"/>
              <w:left w:type="dxa" w:w="120"/>
              <w:bottom w:type="dxa" w:w="80"/>
              <w:right w:type="dxa" w:w="120"/>
            </w:tcMar>
          </w:tcPr>
          <w:p>
            <w:r>
              <w:rPr>
                <w:rFonts w:ascii="Arial" w:cs="Arial" w:eastAsia="Arial" w:hAnsi="Arial"/>
                <w:color w:val="E65100"/>
                <w:sz w:val="20"/>
                <w:szCs w:val="20"/>
              </w:rPr>
              <w:t xml:space="preserve">Fill in: [X]%</w:t>
            </w:r>
          </w:p>
        </w:tc>
      </w:tr>
      <w:tr>
        <w:tc>
          <w:tcPr>
            <w:tcW w:type="dxa" w:w="320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20"/>
                <w:szCs w:val="20"/>
              </w:rPr>
              <w:t xml:space="preserve">Match acceptance rate by quarter (Q1–Q4 2025)</w:t>
            </w:r>
          </w:p>
        </w:tc>
        <w:tc>
          <w:tcPr>
            <w:tcW w:type="dxa" w:w="366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The single most important curve. Proves data flywheel.</w:t>
            </w:r>
          </w:p>
        </w:tc>
        <w:tc>
          <w:tcPr>
            <w:tcW w:type="dxa" w:w="2500"/>
            <w:tcBorders>
              <w:top w:val="single" w:color="D0D8D5" w:sz="1"/>
              <w:left w:val="single" w:color="D0D8D5" w:sz="1"/>
              <w:bottom w:val="single" w:color="D0D8D5" w:sz="1"/>
              <w:right w:val="single" w:color="D0D8D5" w:sz="1"/>
            </w:tcBorders>
            <w:shd w:fill="FFF3E0" w:val="clear"/>
            <w:tcMar>
              <w:top w:type="dxa" w:w="80"/>
              <w:left w:type="dxa" w:w="120"/>
              <w:bottom w:type="dxa" w:w="80"/>
              <w:right w:type="dxa" w:w="120"/>
            </w:tcMar>
          </w:tcPr>
          <w:p>
            <w:r>
              <w:rPr>
                <w:rFonts w:ascii="Arial" w:cs="Arial" w:eastAsia="Arial" w:hAnsi="Arial"/>
                <w:color w:val="E65100"/>
                <w:sz w:val="20"/>
                <w:szCs w:val="20"/>
              </w:rPr>
              <w:t xml:space="preserve">Pull from data</w:t>
            </w:r>
          </w:p>
        </w:tc>
      </w:tr>
      <w:tr>
        <w:tc>
          <w:tcPr>
            <w:tcW w:type="dxa" w:w="320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20"/>
                <w:szCs w:val="20"/>
              </w:rPr>
              <w:t xml:space="preserve">Rework rate by quarter</w:t>
            </w:r>
          </w:p>
        </w:tc>
        <w:tc>
          <w:tcPr>
            <w:tcW w:type="dxa" w:w="366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Proves quality is improving, not just volume.</w:t>
            </w:r>
          </w:p>
        </w:tc>
        <w:tc>
          <w:tcPr>
            <w:tcW w:type="dxa" w:w="2500"/>
            <w:tcBorders>
              <w:top w:val="single" w:color="D0D8D5" w:sz="1"/>
              <w:left w:val="single" w:color="D0D8D5" w:sz="1"/>
              <w:bottom w:val="single" w:color="D0D8D5" w:sz="1"/>
              <w:right w:val="single" w:color="D0D8D5" w:sz="1"/>
            </w:tcBorders>
            <w:shd w:fill="FFF3E0" w:val="clear"/>
            <w:tcMar>
              <w:top w:type="dxa" w:w="80"/>
              <w:left w:type="dxa" w:w="120"/>
              <w:bottom w:type="dxa" w:w="80"/>
              <w:right w:type="dxa" w:w="120"/>
            </w:tcMar>
          </w:tcPr>
          <w:p>
            <w:r>
              <w:rPr>
                <w:rFonts w:ascii="Arial" w:cs="Arial" w:eastAsia="Arial" w:hAnsi="Arial"/>
                <w:color w:val="E65100"/>
                <w:sz w:val="20"/>
                <w:szCs w:val="20"/>
              </w:rPr>
              <w:t xml:space="preserve">Pull from data</w:t>
            </w:r>
          </w:p>
        </w:tc>
      </w:tr>
      <w:tr>
        <w:tc>
          <w:tcPr>
            <w:tcW w:type="dxa" w:w="320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20"/>
                <w:szCs w:val="20"/>
              </w:rPr>
              <w:t xml:space="preserve">Gross margin per project over time</w:t>
            </w:r>
          </w:p>
        </w:tc>
        <w:tc>
          <w:tcPr>
            <w:tcW w:type="dxa" w:w="366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Proves AI is driving efficiency, not just revenue.</w:t>
            </w:r>
          </w:p>
        </w:tc>
        <w:tc>
          <w:tcPr>
            <w:tcW w:type="dxa" w:w="2500"/>
            <w:tcBorders>
              <w:top w:val="single" w:color="D0D8D5" w:sz="1"/>
              <w:left w:val="single" w:color="D0D8D5" w:sz="1"/>
              <w:bottom w:val="single" w:color="D0D8D5" w:sz="1"/>
              <w:right w:val="single" w:color="D0D8D5" w:sz="1"/>
            </w:tcBorders>
            <w:shd w:fill="FFF3E0" w:val="clear"/>
            <w:tcMar>
              <w:top w:type="dxa" w:w="80"/>
              <w:left w:type="dxa" w:w="120"/>
              <w:bottom w:type="dxa" w:w="80"/>
              <w:right w:type="dxa" w:w="120"/>
            </w:tcMar>
          </w:tcPr>
          <w:p>
            <w:r>
              <w:rPr>
                <w:rFonts w:ascii="Arial" w:cs="Arial" w:eastAsia="Arial" w:hAnsi="Arial"/>
                <w:color w:val="E65100"/>
                <w:sz w:val="20"/>
                <w:szCs w:val="20"/>
              </w:rPr>
              <w:t xml:space="preserve">Pull from data</w:t>
            </w:r>
          </w:p>
        </w:tc>
      </w:tr>
      <w:tr>
        <w:tc>
          <w:tcPr>
            <w:tcW w:type="dxa" w:w="320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20"/>
                <w:szCs w:val="20"/>
              </w:rPr>
              <w:t xml:space="preserve">CAC by channel</w:t>
            </w:r>
          </w:p>
        </w:tc>
        <w:tc>
          <w:tcPr>
            <w:tcW w:type="dxa" w:w="366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Table stakes for any $15M raise.</w:t>
            </w:r>
          </w:p>
        </w:tc>
        <w:tc>
          <w:tcPr>
            <w:tcW w:type="dxa" w:w="2500"/>
            <w:tcBorders>
              <w:top w:val="single" w:color="D0D8D5" w:sz="1"/>
              <w:left w:val="single" w:color="D0D8D5" w:sz="1"/>
              <w:bottom w:val="single" w:color="D0D8D5" w:sz="1"/>
              <w:right w:val="single" w:color="D0D8D5" w:sz="1"/>
            </w:tcBorders>
            <w:shd w:fill="FFF3E0" w:val="clear"/>
            <w:tcMar>
              <w:top w:type="dxa" w:w="80"/>
              <w:left w:type="dxa" w:w="120"/>
              <w:bottom w:type="dxa" w:w="80"/>
              <w:right w:type="dxa" w:w="120"/>
            </w:tcMar>
          </w:tcPr>
          <w:p>
            <w:r>
              <w:rPr>
                <w:rFonts w:ascii="Arial" w:cs="Arial" w:eastAsia="Arial" w:hAnsi="Arial"/>
                <w:color w:val="E65100"/>
                <w:sz w:val="20"/>
                <w:szCs w:val="20"/>
              </w:rPr>
              <w:t xml:space="preserve">Pull from data</w:t>
            </w:r>
          </w:p>
        </w:tc>
      </w:tr>
      <w:tr>
        <w:tc>
          <w:tcPr>
            <w:tcW w:type="dxa" w:w="320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20"/>
                <w:szCs w:val="20"/>
              </w:rPr>
              <w:t xml:space="preserve">LTV per client (not just repeat rate)</w:t>
            </w:r>
          </w:p>
        </w:tc>
        <w:tc>
          <w:tcPr>
            <w:tcW w:type="dxa" w:w="366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85% repeat is promising. Actual $ per client lifetime is proof.</w:t>
            </w:r>
          </w:p>
        </w:tc>
        <w:tc>
          <w:tcPr>
            <w:tcW w:type="dxa" w:w="2500"/>
            <w:tcBorders>
              <w:top w:val="single" w:color="D0D8D5" w:sz="1"/>
              <w:left w:val="single" w:color="D0D8D5" w:sz="1"/>
              <w:bottom w:val="single" w:color="D0D8D5" w:sz="1"/>
              <w:right w:val="single" w:color="D0D8D5" w:sz="1"/>
            </w:tcBorders>
            <w:shd w:fill="FFF3E0" w:val="clear"/>
            <w:tcMar>
              <w:top w:type="dxa" w:w="80"/>
              <w:left w:type="dxa" w:w="120"/>
              <w:bottom w:type="dxa" w:w="80"/>
              <w:right w:type="dxa" w:w="120"/>
            </w:tcMar>
          </w:tcPr>
          <w:p>
            <w:r>
              <w:rPr>
                <w:rFonts w:ascii="Arial" w:cs="Arial" w:eastAsia="Arial" w:hAnsi="Arial"/>
                <w:color w:val="E65100"/>
                <w:sz w:val="20"/>
                <w:szCs w:val="20"/>
              </w:rPr>
              <w:t xml:space="preserve">Pull from data</w:t>
            </w:r>
          </w:p>
        </w:tc>
      </w:tr>
      <w:tr>
        <w:tc>
          <w:tcPr>
            <w:tcW w:type="dxa" w:w="320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20"/>
                <w:szCs w:val="20"/>
              </w:rPr>
              <w:t xml:space="preserve">Analyst performance variance by cohort</w:t>
            </w:r>
          </w:p>
        </w:tc>
        <w:tc>
          <w:tcPr>
            <w:tcW w:type="dxa" w:w="366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Proves coaching is working. Variance should shrink.</w:t>
            </w:r>
          </w:p>
        </w:tc>
        <w:tc>
          <w:tcPr>
            <w:tcW w:type="dxa" w:w="2500"/>
            <w:tcBorders>
              <w:top w:val="single" w:color="D0D8D5" w:sz="1"/>
              <w:left w:val="single" w:color="D0D8D5" w:sz="1"/>
              <w:bottom w:val="single" w:color="D0D8D5" w:sz="1"/>
              <w:right w:val="single" w:color="D0D8D5" w:sz="1"/>
            </w:tcBorders>
            <w:shd w:fill="FFF3E0" w:val="clear"/>
            <w:tcMar>
              <w:top w:type="dxa" w:w="80"/>
              <w:left w:type="dxa" w:w="120"/>
              <w:bottom w:type="dxa" w:w="80"/>
              <w:right w:type="dxa" w:w="120"/>
            </w:tcMar>
          </w:tcPr>
          <w:p>
            <w:r>
              <w:rPr>
                <w:rFonts w:ascii="Arial" w:cs="Arial" w:eastAsia="Arial" w:hAnsi="Arial"/>
                <w:color w:val="E65100"/>
                <w:sz w:val="20"/>
                <w:szCs w:val="20"/>
              </w:rPr>
              <w:t xml:space="preserve">Pull from data</w:t>
            </w:r>
          </w:p>
        </w:tc>
      </w:tr>
    </w:tbl>
    <w:p>
      <w:pPr>
        <w:pStyle w:val="Heading2"/>
        <w:spacing w:before="280" w:after="160"/>
      </w:pPr>
      <w:r>
        <w:rPr>
          <w:rFonts w:ascii="Arial" w:cs="Arial" w:eastAsia="Arial" w:hAnsi="Arial"/>
          <w:b/>
          <w:bCs/>
          <w:color w:val="1BB882"/>
          <w:sz w:val="26"/>
          <w:szCs w:val="26"/>
        </w:rPr>
        <w:t xml:space="preserve">1.2 Three Curves to Show in Q&amp;A</w:t>
      </w:r>
    </w:p>
    <w:p>
      <w:pPr>
        <w:spacing w:after="160"/>
      </w:pPr>
      <w:r>
        <w:rPr>
          <w:rFonts w:ascii="Arial" w:cs="Arial" w:eastAsia="Arial" w:hAnsi="Arial"/>
          <w:color w:val="4A6B6D"/>
          <w:sz w:val="21"/>
          <w:szCs w:val="21"/>
        </w:rPr>
        <w:t xml:space="preserve">VCs fund curves, not snapshots. Have these charts ready on a backup slide or iPad.</w:t>
      </w:r>
    </w:p>
    <w:p>
      <w:pPr>
        <w:pStyle w:val="ListParagraph"/>
        <w:numPr>
          <w:ilvl w:val="0"/>
          <w:numId w:val="2"/>
        </w:numPr>
        <w:spacing w:after="80"/>
      </w:pPr>
      <w:r>
        <w:rPr>
          <w:rFonts w:ascii="Arial" w:cs="Arial" w:eastAsia="Arial" w:hAnsi="Arial"/>
          <w:b/>
          <w:bCs/>
          <w:color w:val="032729"/>
          <w:sz w:val="21"/>
          <w:szCs w:val="21"/>
        </w:rPr>
        <w:t xml:space="preserve">Match acceptance rate by quarter </w:t>
      </w:r>
      <w:r>
        <w:rPr>
          <w:rFonts w:ascii="Arial" w:cs="Arial" w:eastAsia="Arial" w:hAnsi="Arial"/>
          <w:color w:val="4A6B6D"/>
          <w:sz w:val="21"/>
          <w:szCs w:val="21"/>
        </w:rPr>
        <w:t xml:space="preserve">— proves the data flywheel is real. If this line slopes up, the moat argument holds.</w:t>
      </w:r>
    </w:p>
    <w:p>
      <w:pPr>
        <w:pStyle w:val="ListParagraph"/>
        <w:numPr>
          <w:ilvl w:val="0"/>
          <w:numId w:val="2"/>
        </w:numPr>
        <w:spacing w:after="80"/>
      </w:pPr>
      <w:r>
        <w:rPr>
          <w:rFonts w:ascii="Arial" w:cs="Arial" w:eastAsia="Arial" w:hAnsi="Arial"/>
          <w:b/>
          <w:bCs/>
          <w:color w:val="032729"/>
          <w:sz w:val="21"/>
          <w:szCs w:val="21"/>
        </w:rPr>
        <w:t xml:space="preserve">Analyst performance variance by cohort </w:t>
      </w:r>
      <w:r>
        <w:rPr>
          <w:rFonts w:ascii="Arial" w:cs="Arial" w:eastAsia="Arial" w:hAnsi="Arial"/>
          <w:color w:val="4A6B6D"/>
          <w:sz w:val="21"/>
          <w:szCs w:val="21"/>
        </w:rPr>
        <w:t xml:space="preserve">— proves coaching works. If new cohorts converge to quality faster, the training infrastructure compounds.</w:t>
      </w:r>
    </w:p>
    <w:p>
      <w:pPr>
        <w:pStyle w:val="ListParagraph"/>
        <w:numPr>
          <w:ilvl w:val="0"/>
          <w:numId w:val="2"/>
        </w:numPr>
        <w:spacing w:after="80"/>
      </w:pPr>
      <w:r>
        <w:rPr>
          <w:rFonts w:ascii="Arial" w:cs="Arial" w:eastAsia="Arial" w:hAnsi="Arial"/>
          <w:b/>
          <w:bCs/>
          <w:color w:val="032729"/>
          <w:sz w:val="21"/>
          <w:szCs w:val="21"/>
        </w:rPr>
        <w:t xml:space="preserve">Gross margin per project over time </w:t>
      </w:r>
      <w:r>
        <w:rPr>
          <w:rFonts w:ascii="Arial" w:cs="Arial" w:eastAsia="Arial" w:hAnsi="Arial"/>
          <w:color w:val="4A6B6D"/>
          <w:sz w:val="21"/>
          <w:szCs w:val="21"/>
        </w:rPr>
        <w:t xml:space="preserve">— proves AI is driving efficiency. If margin expands with volume, the unit economics improve at scale.</w:t>
      </w:r>
    </w:p>
    <w:p>
      <w:pPr>
        <w:spacing w:after="160"/>
      </w:pPr>
      <w:r>
        <w:rPr>
          <w:rFonts w:ascii="Arial" w:cs="Arial" w:eastAsia="Arial" w:hAnsi="Arial"/>
          <w:color w:val="4A6B6D"/>
          <w:sz w:val="21"/>
          <w:szCs w:val="21"/>
        </w:rPr>
        <w:t xml:space="preserve">If any curve is flat, </w:t>
      </w:r>
      <w:r>
        <w:rPr>
          <w:rFonts w:ascii="Arial" w:cs="Arial" w:eastAsia="Arial" w:hAnsi="Arial"/>
          <w:b/>
          <w:bCs/>
          <w:color w:val="032729"/>
          <w:sz w:val="21"/>
          <w:szCs w:val="21"/>
        </w:rPr>
        <w:t xml:space="preserve">do not show it</w:t>
      </w:r>
      <w:r>
        <w:rPr>
          <w:rFonts w:ascii="Arial" w:cs="Arial" w:eastAsia="Arial" w:hAnsi="Arial"/>
          <w:color w:val="4A6B6D"/>
          <w:sz w:val="21"/>
          <w:szCs w:val="21"/>
        </w:rPr>
        <w:t xml:space="preserve">. Reframe around the ones that trend. Do not bluff — a sharp partner will ask for raw data in diligence.</w:t>
      </w:r>
    </w:p>
    <w:p>
      <w:pPr>
        <w:pBdr>
          <w:bottom w:val="single" w:color="E0E8E6" w:sz="4" w:space="8"/>
        </w:pBdr>
        <w:spacing w:before="200" w:after="200"/>
      </w:pPr>
    </w:p>
    <w:p>
      <w:pPr>
        <w:pStyle w:val="Heading1"/>
        <w:spacing w:before="360" w:after="200"/>
      </w:pPr>
      <w:r>
        <w:rPr>
          <w:rFonts w:ascii="Arial" w:cs="Arial" w:eastAsia="Arial" w:hAnsi="Arial"/>
          <w:b/>
          <w:bCs/>
          <w:color w:val="032729"/>
          <w:sz w:val="32"/>
          <w:szCs w:val="32"/>
        </w:rPr>
        <w:t xml:space="preserve">2. Technical Architecture Decisions</w:t>
      </w:r>
    </w:p>
    <w:p>
      <w:pPr>
        <w:spacing w:after="160"/>
      </w:pPr>
      <w:r>
        <w:rPr>
          <w:rFonts w:ascii="Arial" w:cs="Arial" w:eastAsia="Arial" w:hAnsi="Arial"/>
          <w:color w:val="4A6B6D"/>
          <w:sz w:val="21"/>
          <w:szCs w:val="21"/>
        </w:rPr>
        <w:t xml:space="preserve">These are not product features. They are structural decisions that determine whether the platform thesis is achievable.</w:t>
      </w:r>
    </w:p>
    <w:p>
      <w:pPr>
        <w:pStyle w:val="Heading2"/>
        <w:spacing w:before="280" w:after="160"/>
      </w:pPr>
      <w:r>
        <w:rPr>
          <w:rFonts w:ascii="Arial" w:cs="Arial" w:eastAsia="Arial" w:hAnsi="Arial"/>
          <w:b/>
          <w:bCs/>
          <w:color w:val="1BB882"/>
          <w:sz w:val="26"/>
          <w:szCs w:val="26"/>
        </w:rPr>
        <w:t xml:space="preserve">2.1 Ontology Architecture (Flag to Soma Immediately)</w:t>
      </w:r>
    </w:p>
    <w:p>
      <w:pPr>
        <w:spacing w:after="160"/>
      </w:pPr>
      <w:r>
        <w:rPr>
          <w:rFonts w:ascii="Arial" w:cs="Arial" w:eastAsia="Arial" w:hAnsi="Arial"/>
          <w:color w:val="4A6B6D"/>
          <w:sz w:val="21"/>
          <w:szCs w:val="21"/>
        </w:rPr>
        <w:t xml:space="preserve">The current skill graph may be hard-coded around FP&amp;A primitives. If the ontology is structured as </w:t>
      </w:r>
      <w:r>
        <w:rPr>
          <w:rFonts w:ascii="Arial" w:cs="Arial" w:eastAsia="Arial" w:hAnsi="Arial"/>
          <w:b/>
          <w:bCs/>
          <w:color w:val="032729"/>
          <w:sz w:val="21"/>
          <w:szCs w:val="21"/>
        </w:rPr>
        <w:t xml:space="preserve">DCF model → cohort analysis → scenario planning</w:t>
      </w:r>
      <w:r>
        <w:rPr>
          <w:rFonts w:ascii="Arial" w:cs="Arial" w:eastAsia="Arial" w:hAnsi="Arial"/>
          <w:color w:val="4A6B6D"/>
          <w:sz w:val="21"/>
          <w:szCs w:val="21"/>
        </w:rPr>
        <w:t xml:space="preserve">, expansion to adjacent categories will require a rebuild at $20M. If it’s structured as </w:t>
      </w:r>
      <w:r>
        <w:rPr>
          <w:rFonts w:ascii="Arial" w:cs="Arial" w:eastAsia="Arial" w:hAnsi="Arial"/>
          <w:b/>
          <w:bCs/>
          <w:color w:val="032729"/>
          <w:sz w:val="21"/>
          <w:szCs w:val="21"/>
        </w:rPr>
        <w:t xml:space="preserve">Problem → Task → Skill → Evidence → Outcome → Feedback</w:t>
      </w:r>
      <w:r>
        <w:rPr>
          <w:rFonts w:ascii="Arial" w:cs="Arial" w:eastAsia="Arial" w:hAnsi="Arial"/>
          <w:color w:val="4A6B6D"/>
          <w:sz w:val="21"/>
          <w:szCs w:val="21"/>
        </w:rPr>
        <w:t xml:space="preserve">, the architecture generalizes.</w:t>
      </w:r>
    </w:p>
    <w:p>
      <w:pPr>
        <w:pStyle w:val="Heading3"/>
        <w:spacing w:before="200" w:after="120"/>
      </w:pPr>
      <w:r>
        <w:rPr>
          <w:rFonts w:ascii="Arial" w:cs="Arial" w:eastAsia="Arial" w:hAnsi="Arial"/>
          <w:b/>
          <w:bCs/>
          <w:color w:val="032729"/>
          <w:sz w:val="22"/>
          <w:szCs w:val="22"/>
        </w:rPr>
        <w:t xml:space="preserve">Decision required</w:t>
      </w:r>
    </w:p>
    <w:p>
      <w:pPr>
        <w:spacing w:after="160"/>
      </w:pPr>
      <w:r>
        <w:rPr>
          <w:rFonts w:ascii="Arial" w:cs="Arial" w:eastAsia="Arial" w:hAnsi="Arial"/>
          <w:color w:val="4A6B6D"/>
          <w:sz w:val="21"/>
          <w:szCs w:val="21"/>
        </w:rPr>
        <w:t xml:space="preserve">Audit the current ontology. Determine whether task decomposition, outcome-based scoring, and skill-graph matching are category-agnostic in structure, even if the current nodes are finance-specific. The cost of getting this right at 2,000 projects is minimal. The cost of discovering it’s wrong at 20,000 is a complete rebuild.</w:t>
      </w:r>
    </w:p>
    <w:p>
      <w:pPr>
        <w:pStyle w:val="Heading3"/>
        <w:spacing w:before="200" w:after="120"/>
      </w:pPr>
      <w:r>
        <w:rPr>
          <w:rFonts w:ascii="Arial" w:cs="Arial" w:eastAsia="Arial" w:hAnsi="Arial"/>
          <w:b/>
          <w:bCs/>
          <w:color w:val="032729"/>
          <w:sz w:val="22"/>
          <w:szCs w:val="22"/>
        </w:rPr>
        <w:t xml:space="preserve">Concrete check</w:t>
      </w:r>
    </w:p>
    <w:p>
      <w:pPr>
        <w:pStyle w:val="ListParagraph"/>
        <w:numPr>
          <w:ilvl w:val="0"/>
          <w:numId w:val="2"/>
        </w:numPr>
        <w:spacing w:after="80"/>
      </w:pPr>
      <w:r>
        <w:rPr>
          <w:rFonts w:ascii="Arial" w:cs="Arial" w:eastAsia="Arial" w:hAnsi="Arial"/>
          <w:color w:val="4A6B6D"/>
          <w:sz w:val="21"/>
          <w:szCs w:val="21"/>
        </w:rPr>
        <w:t xml:space="preserve">Can a new task type (e.g., regulatory analysis) be added without modifying the core matching algorithm?</w:t>
      </w:r>
    </w:p>
    <w:p>
      <w:pPr>
        <w:pStyle w:val="ListParagraph"/>
        <w:numPr>
          <w:ilvl w:val="0"/>
          <w:numId w:val="2"/>
        </w:numPr>
        <w:spacing w:after="80"/>
      </w:pPr>
      <w:r>
        <w:rPr>
          <w:rFonts w:ascii="Arial" w:cs="Arial" w:eastAsia="Arial" w:hAnsi="Arial"/>
          <w:color w:val="4A6B6D"/>
          <w:sz w:val="21"/>
          <w:szCs w:val="21"/>
        </w:rPr>
        <w:t xml:space="preserve">Are quality rubrics parameterized by category, or hard-coded to financial modeling heuristics?</w:t>
      </w:r>
    </w:p>
    <w:p>
      <w:pPr>
        <w:pStyle w:val="ListParagraph"/>
        <w:numPr>
          <w:ilvl w:val="0"/>
          <w:numId w:val="2"/>
        </w:numPr>
        <w:spacing w:after="80"/>
      </w:pPr>
      <w:r>
        <w:rPr>
          <w:rFonts w:ascii="Arial" w:cs="Arial" w:eastAsia="Arial" w:hAnsi="Arial"/>
          <w:color w:val="4A6B6D"/>
          <w:sz w:val="21"/>
          <w:szCs w:val="21"/>
        </w:rPr>
        <w:t xml:space="preserve">Does the credential schema store domain-specific achievements or abstract skill-evidence pairs?</w:t>
      </w:r>
    </w:p>
    <w:p>
      <w:pPr>
        <w:pStyle w:val="Heading2"/>
        <w:spacing w:before="280" w:after="160"/>
      </w:pPr>
      <w:r>
        <w:rPr>
          <w:rFonts w:ascii="Arial" w:cs="Arial" w:eastAsia="Arial" w:hAnsi="Arial"/>
          <w:b/>
          <w:bCs/>
          <w:color w:val="1BB882"/>
          <w:sz w:val="26"/>
          <w:szCs w:val="26"/>
        </w:rPr>
        <w:t xml:space="preserve">2.2 Instrumentation for the Four Isolated Measurements</w:t>
      </w:r>
    </w:p>
    <w:p>
      <w:pPr>
        <w:spacing w:after="160"/>
      </w:pPr>
      <w:r>
        <w:rPr>
          <w:rFonts w:ascii="Arial" w:cs="Arial" w:eastAsia="Arial" w:hAnsi="Arial"/>
          <w:color w:val="4A6B6D"/>
          <w:sz w:val="21"/>
          <w:szCs w:val="21"/>
        </w:rPr>
        <w:t xml:space="preserve">If you can’t isolate these four signals, you won’t know why curves move, and expansion becomes guesswork.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0D8D5" w:sz="1"/>
              <w:left w:val="single" w:color="D0D8D5" w:sz="1"/>
              <w:bottom w:val="single" w:color="D0D8D5" w:sz="1"/>
              <w:right w:val="single" w:color="D0D8D5" w:sz="1"/>
            </w:tcBorders>
            <w:shd w:fill="032729"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3510"/>
            <w:tcBorders>
              <w:top w:val="single" w:color="D0D8D5" w:sz="1"/>
              <w:left w:val="single" w:color="D0D8D5" w:sz="1"/>
              <w:bottom w:val="single" w:color="D0D8D5" w:sz="1"/>
              <w:right w:val="single" w:color="D0D8D5" w:sz="1"/>
            </w:tcBorders>
            <w:shd w:fill="032729" w:val="clear"/>
            <w:tcMar>
              <w:top w:type="dxa" w:w="80"/>
              <w:left w:type="dxa" w:w="120"/>
              <w:bottom w:type="dxa" w:w="80"/>
              <w:right w:type="dxa" w:w="120"/>
            </w:tcMar>
          </w:tcPr>
          <w:p>
            <w:r>
              <w:rPr>
                <w:rFonts w:ascii="Arial" w:cs="Arial" w:eastAsia="Arial" w:hAnsi="Arial"/>
                <w:b/>
                <w:bCs/>
                <w:color w:val="FFFFFF"/>
                <w:sz w:val="20"/>
                <w:szCs w:val="20"/>
              </w:rPr>
              <w:t xml:space="preserve">What It Proves</w:t>
            </w:r>
          </w:p>
        </w:tc>
        <w:tc>
          <w:tcPr>
            <w:tcW w:type="dxa" w:w="3510"/>
            <w:tcBorders>
              <w:top w:val="single" w:color="D0D8D5" w:sz="1"/>
              <w:left w:val="single" w:color="D0D8D5" w:sz="1"/>
              <w:bottom w:val="single" w:color="D0D8D5" w:sz="1"/>
              <w:right w:val="single" w:color="D0D8D5" w:sz="1"/>
            </w:tcBorders>
            <w:shd w:fill="032729" w:val="clear"/>
            <w:tcMar>
              <w:top w:type="dxa" w:w="80"/>
              <w:left w:type="dxa" w:w="120"/>
              <w:bottom w:type="dxa" w:w="80"/>
              <w:right w:type="dxa" w:w="120"/>
            </w:tcMar>
          </w:tcPr>
          <w:p>
            <w:r>
              <w:rPr>
                <w:rFonts w:ascii="Arial" w:cs="Arial" w:eastAsia="Arial" w:hAnsi="Arial"/>
                <w:b/>
                <w:bCs/>
                <w:color w:val="FFFFFF"/>
                <w:sz w:val="20"/>
                <w:szCs w:val="20"/>
              </w:rPr>
              <w:t xml:space="preserve">How to Instrument</w:t>
            </w:r>
          </w:p>
        </w:tc>
      </w:tr>
      <w:tr>
        <w:tc>
          <w:tcPr>
            <w:tcW w:type="dxa" w:w="234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20"/>
                <w:szCs w:val="20"/>
              </w:rPr>
              <w:t xml:space="preserve">Predictive match accuracy</w:t>
            </w:r>
          </w:p>
        </w:tc>
        <w:tc>
          <w:tcPr>
            <w:tcW w:type="dxa" w:w="351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The algorithm gets better at predicting analyst-project fit over time</w:t>
            </w:r>
          </w:p>
        </w:tc>
        <w:tc>
          <w:tcPr>
            <w:tcW w:type="dxa" w:w="351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Log predicted vs. actual acceptance rate per match. Track precision/recall by quarter.</w:t>
            </w:r>
          </w:p>
        </w:tc>
      </w:tr>
      <w:tr>
        <w:tc>
          <w:tcPr>
            <w:tcW w:type="dxa" w:w="234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20"/>
                <w:szCs w:val="20"/>
              </w:rPr>
              <w:t xml:space="preserve">Performance variance per task type</w:t>
            </w:r>
          </w:p>
        </w:tc>
        <w:tc>
          <w:tcPr>
            <w:tcW w:type="dxa" w:w="351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Coaching is working; spread between best/worst outcomes shrinks</w:t>
            </w:r>
          </w:p>
        </w:tc>
        <w:tc>
          <w:tcPr>
            <w:tcW w:type="dxa" w:w="351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Standard deviation of quality scores per task category, grouped by quarter.</w:t>
            </w:r>
          </w:p>
        </w:tc>
      </w:tr>
      <w:tr>
        <w:tc>
          <w:tcPr>
            <w:tcW w:type="dxa" w:w="234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20"/>
                <w:szCs w:val="20"/>
              </w:rPr>
              <w:t xml:space="preserve">Calibration depth per client</w:t>
            </w:r>
          </w:p>
        </w:tc>
        <w:tc>
          <w:tcPr>
            <w:tcW w:type="dxa" w:w="351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Fewer engagements needed to consistently hit quality bar on first attempt</w:t>
            </w:r>
          </w:p>
        </w:tc>
        <w:tc>
          <w:tcPr>
            <w:tcW w:type="dxa" w:w="351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Track first-attempt acceptance rate by client, indexed by engagement count.</w:t>
            </w:r>
          </w:p>
        </w:tc>
      </w:tr>
      <w:tr>
        <w:tc>
          <w:tcPr>
            <w:tcW w:type="dxa" w:w="234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20"/>
                <w:szCs w:val="20"/>
              </w:rPr>
              <w:t xml:space="preserve">AI vs. human ops contribution</w:t>
            </w:r>
          </w:p>
        </w:tc>
        <w:tc>
          <w:tcPr>
            <w:tcW w:type="dxa" w:w="351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The system is doing more; humans are intervening less</w:t>
            </w:r>
          </w:p>
        </w:tc>
        <w:tc>
          <w:tcPr>
            <w:tcW w:type="dxa" w:w="351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Tag every project touchpoint as AI-initiated or human-initiated. Ratio over time is the agency-to-marketplace litmus test.</w:t>
            </w:r>
          </w:p>
        </w:tc>
      </w:tr>
    </w:tbl>
    <w:p>
      <w:pPr>
        <w:pStyle w:val="Heading2"/>
        <w:spacing w:before="280" w:after="160"/>
      </w:pPr>
      <w:r>
        <w:rPr>
          <w:rFonts w:ascii="Arial" w:cs="Arial" w:eastAsia="Arial" w:hAnsi="Arial"/>
          <w:b/>
          <w:bCs/>
          <w:color w:val="1BB882"/>
          <w:sz w:val="26"/>
          <w:szCs w:val="26"/>
        </w:rPr>
        <w:t xml:space="preserve">2.3 Workflow Gravity Roadmap</w:t>
      </w:r>
    </w:p>
    <w:p>
      <w:pPr>
        <w:spacing w:after="160"/>
      </w:pPr>
      <w:r>
        <w:rPr>
          <w:rFonts w:ascii="Arial" w:cs="Arial" w:eastAsia="Arial" w:hAnsi="Arial"/>
          <w:color w:val="4A6B6D"/>
          <w:sz w:val="21"/>
          <w:szCs w:val="21"/>
        </w:rPr>
        <w:t xml:space="preserve">Current enterprise switching costs are “soft lock-in” (analyst preferences, institutional memory). To make switching costs structural, the platform needs to accumulate:</w:t>
      </w:r>
    </w:p>
    <w:p>
      <w:pPr>
        <w:pStyle w:val="ListParagraph"/>
        <w:numPr>
          <w:ilvl w:val="0"/>
          <w:numId w:val="2"/>
        </w:numPr>
        <w:spacing w:after="80"/>
      </w:pPr>
      <w:r>
        <w:rPr>
          <w:rFonts w:ascii="Arial" w:cs="Arial" w:eastAsia="Arial" w:hAnsi="Arial"/>
          <w:color w:val="4A6B6D"/>
          <w:sz w:val="21"/>
          <w:szCs w:val="21"/>
        </w:rPr>
        <w:t xml:space="preserve">Historical model templates per client</w:t>
      </w:r>
    </w:p>
    <w:p>
      <w:pPr>
        <w:pStyle w:val="ListParagraph"/>
        <w:numPr>
          <w:ilvl w:val="0"/>
          <w:numId w:val="2"/>
        </w:numPr>
        <w:spacing w:after="80"/>
      </w:pPr>
      <w:r>
        <w:rPr>
          <w:rFonts w:ascii="Arial" w:cs="Arial" w:eastAsia="Arial" w:hAnsi="Arial"/>
          <w:color w:val="4A6B6D"/>
          <w:sz w:val="21"/>
          <w:szCs w:val="21"/>
        </w:rPr>
        <w:t xml:space="preserve">Scenario assumptions and decision frameworks</w:t>
      </w:r>
    </w:p>
    <w:p>
      <w:pPr>
        <w:pStyle w:val="ListParagraph"/>
        <w:numPr>
          <w:ilvl w:val="0"/>
          <w:numId w:val="2"/>
        </w:numPr>
        <w:spacing w:after="80"/>
      </w:pPr>
      <w:r>
        <w:rPr>
          <w:rFonts w:ascii="Arial" w:cs="Arial" w:eastAsia="Arial" w:hAnsi="Arial"/>
          <w:color w:val="4A6B6D"/>
          <w:sz w:val="21"/>
          <w:szCs w:val="21"/>
        </w:rPr>
        <w:t xml:space="preserve">CFO-specific formatting standards and board presentation preferences</w:t>
      </w:r>
    </w:p>
    <w:p>
      <w:pPr>
        <w:pStyle w:val="ListParagraph"/>
        <w:numPr>
          <w:ilvl w:val="0"/>
          <w:numId w:val="2"/>
        </w:numPr>
        <w:spacing w:after="80"/>
      </w:pPr>
      <w:r>
        <w:rPr>
          <w:rFonts w:ascii="Arial" w:cs="Arial" w:eastAsia="Arial" w:hAnsi="Arial"/>
          <w:color w:val="4A6B6D"/>
          <w:sz w:val="21"/>
          <w:szCs w:val="21"/>
        </w:rPr>
        <w:t xml:space="preserve">Audit trails of past analytical decisions</w:t>
      </w:r>
    </w:p>
    <w:p>
      <w:pPr>
        <w:pStyle w:val="ListParagraph"/>
        <w:numPr>
          <w:ilvl w:val="0"/>
          <w:numId w:val="2"/>
        </w:numPr>
        <w:spacing w:after="80"/>
      </w:pPr>
      <w:r>
        <w:rPr>
          <w:rFonts w:ascii="Arial" w:cs="Arial" w:eastAsia="Arial" w:hAnsi="Arial"/>
          <w:color w:val="4A6B6D"/>
          <w:sz w:val="21"/>
          <w:szCs w:val="21"/>
        </w:rPr>
        <w:t xml:space="preserve">Industry benchmarks calibrated to client context</w:t>
      </w:r>
    </w:p>
    <w:p>
      <w:pPr>
        <w:spacing w:after="160"/>
      </w:pPr>
      <w:r>
        <w:rPr>
          <w:rFonts w:ascii="Arial" w:cs="Arial" w:eastAsia="Arial" w:hAnsi="Arial"/>
          <w:color w:val="4A6B6D"/>
          <w:sz w:val="21"/>
          <w:szCs w:val="21"/>
        </w:rPr>
        <w:t xml:space="preserve">At this depth, replacing Gratia means rebuilding </w:t>
      </w:r>
      <w:r>
        <w:rPr>
          <w:rFonts w:ascii="Arial" w:cs="Arial" w:eastAsia="Arial" w:hAnsi="Arial"/>
          <w:b/>
          <w:bCs/>
          <w:color w:val="032729"/>
          <w:sz w:val="21"/>
          <w:szCs w:val="21"/>
        </w:rPr>
        <w:t xml:space="preserve">decision memory</w:t>
      </w:r>
      <w:r>
        <w:rPr>
          <w:rFonts w:ascii="Arial" w:cs="Arial" w:eastAsia="Arial" w:hAnsi="Arial"/>
          <w:color w:val="4A6B6D"/>
          <w:sz w:val="21"/>
          <w:szCs w:val="21"/>
        </w:rPr>
        <w:t xml:space="preserve"> — not just finding a new vendor. This is a core use-of-funds item under Platform &amp; AI (35% allocation).</w:t>
      </w:r>
    </w:p>
    <w:p>
      <w:pPr>
        <w:pBdr>
          <w:bottom w:val="single" w:color="E0E8E6" w:sz="4" w:space="8"/>
        </w:pBdr>
        <w:spacing w:before="200" w:after="200"/>
      </w:pPr>
    </w:p>
    <w:p>
      <w:pPr>
        <w:pStyle w:val="Heading1"/>
        <w:spacing w:before="360" w:after="200"/>
      </w:pPr>
      <w:r>
        <w:rPr>
          <w:rFonts w:ascii="Arial" w:cs="Arial" w:eastAsia="Arial" w:hAnsi="Arial"/>
          <w:b/>
          <w:bCs/>
          <w:color w:val="032729"/>
          <w:sz w:val="32"/>
          <w:szCs w:val="32"/>
        </w:rPr>
        <w:t xml:space="preserve">3. North Star Metric</w:t>
      </w:r>
    </w:p>
    <w:p>
      <w:pPr>
        <w:pStyle w:val="Heading2"/>
        <w:spacing w:before="280" w:after="160"/>
      </w:pPr>
      <w:r>
        <w:rPr>
          <w:rFonts w:ascii="Arial" w:cs="Arial" w:eastAsia="Arial" w:hAnsi="Arial"/>
          <w:b/>
          <w:bCs/>
          <w:color w:val="1BB882"/>
          <w:sz w:val="26"/>
          <w:szCs w:val="26"/>
        </w:rPr>
        <w:t xml:space="preserve">3.1 Cross-Task-Type Match Accuracy Convergence</w:t>
      </w:r>
    </w:p>
    <w:p>
      <w:pPr>
        <w:spacing w:after="160"/>
      </w:pPr>
      <w:r>
        <w:rPr>
          <w:rFonts w:ascii="Arial" w:cs="Arial" w:eastAsia="Arial" w:hAnsi="Arial"/>
          <w:color w:val="4A6B6D"/>
          <w:sz w:val="21"/>
          <w:szCs w:val="21"/>
        </w:rPr>
        <w:t xml:space="preserve">This is the single metric that determines whether the platform thesis is real or aspirational.</w:t>
      </w:r>
    </w:p>
    <w:p>
      <w:pPr>
        <w:pStyle w:val="Heading3"/>
        <w:spacing w:before="200" w:after="120"/>
      </w:pPr>
      <w:r>
        <w:rPr>
          <w:rFonts w:ascii="Arial" w:cs="Arial" w:eastAsia="Arial" w:hAnsi="Arial"/>
          <w:b/>
          <w:bCs/>
          <w:color w:val="032729"/>
          <w:sz w:val="22"/>
          <w:szCs w:val="22"/>
        </w:rPr>
        <w:t xml:space="preserve">Definition</w:t>
      </w:r>
    </w:p>
    <w:p>
      <w:pPr>
        <w:spacing w:after="160"/>
      </w:pPr>
      <w:r>
        <w:rPr>
          <w:rFonts w:ascii="Arial" w:cs="Arial" w:eastAsia="Arial" w:hAnsi="Arial"/>
          <w:color w:val="4A6B6D"/>
          <w:sz w:val="21"/>
          <w:szCs w:val="21"/>
        </w:rPr>
        <w:t xml:space="preserve">When the system encounters a task type with relatively few examples (e.g., regulatory analysis when it’s mostly seen financial modeling), does match accuracy converge </w:t>
      </w:r>
      <w:r>
        <w:rPr>
          <w:rFonts w:ascii="Arial" w:cs="Arial" w:eastAsia="Arial" w:hAnsi="Arial"/>
          <w:b/>
          <w:bCs/>
          <w:color w:val="032729"/>
          <w:sz w:val="21"/>
          <w:szCs w:val="21"/>
        </w:rPr>
        <w:t xml:space="preserve">faster</w:t>
      </w:r>
      <w:r>
        <w:rPr>
          <w:rFonts w:ascii="Arial" w:cs="Arial" w:eastAsia="Arial" w:hAnsi="Arial"/>
          <w:color w:val="4A6B6D"/>
          <w:sz w:val="21"/>
          <w:szCs w:val="21"/>
        </w:rPr>
        <w:t xml:space="preserve"> than it did for early task types?</w:t>
      </w:r>
    </w:p>
    <w:p>
      <w:pPr>
        <w:pStyle w:val="Heading3"/>
        <w:spacing w:before="200" w:after="120"/>
      </w:pPr>
      <w:r>
        <w:rPr>
          <w:rFonts w:ascii="Arial" w:cs="Arial" w:eastAsia="Arial" w:hAnsi="Arial"/>
          <w:b/>
          <w:bCs/>
          <w:color w:val="032729"/>
          <w:sz w:val="22"/>
          <w:szCs w:val="22"/>
        </w:rPr>
        <w:t xml:space="preserve">The test</w:t>
      </w:r>
    </w:p>
    <w:p>
      <w:pPr>
        <w:pStyle w:val="ListParagraph"/>
        <w:numPr>
          <w:ilvl w:val="0"/>
          <w:numId w:val="2"/>
        </w:numPr>
        <w:spacing w:after="80"/>
      </w:pPr>
      <w:r>
        <w:rPr>
          <w:rFonts w:ascii="Arial" w:cs="Arial" w:eastAsia="Arial" w:hAnsi="Arial"/>
          <w:color w:val="4A6B6D"/>
          <w:sz w:val="21"/>
          <w:szCs w:val="21"/>
        </w:rPr>
        <w:t xml:space="preserve">If financial modeling required 50 projects to hit 85% first-match acceptance...</w:t>
      </w:r>
    </w:p>
    <w:p>
      <w:pPr>
        <w:pStyle w:val="ListParagraph"/>
        <w:numPr>
          <w:ilvl w:val="0"/>
          <w:numId w:val="2"/>
        </w:numPr>
        <w:spacing w:after="80"/>
      </w:pPr>
      <w:r>
        <w:rPr>
          <w:rFonts w:ascii="Arial" w:cs="Arial" w:eastAsia="Arial" w:hAnsi="Arial"/>
          <w:color w:val="4A6B6D"/>
          <w:sz w:val="21"/>
          <w:szCs w:val="21"/>
        </w:rPr>
        <w:t xml:space="preserve">And market research only needs 20 projects to reach 85%...</w:t>
      </w:r>
    </w:p>
    <w:p>
      <w:pPr>
        <w:pStyle w:val="ListParagraph"/>
        <w:numPr>
          <w:ilvl w:val="0"/>
          <w:numId w:val="2"/>
        </w:numPr>
        <w:spacing w:after="80"/>
      </w:pPr>
      <w:r>
        <w:rPr>
          <w:rFonts w:ascii="Arial" w:cs="Arial" w:eastAsia="Arial" w:hAnsi="Arial"/>
          <w:color w:val="4A6B6D"/>
          <w:sz w:val="21"/>
          <w:szCs w:val="21"/>
        </w:rPr>
        <w:t xml:space="preserve">That’s the system genuinely abstracting, not just memorizing.</w:t>
      </w:r>
    </w:p>
    <w:p>
      <w:pPr>
        <w:pStyle w:val="ListParagraph"/>
        <w:numPr>
          <w:ilvl w:val="0"/>
          <w:numId w:val="2"/>
        </w:numPr>
        <w:spacing w:after="80"/>
      </w:pPr>
      <w:r>
        <w:rPr>
          <w:rFonts w:ascii="Arial" w:cs="Arial" w:eastAsia="Arial" w:hAnsi="Arial"/>
          <w:color w:val="4A6B6D"/>
          <w:sz w:val="21"/>
          <w:szCs w:val="21"/>
        </w:rPr>
        <w:t xml:space="preserve">If every new category restarts the learning curve from zero, the system is vertical, not a platform.</w:t>
      </w:r>
    </w:p>
    <w:p>
      <w:pPr>
        <w:pStyle w:val="Heading3"/>
        <w:spacing w:before="200" w:after="120"/>
      </w:pPr>
      <w:r>
        <w:rPr>
          <w:rFonts w:ascii="Arial" w:cs="Arial" w:eastAsia="Arial" w:hAnsi="Arial"/>
          <w:b/>
          <w:bCs/>
          <w:color w:val="032729"/>
          <w:sz w:val="22"/>
          <w:szCs w:val="22"/>
        </w:rPr>
        <w:t xml:space="preserve">When to measure</w:t>
      </w:r>
    </w:p>
    <w:p>
      <w:pPr>
        <w:spacing w:after="160"/>
      </w:pPr>
      <w:r>
        <w:rPr>
          <w:rFonts w:ascii="Arial" w:cs="Arial" w:eastAsia="Arial" w:hAnsi="Arial"/>
          <w:color w:val="4A6B6D"/>
          <w:sz w:val="21"/>
          <w:szCs w:val="21"/>
        </w:rPr>
        <w:t xml:space="preserve">Track convergence speed per task type as you add new service categories. The signal that B (multi-category expansion) is inevitable vs. optional is when this convergence delta </w:t>
      </w:r>
      <w:r>
        <w:rPr>
          <w:rFonts w:ascii="Arial" w:cs="Arial" w:eastAsia="Arial" w:hAnsi="Arial"/>
          <w:b/>
          <w:bCs/>
          <w:color w:val="032729"/>
          <w:sz w:val="21"/>
          <w:szCs w:val="21"/>
        </w:rPr>
        <w:t xml:space="preserve">shrinks consistently</w:t>
      </w:r>
      <w:r>
        <w:rPr>
          <w:rFonts w:ascii="Arial" w:cs="Arial" w:eastAsia="Arial" w:hAnsi="Arial"/>
          <w:color w:val="4A6B6D"/>
          <w:sz w:val="21"/>
          <w:szCs w:val="21"/>
        </w:rPr>
        <w:t xml:space="preserve">. When it stops shrinking, you’ve found your category boundary.</w:t>
      </w:r>
    </w:p>
    <w:p>
      <w:pPr>
        <w:pStyle w:val="Heading3"/>
        <w:spacing w:before="200" w:after="120"/>
      </w:pPr>
      <w:r>
        <w:rPr>
          <w:rFonts w:ascii="Arial" w:cs="Arial" w:eastAsia="Arial" w:hAnsi="Arial"/>
          <w:b/>
          <w:bCs/>
          <w:color w:val="032729"/>
          <w:sz w:val="22"/>
          <w:szCs w:val="22"/>
        </w:rPr>
        <w:t xml:space="preserve">Density maturity signal</w:t>
      </w:r>
    </w:p>
    <w:p>
      <w:pPr>
        <w:spacing w:after="160"/>
      </w:pPr>
      <w:r>
        <w:rPr>
          <w:rFonts w:ascii="Arial" w:cs="Arial" w:eastAsia="Arial" w:hAnsi="Arial"/>
          <w:color w:val="4A6B6D"/>
          <w:sz w:val="21"/>
          <w:szCs w:val="21"/>
        </w:rPr>
        <w:t xml:space="preserve">Within analytics specifically: when the slope of improvement flattens — when another hundred projects doesn’t meaningfully change match accuracy — that’s signal density maturity. That’s when you test portability to adjacent categories.</w:t>
      </w:r>
    </w:p>
    <w:p>
      <w:pPr>
        <w:pBdr>
          <w:bottom w:val="single" w:color="E0E8E6" w:sz="4" w:space="8"/>
        </w:pBdr>
        <w:spacing w:before="200" w:after="200"/>
      </w:pPr>
    </w:p>
    <w:p>
      <w:pPr>
        <w:pStyle w:val="Heading1"/>
        <w:spacing w:before="360" w:after="200"/>
      </w:pPr>
      <w:r>
        <w:rPr>
          <w:rFonts w:ascii="Arial" w:cs="Arial" w:eastAsia="Arial" w:hAnsi="Arial"/>
          <w:b/>
          <w:bCs/>
          <w:color w:val="032729"/>
          <w:sz w:val="32"/>
          <w:szCs w:val="32"/>
        </w:rPr>
        <w:t xml:space="preserve">4. Strategic Positioning Decisions</w:t>
      </w:r>
    </w:p>
    <w:p>
      <w:pPr>
        <w:pStyle w:val="Heading2"/>
        <w:spacing w:before="280" w:after="160"/>
      </w:pPr>
      <w:r>
        <w:rPr>
          <w:rFonts w:ascii="Arial" w:cs="Arial" w:eastAsia="Arial" w:hAnsi="Arial"/>
          <w:b/>
          <w:bCs/>
          <w:color w:val="1BB882"/>
          <w:sz w:val="26"/>
          <w:szCs w:val="26"/>
        </w:rPr>
        <w:t xml:space="preserve">4.1 Marketplace vs. Agency: The Litmus Test</w:t>
      </w:r>
    </w:p>
    <w:p>
      <w:pPr>
        <w:spacing w:after="160"/>
      </w:pPr>
      <w:r>
        <w:rPr>
          <w:rFonts w:ascii="Arial" w:cs="Arial" w:eastAsia="Arial" w:hAnsi="Arial"/>
          <w:color w:val="4A6B6D"/>
          <w:sz w:val="21"/>
          <w:szCs w:val="21"/>
        </w:rPr>
        <w:t xml:space="preserve">The &lt;15% ops touch milestone on the ask slide is the single most important proof point. It must be shown as a </w:t>
      </w:r>
      <w:r>
        <w:rPr>
          <w:rFonts w:ascii="Arial" w:cs="Arial" w:eastAsia="Arial" w:hAnsi="Arial"/>
          <w:b/>
          <w:bCs/>
          <w:color w:val="032729"/>
          <w:sz w:val="21"/>
          <w:szCs w:val="21"/>
        </w:rPr>
        <w:t xml:space="preserve">trajectory</w:t>
      </w:r>
      <w:r>
        <w:rPr>
          <w:rFonts w:ascii="Arial" w:cs="Arial" w:eastAsia="Arial" w:hAnsi="Arial"/>
          <w:color w:val="4A6B6D"/>
          <w:sz w:val="21"/>
          <w:szCs w:val="21"/>
        </w:rPr>
        <w:t xml:space="preserve"> (current % → target %), not just a target. Without the baseline, it’s aspirational. With the baseline and a quarterly trendline, it’s evidence of marketplace transition.</w:t>
      </w:r>
    </w:p>
    <w:p>
      <w:pPr>
        <w:pStyle w:val="Heading3"/>
        <w:spacing w:before="200" w:after="120"/>
      </w:pPr>
      <w:r>
        <w:rPr>
          <w:rFonts w:ascii="Arial" w:cs="Arial" w:eastAsia="Arial" w:hAnsi="Arial"/>
          <w:b/>
          <w:bCs/>
          <w:color w:val="032729"/>
          <w:sz w:val="22"/>
          <w:szCs w:val="22"/>
        </w:rPr>
        <w:t xml:space="preserve">Measurement definition</w:t>
      </w:r>
    </w:p>
    <w:p>
      <w:pPr>
        <w:pStyle w:val="ListParagraph"/>
        <w:numPr>
          <w:ilvl w:val="0"/>
          <w:numId w:val="2"/>
        </w:numPr>
        <w:spacing w:after="80"/>
      </w:pPr>
      <w:r>
        <w:rPr>
          <w:rFonts w:ascii="Arial" w:cs="Arial" w:eastAsia="Arial" w:hAnsi="Arial"/>
          <w:color w:val="4A6B6D"/>
          <w:sz w:val="21"/>
          <w:szCs w:val="21"/>
        </w:rPr>
        <w:t xml:space="preserve">Include ALL human touchpoints: sales, scoping, matching overrides, QA reviews, dispute resolution</w:t>
      </w:r>
    </w:p>
    <w:p>
      <w:pPr>
        <w:pStyle w:val="ListParagraph"/>
        <w:numPr>
          <w:ilvl w:val="0"/>
          <w:numId w:val="2"/>
        </w:numPr>
        <w:spacing w:after="80"/>
      </w:pPr>
      <w:r>
        <w:rPr>
          <w:rFonts w:ascii="Arial" w:cs="Arial" w:eastAsia="Arial" w:hAnsi="Arial"/>
          <w:color w:val="4A6B6D"/>
          <w:sz w:val="21"/>
          <w:szCs w:val="21"/>
        </w:rPr>
        <w:t xml:space="preserve">Denominator: total project touchpoints (AI + human)</w:t>
      </w:r>
    </w:p>
    <w:p>
      <w:pPr>
        <w:pStyle w:val="ListParagraph"/>
        <w:numPr>
          <w:ilvl w:val="0"/>
          <w:numId w:val="2"/>
        </w:numPr>
        <w:spacing w:after="80"/>
      </w:pPr>
      <w:r>
        <w:rPr>
          <w:rFonts w:ascii="Arial" w:cs="Arial" w:eastAsia="Arial" w:hAnsi="Arial"/>
          <w:color w:val="4A6B6D"/>
          <w:sz w:val="21"/>
          <w:szCs w:val="21"/>
        </w:rPr>
        <w:t xml:space="preserve">Track quarterly. The slope matters more than the absolute number.</w:t>
      </w:r>
    </w:p>
    <w:p>
      <w:pPr>
        <w:pStyle w:val="Heading2"/>
        <w:spacing w:before="280" w:after="160"/>
      </w:pPr>
      <w:r>
        <w:rPr>
          <w:rFonts w:ascii="Arial" w:cs="Arial" w:eastAsia="Arial" w:hAnsi="Arial"/>
          <w:b/>
          <w:bCs/>
          <w:color w:val="1BB882"/>
          <w:sz w:val="26"/>
          <w:szCs w:val="26"/>
        </w:rPr>
        <w:t xml:space="preserve">4.2 The A → B Sequencing</w:t>
      </w:r>
    </w:p>
    <w:p>
      <w:pPr>
        <w:spacing w:after="160"/>
      </w:pPr>
      <w:r>
        <w:rPr>
          <w:rFonts w:ascii="Arial" w:cs="Arial" w:eastAsia="Arial" w:hAnsi="Arial"/>
          <w:b/>
          <w:bCs/>
          <w:color w:val="032729"/>
          <w:sz w:val="21"/>
          <w:szCs w:val="21"/>
        </w:rPr>
        <w:t xml:space="preserve">A = </w:t>
      </w:r>
      <w:r>
        <w:rPr>
          <w:rFonts w:ascii="Arial" w:cs="Arial" w:eastAsia="Arial" w:hAnsi="Arial"/>
          <w:color w:val="4A6B6D"/>
          <w:sz w:val="21"/>
          <w:szCs w:val="21"/>
        </w:rPr>
        <w:t xml:space="preserve">Win analytics. Prove the data compounds. Build the most defensible vertical marketplace in the category.</w:t>
      </w:r>
    </w:p>
    <w:p>
      <w:pPr>
        <w:spacing w:after="160"/>
      </w:pPr>
      <w:r>
        <w:rPr>
          <w:rFonts w:ascii="Arial" w:cs="Arial" w:eastAsia="Arial" w:hAnsi="Arial"/>
          <w:b/>
          <w:bCs/>
          <w:color w:val="032729"/>
          <w:sz w:val="21"/>
          <w:szCs w:val="21"/>
        </w:rPr>
        <w:t xml:space="preserve">B = </w:t>
      </w:r>
      <w:r>
        <w:rPr>
          <w:rFonts w:ascii="Arial" w:cs="Arial" w:eastAsia="Arial" w:hAnsi="Arial"/>
          <w:color w:val="4A6B6D"/>
          <w:sz w:val="21"/>
          <w:szCs w:val="21"/>
        </w:rPr>
        <w:t xml:space="preserve">Multi-category expert infrastructure. Only pursue when convergence data proves the system generalizes.</w:t>
      </w:r>
    </w:p>
    <w:p>
      <w:pPr>
        <w:pStyle w:val="Heading3"/>
        <w:spacing w:before="200" w:after="120"/>
      </w:pPr>
      <w:r>
        <w:rPr>
          <w:rFonts w:ascii="Arial" w:cs="Arial" w:eastAsia="Arial" w:hAnsi="Arial"/>
          <w:b/>
          <w:bCs/>
          <w:color w:val="032729"/>
          <w:sz w:val="22"/>
          <w:szCs w:val="22"/>
        </w:rPr>
        <w:t xml:space="preserve">Key principles</w:t>
      </w:r>
    </w:p>
    <w:p>
      <w:pPr>
        <w:pStyle w:val="ListParagraph"/>
        <w:numPr>
          <w:ilvl w:val="0"/>
          <w:numId w:val="2"/>
        </w:numPr>
        <w:spacing w:after="80"/>
      </w:pPr>
      <w:r>
        <w:rPr>
          <w:rFonts w:ascii="Arial" w:cs="Arial" w:eastAsia="Arial" w:hAnsi="Arial"/>
          <w:color w:val="4A6B6D"/>
          <w:sz w:val="21"/>
          <w:szCs w:val="21"/>
        </w:rPr>
        <w:t xml:space="preserve">Do not allocate dollars to abstraction at this stage.</w:t>
      </w:r>
    </w:p>
    <w:p>
      <w:pPr>
        <w:pStyle w:val="ListParagraph"/>
        <w:numPr>
          <w:ilvl w:val="0"/>
          <w:numId w:val="2"/>
        </w:numPr>
        <w:spacing w:after="80"/>
      </w:pPr>
      <w:r>
        <w:rPr>
          <w:rFonts w:ascii="Arial" w:cs="Arial" w:eastAsia="Arial" w:hAnsi="Arial"/>
          <w:color w:val="4A6B6D"/>
          <w:sz w:val="21"/>
          <w:szCs w:val="21"/>
        </w:rPr>
        <w:t xml:space="preserve">Do design architecture so that abstraction is possible later (see Section 2.1).</w:t>
      </w:r>
    </w:p>
    <w:p>
      <w:pPr>
        <w:pStyle w:val="ListParagraph"/>
        <w:numPr>
          <w:ilvl w:val="0"/>
          <w:numId w:val="2"/>
        </w:numPr>
        <w:spacing w:after="80"/>
      </w:pPr>
      <w:r>
        <w:rPr>
          <w:rFonts w:ascii="Arial" w:cs="Arial" w:eastAsia="Arial" w:hAnsi="Arial"/>
          <w:color w:val="4A6B6D"/>
          <w:sz w:val="21"/>
          <w:szCs w:val="21"/>
        </w:rPr>
        <w:t xml:space="preserve">Do not pitch “OS for Expert Capacity” — pitch “decision-grade analytics infrastructure that earns the right to expand.”</w:t>
      </w:r>
    </w:p>
    <w:p>
      <w:pPr>
        <w:pStyle w:val="ListParagraph"/>
        <w:numPr>
          <w:ilvl w:val="0"/>
          <w:numId w:val="2"/>
        </w:numPr>
        <w:spacing w:after="80"/>
      </w:pPr>
      <w:r>
        <w:rPr>
          <w:rFonts w:ascii="Arial" w:cs="Arial" w:eastAsia="Arial" w:hAnsi="Arial"/>
          <w:b/>
          <w:bCs/>
          <w:color w:val="032729"/>
          <w:sz w:val="21"/>
          <w:szCs w:val="21"/>
        </w:rPr>
        <w:t xml:space="preserve">Discipline test: </w:t>
      </w:r>
      <w:r>
        <w:rPr>
          <w:rFonts w:ascii="Arial" w:cs="Arial" w:eastAsia="Arial" w:hAnsi="Arial"/>
          <w:color w:val="4A6B6D"/>
          <w:sz w:val="21"/>
          <w:szCs w:val="21"/>
        </w:rPr>
        <w:t xml:space="preserve">If analytics becomes a highly profitable $50M vertical but the data never meaningfully abstracts, accept being the dominant vertical player. The worst outcome is forcing horizontal expansion because the pitch deck said “platform” and the founders couldn’t walk it back.</w:t>
      </w:r>
    </w:p>
    <w:p>
      <w:pPr>
        <w:pStyle w:val="Heading2"/>
        <w:spacing w:before="280" w:after="160"/>
      </w:pPr>
      <w:r>
        <w:rPr>
          <w:rFonts w:ascii="Arial" w:cs="Arial" w:eastAsia="Arial" w:hAnsi="Arial"/>
          <w:b/>
          <w:bCs/>
          <w:color w:val="1BB882"/>
          <w:sz w:val="26"/>
          <w:szCs w:val="26"/>
        </w:rPr>
        <w:t xml:space="preserve">4.3 Moat Framing (What to Say, What Not to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D5" w:sz="1"/>
              <w:left w:val="single" w:color="D0D8D5" w:sz="1"/>
              <w:bottom w:val="single" w:color="D0D8D5" w:sz="1"/>
              <w:right w:val="single" w:color="D0D8D5" w:sz="1"/>
            </w:tcBorders>
            <w:shd w:fill="FFEBEE" w:val="clear"/>
            <w:tcMar>
              <w:top w:type="dxa" w:w="80"/>
              <w:left w:type="dxa" w:w="120"/>
              <w:bottom w:type="dxa" w:w="80"/>
              <w:right w:type="dxa" w:w="120"/>
            </w:tcMar>
          </w:tcPr>
          <w:p>
            <w:r>
              <w:rPr>
                <w:rFonts w:ascii="Arial" w:cs="Arial" w:eastAsia="Arial" w:hAnsi="Arial"/>
                <w:b/>
                <w:bCs/>
                <w:color w:val="CC3333"/>
                <w:sz w:val="20"/>
                <w:szCs w:val="20"/>
              </w:rPr>
              <w:t xml:space="preserve">Don’t Say</w:t>
            </w:r>
          </w:p>
        </w:tc>
        <w:tc>
          <w:tcPr>
            <w:tcW w:type="dxa" w:w="4680"/>
            <w:tcBorders>
              <w:top w:val="single" w:color="D0D8D5" w:sz="1"/>
              <w:left w:val="single" w:color="D0D8D5" w:sz="1"/>
              <w:bottom w:val="single" w:color="D0D8D5" w:sz="1"/>
              <w:right w:val="single" w:color="D0D8D5" w:sz="1"/>
            </w:tcBorders>
            <w:shd w:fill="E8F5E9" w:val="clear"/>
            <w:tcMar>
              <w:top w:type="dxa" w:w="80"/>
              <w:left w:type="dxa" w:w="120"/>
              <w:bottom w:type="dxa" w:w="80"/>
              <w:right w:type="dxa" w:w="120"/>
            </w:tcMar>
          </w:tcPr>
          <w:p>
            <w:r>
              <w:rPr>
                <w:rFonts w:ascii="Arial" w:cs="Arial" w:eastAsia="Arial" w:hAnsi="Arial"/>
                <w:b/>
                <w:bCs/>
                <w:color w:val="1BB882"/>
                <w:sz w:val="20"/>
                <w:szCs w:val="20"/>
              </w:rPr>
              <w:t xml:space="preserve">Say Instead</w:t>
            </w:r>
          </w:p>
        </w:tc>
      </w:tr>
      <w:tr>
        <w:tc>
          <w:tcPr>
            <w:tcW w:type="dxa" w:w="468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“Five proprietary tech layers”</w:t>
            </w:r>
          </w:p>
        </w:tc>
        <w:tc>
          <w:tcPr>
            <w:tcW w:type="dxa" w:w="468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032729"/>
                <w:sz w:val="20"/>
                <w:szCs w:val="20"/>
              </w:rPr>
              <w:t xml:space="preserve">“Five operational layers, 2,000+ projects of compounding data”</w:t>
            </w:r>
          </w:p>
        </w:tc>
      </w:tr>
      <w:tr>
        <w:tc>
          <w:tcPr>
            <w:tcW w:type="dxa" w:w="468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“Supply you can’t poach”</w:t>
            </w:r>
          </w:p>
        </w:tc>
        <w:tc>
          <w:tcPr>
            <w:tcW w:type="dxa" w:w="468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032729"/>
                <w:sz w:val="20"/>
                <w:szCs w:val="20"/>
              </w:rPr>
              <w:t xml:space="preserve">“Credential lock-in on supply — leaving means restarting from zero”</w:t>
            </w:r>
          </w:p>
        </w:tc>
      </w:tr>
      <w:tr>
        <w:tc>
          <w:tcPr>
            <w:tcW w:type="dxa" w:w="468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“Enterprise lock-in”</w:t>
            </w:r>
          </w:p>
        </w:tc>
        <w:tc>
          <w:tcPr>
            <w:tcW w:type="dxa" w:w="468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032729"/>
                <w:sz w:val="20"/>
                <w:szCs w:val="20"/>
              </w:rPr>
              <w:t xml:space="preserve">“Enterprise switching costs — replacing us means rebuilding decision memory”</w:t>
            </w:r>
          </w:p>
        </w:tc>
      </w:tr>
      <w:tr>
        <w:tc>
          <w:tcPr>
            <w:tcW w:type="dxa" w:w="468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“The OS for Expert Capacity”</w:t>
            </w:r>
          </w:p>
        </w:tc>
        <w:tc>
          <w:tcPr>
            <w:tcW w:type="dxa" w:w="468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032729"/>
                <w:sz w:val="20"/>
                <w:szCs w:val="20"/>
              </w:rPr>
              <w:t xml:space="preserve">“Multi-category expert infrastructure — earned when data proves it”</w:t>
            </w:r>
          </w:p>
        </w:tc>
      </w:tr>
      <w:tr>
        <w:tc>
          <w:tcPr>
            <w:tcW w:type="dxa" w:w="468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“We know inflection hits at X projects”</w:t>
            </w:r>
          </w:p>
        </w:tc>
        <w:tc>
          <w:tcPr>
            <w:tcW w:type="dxa" w:w="468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032729"/>
                <w:sz w:val="20"/>
                <w:szCs w:val="20"/>
              </w:rPr>
              <w:t xml:space="preserve">“We’re looking for diminishing marginal gains in predictive lift”</w:t>
            </w:r>
          </w:p>
        </w:tc>
      </w:tr>
      <w:tr>
        <w:tc>
          <w:tcPr>
            <w:tcW w:type="dxa" w:w="468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“Our moat is the tech”</w:t>
            </w:r>
          </w:p>
        </w:tc>
        <w:tc>
          <w:tcPr>
            <w:tcW w:type="dxa" w:w="468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032729"/>
                <w:sz w:val="20"/>
                <w:szCs w:val="20"/>
              </w:rPr>
              <w:t xml:space="preserve">“The tech is replicable. The data advantage is not.”</w:t>
            </w:r>
          </w:p>
        </w:tc>
      </w:tr>
    </w:tbl>
    <w:p>
      <w:pPr>
        <w:pBdr>
          <w:bottom w:val="single" w:color="E0E8E6" w:sz="4" w:space="8"/>
        </w:pBdr>
        <w:spacing w:before="200" w:after="200"/>
      </w:pPr>
    </w:p>
    <w:p>
      <w:pPr>
        <w:pStyle w:val="Heading1"/>
        <w:spacing w:before="360" w:after="200"/>
      </w:pPr>
      <w:r>
        <w:rPr>
          <w:rFonts w:ascii="Arial" w:cs="Arial" w:eastAsia="Arial" w:hAnsi="Arial"/>
          <w:b/>
          <w:bCs/>
          <w:color w:val="032729"/>
          <w:sz w:val="32"/>
          <w:szCs w:val="32"/>
        </w:rPr>
        <w:t xml:space="preserve">5. Supply Defensibility</w:t>
      </w:r>
    </w:p>
    <w:p>
      <w:pPr>
        <w:pStyle w:val="Heading2"/>
        <w:spacing w:before="280" w:after="160"/>
      </w:pPr>
      <w:r>
        <w:rPr>
          <w:rFonts w:ascii="Arial" w:cs="Arial" w:eastAsia="Arial" w:hAnsi="Arial"/>
          <w:b/>
          <w:bCs/>
          <w:color w:val="1BB882"/>
          <w:sz w:val="26"/>
          <w:szCs w:val="26"/>
        </w:rPr>
        <w:t xml:space="preserve">5.1 Why Emerging Market Dynamics Differ</w:t>
      </w:r>
    </w:p>
    <w:p>
      <w:pPr>
        <w:spacing w:after="160"/>
      </w:pPr>
      <w:r>
        <w:rPr>
          <w:rFonts w:ascii="Arial" w:cs="Arial" w:eastAsia="Arial" w:hAnsi="Arial"/>
          <w:color w:val="4A6B6D"/>
          <w:sz w:val="21"/>
          <w:szCs w:val="21"/>
        </w:rPr>
        <w:t xml:space="preserve">Standard VC analysis of supply churn applies US tech labor assumptions. Gratia’s supply operates under fundamentally different dynamics:</w:t>
      </w:r>
    </w:p>
    <w:p>
      <w:pPr>
        <w:pStyle w:val="ListParagraph"/>
        <w:numPr>
          <w:ilvl w:val="0"/>
          <w:numId w:val="2"/>
        </w:numPr>
        <w:spacing w:after="80"/>
      </w:pPr>
      <w:r>
        <w:rPr>
          <w:rFonts w:ascii="Arial" w:cs="Arial" w:eastAsia="Arial" w:hAnsi="Arial"/>
          <w:color w:val="4A6B6D"/>
          <w:sz w:val="21"/>
          <w:szCs w:val="21"/>
        </w:rPr>
        <w:t xml:space="preserve">Analysts earn 3–5x local wages with consistent deal flow — the rational move is to stay.</w:t>
      </w:r>
    </w:p>
    <w:p>
      <w:pPr>
        <w:pStyle w:val="ListParagraph"/>
        <w:numPr>
          <w:ilvl w:val="0"/>
          <w:numId w:val="2"/>
        </w:numPr>
        <w:spacing w:after="80"/>
      </w:pPr>
      <w:r>
        <w:rPr>
          <w:rFonts w:ascii="Arial" w:cs="Arial" w:eastAsia="Arial" w:hAnsi="Arial"/>
          <w:color w:val="4A6B6D"/>
          <w:sz w:val="21"/>
          <w:szCs w:val="21"/>
        </w:rPr>
        <w:t xml:space="preserve">Upwork pays less and offers zero pipeline — it’s not a viable alternative.</w:t>
      </w:r>
    </w:p>
    <w:p>
      <w:pPr>
        <w:pStyle w:val="ListParagraph"/>
        <w:numPr>
          <w:ilvl w:val="0"/>
          <w:numId w:val="2"/>
        </w:numPr>
        <w:spacing w:after="80"/>
      </w:pPr>
      <w:r>
        <w:rPr>
          <w:rFonts w:ascii="Arial" w:cs="Arial" w:eastAsia="Arial" w:hAnsi="Arial"/>
          <w:color w:val="4A6B6D"/>
          <w:sz w:val="21"/>
          <w:szCs w:val="21"/>
        </w:rPr>
        <w:t xml:space="preserve">The real churn risk is direct client hiring, which can be contracted against.</w:t>
      </w:r>
    </w:p>
    <w:p>
      <w:pPr>
        <w:pStyle w:val="ListParagraph"/>
        <w:numPr>
          <w:ilvl w:val="0"/>
          <w:numId w:val="2"/>
        </w:numPr>
        <w:spacing w:after="80"/>
      </w:pPr>
      <w:r>
        <w:rPr>
          <w:rFonts w:ascii="Arial" w:cs="Arial" w:eastAsia="Arial" w:hAnsi="Arial"/>
          <w:color w:val="4A6B6D"/>
          <w:sz w:val="21"/>
          <w:szCs w:val="21"/>
        </w:rPr>
        <w:t xml:space="preserve">LinkedIn recruiter pressure that drives SF engineer churn does not exist for Nairobi analysts.</w:t>
      </w:r>
    </w:p>
    <w:p>
      <w:pPr>
        <w:pStyle w:val="Heading2"/>
        <w:spacing w:before="280" w:after="160"/>
      </w:pPr>
      <w:r>
        <w:rPr>
          <w:rFonts w:ascii="Arial" w:cs="Arial" w:eastAsia="Arial" w:hAnsi="Arial"/>
          <w:b/>
          <w:bCs/>
          <w:color w:val="1BB882"/>
          <w:sz w:val="26"/>
          <w:szCs w:val="26"/>
        </w:rPr>
        <w:t xml:space="preserve">5.2 Structural Lock-In Mechanisms (Current +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8D5" w:sz="1"/>
              <w:left w:val="single" w:color="D0D8D5" w:sz="1"/>
              <w:bottom w:val="single" w:color="D0D8D5" w:sz="1"/>
              <w:right w:val="single" w:color="D0D8D5" w:sz="1"/>
            </w:tcBorders>
            <w:shd w:fill="032729" w:val="clear"/>
            <w:tcMar>
              <w:top w:type="dxa" w:w="80"/>
              <w:left w:type="dxa" w:w="120"/>
              <w:bottom w:type="dxa" w:w="80"/>
              <w:right w:type="dxa" w:w="120"/>
            </w:tcMar>
          </w:tcPr>
          <w:p>
            <w:r>
              <w:rPr>
                <w:rFonts w:ascii="Arial" w:cs="Arial" w:eastAsia="Arial" w:hAnsi="Arial"/>
                <w:b/>
                <w:bCs/>
                <w:color w:val="FFFFFF"/>
                <w:sz w:val="20"/>
                <w:szCs w:val="20"/>
              </w:rPr>
              <w:t xml:space="preserve">Lock-In Mechanism</w:t>
            </w:r>
          </w:p>
        </w:tc>
        <w:tc>
          <w:tcPr>
            <w:tcW w:type="dxa" w:w="3120"/>
            <w:tcBorders>
              <w:top w:val="single" w:color="D0D8D5" w:sz="1"/>
              <w:left w:val="single" w:color="D0D8D5" w:sz="1"/>
              <w:bottom w:val="single" w:color="D0D8D5" w:sz="1"/>
              <w:right w:val="single" w:color="D0D8D5" w:sz="1"/>
            </w:tcBorders>
            <w:shd w:fill="032729"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120"/>
            <w:tcBorders>
              <w:top w:val="single" w:color="D0D8D5" w:sz="1"/>
              <w:left w:val="single" w:color="D0D8D5" w:sz="1"/>
              <w:bottom w:val="single" w:color="D0D8D5" w:sz="1"/>
              <w:right w:val="single" w:color="D0D8D5" w:sz="1"/>
            </w:tcBorders>
            <w:shd w:fill="032729" w:val="clear"/>
            <w:tcMar>
              <w:top w:type="dxa" w:w="80"/>
              <w:left w:type="dxa" w:w="120"/>
              <w:bottom w:type="dxa" w:w="80"/>
              <w:right w:type="dxa" w:w="120"/>
            </w:tcMar>
          </w:tcPr>
          <w:p>
            <w:r>
              <w:rPr>
                <w:rFonts w:ascii="Arial" w:cs="Arial" w:eastAsia="Arial" w:hAnsi="Arial"/>
                <w:b/>
                <w:bCs/>
                <w:color w:val="FFFFFF"/>
                <w:sz w:val="20"/>
                <w:szCs w:val="20"/>
              </w:rPr>
              <w:t xml:space="preserve">Target State</w:t>
            </w:r>
          </w:p>
        </w:tc>
      </w:tr>
      <w:tr>
        <w:tc>
          <w:tcPr>
            <w:tcW w:type="dxa" w:w="312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20"/>
                <w:szCs w:val="20"/>
              </w:rPr>
              <w:t xml:space="preserve">Verified track record</w:t>
            </w:r>
          </w:p>
        </w:tc>
        <w:tc>
          <w:tcPr>
            <w:tcW w:type="dxa" w:w="312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Outcome-based credentials from 2,000+ projects</w:t>
            </w:r>
          </w:p>
        </w:tc>
        <w:tc>
          <w:tcPr>
            <w:tcW w:type="dxa" w:w="312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Portable credential recognized by enterprise clients</w:t>
            </w:r>
          </w:p>
        </w:tc>
      </w:tr>
      <w:tr>
        <w:tc>
          <w:tcPr>
            <w:tcW w:type="dxa" w:w="312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20"/>
                <w:szCs w:val="20"/>
              </w:rPr>
              <w:t xml:space="preserve">Matching priority</w:t>
            </w:r>
          </w:p>
        </w:tc>
        <w:tc>
          <w:tcPr>
            <w:tcW w:type="dxa" w:w="312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Algorithm ranks by proven delivery history</w:t>
            </w:r>
          </w:p>
        </w:tc>
        <w:tc>
          <w:tcPr>
            <w:tcW w:type="dxa" w:w="312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Progressive tiers with earnings acceleration</w:t>
            </w:r>
          </w:p>
        </w:tc>
      </w:tr>
      <w:tr>
        <w:tc>
          <w:tcPr>
            <w:tcW w:type="dxa" w:w="312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20"/>
                <w:szCs w:val="20"/>
              </w:rPr>
              <w:t xml:space="preserve">AI coaching access</w:t>
            </w:r>
          </w:p>
        </w:tc>
        <w:tc>
          <w:tcPr>
            <w:tcW w:type="dxa" w:w="312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GraceAI active during project execution</w:t>
            </w:r>
          </w:p>
        </w:tc>
        <w:tc>
          <w:tcPr>
            <w:tcW w:type="dxa" w:w="312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Personalized skill development paths</w:t>
            </w:r>
          </w:p>
        </w:tc>
      </w:tr>
      <w:tr>
        <w:tc>
          <w:tcPr>
            <w:tcW w:type="dxa" w:w="312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20"/>
                <w:szCs w:val="20"/>
              </w:rPr>
              <w:t xml:space="preserve">Project pipeline</w:t>
            </w:r>
          </w:p>
        </w:tc>
        <w:tc>
          <w:tcPr>
            <w:tcW w:type="dxa" w:w="312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Consistent inbound from enterprise + SMB</w:t>
            </w:r>
          </w:p>
        </w:tc>
        <w:tc>
          <w:tcPr>
            <w:tcW w:type="dxa" w:w="312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Enterprise access gated by internal reputation graph</w:t>
            </w:r>
          </w:p>
        </w:tc>
      </w:tr>
      <w:tr>
        <w:tc>
          <w:tcPr>
            <w:tcW w:type="dxa" w:w="312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20"/>
                <w:szCs w:val="20"/>
              </w:rPr>
              <w:t xml:space="preserve">Earnings acceleration</w:t>
            </w:r>
          </w:p>
        </w:tc>
        <w:tc>
          <w:tcPr>
            <w:tcW w:type="dxa" w:w="312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3–5x local wages</w:t>
            </w:r>
          </w:p>
        </w:tc>
        <w:tc>
          <w:tcPr>
            <w:tcW w:type="dxa" w:w="312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20"/>
                <w:szCs w:val="20"/>
              </w:rPr>
              <w:t xml:space="preserve">30%+ earnings premium for platform-tenured analysts</w:t>
            </w:r>
          </w:p>
        </w:tc>
      </w:tr>
    </w:tbl>
    <w:p>
      <w:pPr>
        <w:pBdr>
          <w:bottom w:val="single" w:color="E0E8E6" w:sz="4" w:space="8"/>
        </w:pBdr>
        <w:spacing w:before="200" w:after="200"/>
      </w:pPr>
    </w:p>
    <w:p>
      <w:pPr>
        <w:pStyle w:val="Heading1"/>
        <w:spacing w:before="360" w:after="200"/>
      </w:pPr>
      <w:r>
        <w:rPr>
          <w:rFonts w:ascii="Arial" w:cs="Arial" w:eastAsia="Arial" w:hAnsi="Arial"/>
          <w:b/>
          <w:bCs/>
          <w:color w:val="032729"/>
          <w:sz w:val="32"/>
          <w:szCs w:val="32"/>
        </w:rPr>
        <w:t xml:space="preserve">6. Competitive Threat Model</w:t>
      </w:r>
    </w:p>
    <w:p>
      <w:pPr>
        <w:pStyle w:val="Heading2"/>
        <w:spacing w:before="280" w:after="160"/>
      </w:pPr>
      <w:r>
        <w:rPr>
          <w:rFonts w:ascii="Arial" w:cs="Arial" w:eastAsia="Arial" w:hAnsi="Arial"/>
          <w:b/>
          <w:bCs/>
          <w:color w:val="1BB882"/>
          <w:sz w:val="26"/>
          <w:szCs w:val="26"/>
        </w:rPr>
        <w:t xml:space="preserve">6.1 Threat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D0D8D5" w:sz="1"/>
              <w:left w:val="single" w:color="D0D8D5" w:sz="1"/>
              <w:bottom w:val="single" w:color="D0D8D5" w:sz="1"/>
              <w:right w:val="single" w:color="D0D8D5" w:sz="1"/>
            </w:tcBorders>
            <w:shd w:fill="032729"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2200"/>
            <w:tcBorders>
              <w:top w:val="single" w:color="D0D8D5" w:sz="1"/>
              <w:left w:val="single" w:color="D0D8D5" w:sz="1"/>
              <w:bottom w:val="single" w:color="D0D8D5" w:sz="1"/>
              <w:right w:val="single" w:color="D0D8D5" w:sz="1"/>
            </w:tcBorders>
            <w:shd w:fill="03272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200"/>
            <w:tcBorders>
              <w:top w:val="single" w:color="D0D8D5" w:sz="1"/>
              <w:left w:val="single" w:color="D0D8D5" w:sz="1"/>
              <w:bottom w:val="single" w:color="D0D8D5" w:sz="1"/>
              <w:right w:val="single" w:color="D0D8D5" w:sz="1"/>
            </w:tcBorders>
            <w:shd w:fill="03272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760"/>
            <w:tcBorders>
              <w:top w:val="single" w:color="D0D8D5" w:sz="1"/>
              <w:left w:val="single" w:color="D0D8D5" w:sz="1"/>
              <w:bottom w:val="single" w:color="D0D8D5" w:sz="1"/>
              <w:right w:val="single" w:color="D0D8D5" w:sz="1"/>
            </w:tcBorders>
            <w:shd w:fill="032729" w:val="clear"/>
            <w:tcMar>
              <w:top w:type="dxa" w:w="80"/>
              <w:left w:type="dxa" w:w="120"/>
              <w:bottom w:type="dxa" w:w="80"/>
              <w:right w:type="dxa" w:w="120"/>
            </w:tcMar>
          </w:tcPr>
          <w:p>
            <w:r>
              <w:rPr>
                <w:rFonts w:ascii="Arial" w:cs="Arial" w:eastAsia="Arial" w:hAnsi="Arial"/>
                <w:b/>
                <w:bCs/>
                <w:color w:val="FFFFFF"/>
                <w:sz w:val="20"/>
                <w:szCs w:val="20"/>
              </w:rPr>
              <w:t xml:space="preserve">Defensive Response</w:t>
            </w:r>
          </w:p>
        </w:tc>
      </w:tr>
      <w:tr>
        <w:tc>
          <w:tcPr>
            <w:tcW w:type="dxa" w:w="220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19"/>
                <w:szCs w:val="19"/>
              </w:rPr>
              <w:t xml:space="preserve">Niche vertical AI-native (FP&amp;A for PE-SaaS)</w:t>
            </w:r>
          </w:p>
        </w:tc>
        <w:tc>
          <w:tcPr>
            <w:tcW w:type="dxa" w:w="2200"/>
            <w:tcBorders>
              <w:top w:val="single" w:color="D0D8D5" w:sz="1"/>
              <w:left w:val="single" w:color="D0D8D5" w:sz="1"/>
              <w:bottom w:val="single" w:color="D0D8D5" w:sz="1"/>
              <w:right w:val="single" w:color="D0D8D5" w:sz="1"/>
            </w:tcBorders>
            <w:shd w:fill="FFEBEE" w:val="clear"/>
            <w:tcMar>
              <w:top w:type="dxa" w:w="80"/>
              <w:left w:type="dxa" w:w="120"/>
              <w:bottom w:type="dxa" w:w="80"/>
              <w:right w:type="dxa" w:w="120"/>
            </w:tcMar>
          </w:tcPr>
          <w:p>
            <w:r>
              <w:rPr>
                <w:rFonts w:ascii="Arial" w:cs="Arial" w:eastAsia="Arial" w:hAnsi="Arial"/>
                <w:color w:val="4A6B6D"/>
                <w:sz w:val="19"/>
                <w:szCs w:val="19"/>
              </w:rPr>
              <w:t xml:space="preserve">High</w:t>
            </w:r>
          </w:p>
        </w:tc>
        <w:tc>
          <w:tcPr>
            <w:tcW w:type="dxa" w:w="220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19"/>
                <w:szCs w:val="19"/>
              </w:rPr>
              <w:t xml:space="preserve">12–18 months</w:t>
            </w:r>
          </w:p>
        </w:tc>
        <w:tc>
          <w:tcPr>
            <w:tcW w:type="dxa" w:w="276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19"/>
                <w:szCs w:val="19"/>
              </w:rPr>
              <w:t xml:space="preserve">Win density faster. Same infra serves broader market; pure niche can’t justify the infrastructure cost.</w:t>
            </w:r>
          </w:p>
        </w:tc>
      </w:tr>
      <w:tr>
        <w:tc>
          <w:tcPr>
            <w:tcW w:type="dxa" w:w="220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19"/>
                <w:szCs w:val="19"/>
              </w:rPr>
              <w:t xml:space="preserve">PE/VC firm builds internal analyst pods</w:t>
            </w:r>
          </w:p>
        </w:tc>
        <w:tc>
          <w:tcPr>
            <w:tcW w:type="dxa" w:w="2200"/>
            <w:tcBorders>
              <w:top w:val="single" w:color="D0D8D5" w:sz="1"/>
              <w:left w:val="single" w:color="D0D8D5" w:sz="1"/>
              <w:bottom w:val="single" w:color="D0D8D5" w:sz="1"/>
              <w:right w:val="single" w:color="D0D8D5" w:sz="1"/>
            </w:tcBorders>
            <w:shd w:fill="FFF3E0" w:val="clear"/>
            <w:tcMar>
              <w:top w:type="dxa" w:w="80"/>
              <w:left w:type="dxa" w:w="120"/>
              <w:bottom w:type="dxa" w:w="80"/>
              <w:right w:type="dxa" w:w="120"/>
            </w:tcMar>
          </w:tcPr>
          <w:p>
            <w:r>
              <w:rPr>
                <w:rFonts w:ascii="Arial" w:cs="Arial" w:eastAsia="Arial" w:hAnsi="Arial"/>
                <w:color w:val="4A6B6D"/>
                <w:sz w:val="19"/>
                <w:szCs w:val="19"/>
              </w:rPr>
              <w:t xml:space="preserve">Medium</w:t>
            </w:r>
          </w:p>
        </w:tc>
        <w:tc>
          <w:tcPr>
            <w:tcW w:type="dxa" w:w="220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19"/>
                <w:szCs w:val="19"/>
              </w:rPr>
              <w:t xml:space="preserve">18–24 months</w:t>
            </w:r>
          </w:p>
        </w:tc>
        <w:tc>
          <w:tcPr>
            <w:tcW w:type="dxa" w:w="276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19"/>
                <w:szCs w:val="19"/>
              </w:rPr>
              <w:t xml:space="preserve">Build-vs-buy math favors buy. Deepen switching costs. Apollo chose exclusivity for a reason.</w:t>
            </w:r>
          </w:p>
        </w:tc>
      </w:tr>
      <w:tr>
        <w:tc>
          <w:tcPr>
            <w:tcW w:type="dxa" w:w="220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19"/>
                <w:szCs w:val="19"/>
              </w:rPr>
              <w:t xml:space="preserve">Upwork + OpenAI partnership</w:t>
            </w:r>
          </w:p>
        </w:tc>
        <w:tc>
          <w:tcPr>
            <w:tcW w:type="dxa" w:w="2200"/>
            <w:tcBorders>
              <w:top w:val="single" w:color="D0D8D5" w:sz="1"/>
              <w:left w:val="single" w:color="D0D8D5" w:sz="1"/>
              <w:bottom w:val="single" w:color="D0D8D5" w:sz="1"/>
              <w:right w:val="single" w:color="D0D8D5" w:sz="1"/>
            </w:tcBorders>
            <w:shd w:fill="E8F5E9" w:val="clear"/>
            <w:tcMar>
              <w:top w:type="dxa" w:w="80"/>
              <w:left w:type="dxa" w:w="120"/>
              <w:bottom w:type="dxa" w:w="80"/>
              <w:right w:type="dxa" w:w="120"/>
            </w:tcMar>
          </w:tcPr>
          <w:p>
            <w:r>
              <w:rPr>
                <w:rFonts w:ascii="Arial" w:cs="Arial" w:eastAsia="Arial" w:hAnsi="Arial"/>
                <w:color w:val="4A6B6D"/>
                <w:sz w:val="19"/>
                <w:szCs w:val="19"/>
              </w:rPr>
              <w:t xml:space="preserve">Low–Medium</w:t>
            </w:r>
          </w:p>
        </w:tc>
        <w:tc>
          <w:tcPr>
            <w:tcW w:type="dxa" w:w="220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19"/>
                <w:szCs w:val="19"/>
              </w:rPr>
              <w:t xml:space="preserve">12–18 months</w:t>
            </w:r>
          </w:p>
        </w:tc>
        <w:tc>
          <w:tcPr>
            <w:tcW w:type="dxa" w:w="276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19"/>
                <w:szCs w:val="19"/>
              </w:rPr>
              <w:t xml:space="preserve">Zero quality signal for analytical work. Zero enterprise trust. Zero credentialed supply. Three cold-start problems.</w:t>
            </w:r>
          </w:p>
        </w:tc>
      </w:tr>
      <w:tr>
        <w:tc>
          <w:tcPr>
            <w:tcW w:type="dxa" w:w="220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19"/>
                <w:szCs w:val="19"/>
              </w:rPr>
              <w:t xml:space="preserve">Accenture + OpenAI “Global Analyst Cloud”</w:t>
            </w:r>
          </w:p>
        </w:tc>
        <w:tc>
          <w:tcPr>
            <w:tcW w:type="dxa" w:w="2200"/>
            <w:tcBorders>
              <w:top w:val="single" w:color="D0D8D5" w:sz="1"/>
              <w:left w:val="single" w:color="D0D8D5" w:sz="1"/>
              <w:bottom w:val="single" w:color="D0D8D5" w:sz="1"/>
              <w:right w:val="single" w:color="D0D8D5" w:sz="1"/>
            </w:tcBorders>
            <w:shd w:fill="FFF3E0" w:val="clear"/>
            <w:tcMar>
              <w:top w:type="dxa" w:w="80"/>
              <w:left w:type="dxa" w:w="120"/>
              <w:bottom w:type="dxa" w:w="80"/>
              <w:right w:type="dxa" w:w="120"/>
            </w:tcMar>
          </w:tcPr>
          <w:p>
            <w:r>
              <w:rPr>
                <w:rFonts w:ascii="Arial" w:cs="Arial" w:eastAsia="Arial" w:hAnsi="Arial"/>
                <w:color w:val="4A6B6D"/>
                <w:sz w:val="19"/>
                <w:szCs w:val="19"/>
              </w:rPr>
              <w:t xml:space="preserve">Medium</w:t>
            </w:r>
          </w:p>
        </w:tc>
        <w:tc>
          <w:tcPr>
            <w:tcW w:type="dxa" w:w="220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19"/>
                <w:szCs w:val="19"/>
              </w:rPr>
              <w:t xml:space="preserve">24–36 months</w:t>
            </w:r>
          </w:p>
        </w:tc>
        <w:tc>
          <w:tcPr>
            <w:tcW w:type="dxa" w:w="276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19"/>
                <w:szCs w:val="19"/>
              </w:rPr>
              <w:t xml:space="preserve">Can build tech but starts with zero outcome data, zero credentialed supply. Speed and cost advantage erodes their model.</w:t>
            </w:r>
          </w:p>
        </w:tc>
      </w:tr>
      <w:tr>
        <w:tc>
          <w:tcPr>
            <w:tcW w:type="dxa" w:w="220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b/>
                <w:bCs/>
                <w:color w:val="032729"/>
                <w:sz w:val="19"/>
                <w:szCs w:val="19"/>
              </w:rPr>
              <w:t xml:space="preserve">AI eliminates junior analyst demand</w:t>
            </w:r>
          </w:p>
        </w:tc>
        <w:tc>
          <w:tcPr>
            <w:tcW w:type="dxa" w:w="2200"/>
            <w:tcBorders>
              <w:top w:val="single" w:color="D0D8D5" w:sz="1"/>
              <w:left w:val="single" w:color="D0D8D5" w:sz="1"/>
              <w:bottom w:val="single" w:color="D0D8D5" w:sz="1"/>
              <w:right w:val="single" w:color="D0D8D5" w:sz="1"/>
            </w:tcBorders>
            <w:shd w:fill="E8F5E9" w:val="clear"/>
            <w:tcMar>
              <w:top w:type="dxa" w:w="80"/>
              <w:left w:type="dxa" w:w="120"/>
              <w:bottom w:type="dxa" w:w="80"/>
              <w:right w:type="dxa" w:w="120"/>
            </w:tcMar>
          </w:tcPr>
          <w:p>
            <w:r>
              <w:rPr>
                <w:rFonts w:ascii="Arial" w:cs="Arial" w:eastAsia="Arial" w:hAnsi="Arial"/>
                <w:color w:val="4A6B6D"/>
                <w:sz w:val="19"/>
                <w:szCs w:val="19"/>
              </w:rPr>
              <w:t xml:space="preserve">Low (tailwind)</w:t>
            </w:r>
          </w:p>
        </w:tc>
        <w:tc>
          <w:tcPr>
            <w:tcW w:type="dxa" w:w="220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19"/>
                <w:szCs w:val="19"/>
              </w:rPr>
              <w:t xml:space="preserve">Ongoing</w:t>
            </w:r>
          </w:p>
        </w:tc>
        <w:tc>
          <w:tcPr>
            <w:tcW w:type="dxa" w:w="2760"/>
            <w:tcBorders>
              <w:top w:val="single" w:color="D0D8D5" w:sz="1"/>
              <w:left w:val="single" w:color="D0D8D5" w:sz="1"/>
              <w:bottom w:val="single" w:color="D0D8D5" w:sz="1"/>
              <w:right w:val="single" w:color="D0D8D5" w:sz="1"/>
            </w:tcBorders>
            <w:tcMar>
              <w:top w:type="dxa" w:w="80"/>
              <w:left w:type="dxa" w:w="120"/>
              <w:bottom w:type="dxa" w:w="80"/>
              <w:right w:type="dxa" w:w="120"/>
            </w:tcMar>
          </w:tcPr>
          <w:p>
            <w:r>
              <w:rPr>
                <w:rFonts w:ascii="Arial" w:cs="Arial" w:eastAsia="Arial" w:hAnsi="Arial"/>
                <w:color w:val="4A6B6D"/>
                <w:sz w:val="19"/>
                <w:szCs w:val="19"/>
              </w:rPr>
              <w:t xml:space="preserve">AI compresses hours, not judgment. Gratia sells outcomes, not hours. AI-augmented analysts are 3x more productive = margin expansion.</w:t>
            </w:r>
          </w:p>
        </w:tc>
      </w:tr>
    </w:tbl>
    <w:p>
      <w:pPr>
        <w:pStyle w:val="Heading2"/>
        <w:spacing w:before="280" w:after="160"/>
      </w:pPr>
      <w:r>
        <w:rPr>
          <w:rFonts w:ascii="Arial" w:cs="Arial" w:eastAsia="Arial" w:hAnsi="Arial"/>
          <w:b/>
          <w:bCs/>
          <w:color w:val="1BB882"/>
          <w:sz w:val="26"/>
          <w:szCs w:val="26"/>
        </w:rPr>
        <w:t xml:space="preserve">6.2 Take-Rate Defensibility</w:t>
      </w:r>
    </w:p>
    <w:p>
      <w:pPr>
        <w:spacing w:after="160"/>
      </w:pPr>
      <w:r>
        <w:rPr>
          <w:rFonts w:ascii="Arial" w:cs="Arial" w:eastAsia="Arial" w:hAnsi="Arial"/>
          <w:color w:val="4A6B6D"/>
          <w:sz w:val="21"/>
          <w:szCs w:val="21"/>
        </w:rPr>
        <w:t xml:space="preserve">The 30–40% take rate is defensible because the value stack is deep. To compress to 15%, a competitor must cut training, coaching, or QA. Cutting any of these degrades quality, which degrades enterprise trust, which degrades repeat rate. A 15%-take competitor is offering a matching layer without quality infrastructure — that’s Upwork. Enterprise clients don’t buy matching. They buy </w:t>
      </w:r>
      <w:r>
        <w:rPr>
          <w:rFonts w:ascii="Arial" w:cs="Arial" w:eastAsia="Arial" w:hAnsi="Arial"/>
          <w:b/>
          <w:bCs/>
          <w:color w:val="032729"/>
          <w:sz w:val="21"/>
          <w:szCs w:val="21"/>
        </w:rPr>
        <w:t xml:space="preserve">trusted delivery</w:t>
      </w:r>
      <w:r>
        <w:rPr>
          <w:rFonts w:ascii="Arial" w:cs="Arial" w:eastAsia="Arial" w:hAnsi="Arial"/>
          <w:color w:val="4A6B6D"/>
          <w:sz w:val="21"/>
          <w:szCs w:val="21"/>
        </w:rPr>
        <w:t xml:space="preserve">.</w:t>
      </w:r>
    </w:p>
    <w:p>
      <w:pPr>
        <w:pBdr>
          <w:bottom w:val="single" w:color="E0E8E6" w:sz="4" w:space="8"/>
        </w:pBdr>
        <w:spacing w:before="200" w:after="200"/>
      </w:pPr>
    </w:p>
    <w:p>
      <w:pPr>
        <w:pStyle w:val="Heading1"/>
        <w:spacing w:before="360" w:after="200"/>
      </w:pPr>
      <w:r>
        <w:rPr>
          <w:rFonts w:ascii="Arial" w:cs="Arial" w:eastAsia="Arial" w:hAnsi="Arial"/>
          <w:b/>
          <w:bCs/>
          <w:color w:val="032729"/>
          <w:sz w:val="32"/>
          <w:szCs w:val="32"/>
        </w:rPr>
        <w:t xml:space="preserve">7. Pre-Meeting Checklist</w:t>
      </w:r>
    </w:p>
    <w:p>
      <w:pPr>
        <w:pStyle w:val="Heading2"/>
        <w:spacing w:before="280" w:after="160"/>
      </w:pPr>
      <w:r>
        <w:rPr>
          <w:rFonts w:ascii="Arial" w:cs="Arial" w:eastAsia="Arial" w:hAnsi="Arial"/>
          <w:b/>
          <w:bCs/>
          <w:color w:val="1BB882"/>
          <w:sz w:val="26"/>
          <w:szCs w:val="26"/>
        </w:rPr>
        <w:t xml:space="preserve">Data pulls</w:t>
      </w:r>
    </w:p>
    <w:p>
      <w:pPr>
        <w:pStyle w:val="ListParagraph"/>
        <w:numPr>
          <w:ilvl w:val="0"/>
          <w:numId w:val="3"/>
        </w:numPr>
        <w:spacing w:after="80"/>
      </w:pPr>
      <w:r>
        <w:rPr>
          <w:rFonts w:ascii="Arial" w:cs="Arial" w:eastAsia="Arial" w:hAnsi="Arial"/>
          <w:color w:val="4A6B6D"/>
          <w:sz w:val="21"/>
          <w:szCs w:val="21"/>
        </w:rPr>
        <w:t xml:space="preserve">Fill all [X]% placeholders in deck and narration script</w:t>
      </w:r>
    </w:p>
    <w:p>
      <w:pPr>
        <w:pStyle w:val="ListParagraph"/>
        <w:numPr>
          <w:ilvl w:val="0"/>
          <w:numId w:val="3"/>
        </w:numPr>
        <w:spacing w:after="80"/>
      </w:pPr>
      <w:r>
        <w:rPr>
          <w:rFonts w:ascii="Arial" w:cs="Arial" w:eastAsia="Arial" w:hAnsi="Arial"/>
          <w:color w:val="4A6B6D"/>
          <w:sz w:val="21"/>
          <w:szCs w:val="21"/>
        </w:rPr>
        <w:t xml:space="preserve">Generate the three Q&amp;A curves (match acceptance, performance variance, margin)</w:t>
      </w:r>
    </w:p>
    <w:p>
      <w:pPr>
        <w:pStyle w:val="ListParagraph"/>
        <w:numPr>
          <w:ilvl w:val="0"/>
          <w:numId w:val="3"/>
        </w:numPr>
        <w:spacing w:after="80"/>
      </w:pPr>
      <w:r>
        <w:rPr>
          <w:rFonts w:ascii="Arial" w:cs="Arial" w:eastAsia="Arial" w:hAnsi="Arial"/>
          <w:color w:val="4A6B6D"/>
          <w:sz w:val="21"/>
          <w:szCs w:val="21"/>
        </w:rPr>
        <w:t xml:space="preserve">Calculate CAC by channel and LTV per client</w:t>
      </w:r>
    </w:p>
    <w:p>
      <w:pPr>
        <w:pStyle w:val="ListParagraph"/>
        <w:numPr>
          <w:ilvl w:val="0"/>
          <w:numId w:val="3"/>
        </w:numPr>
        <w:spacing w:after="80"/>
      </w:pPr>
      <w:r>
        <w:rPr>
          <w:rFonts w:ascii="Arial" w:cs="Arial" w:eastAsia="Arial" w:hAnsi="Arial"/>
          <w:color w:val="4A6B6D"/>
          <w:sz w:val="21"/>
          <w:szCs w:val="21"/>
        </w:rPr>
        <w:t xml:space="preserve">Confirm Apollo revenue concentration % and diversification pipeline count</w:t>
      </w:r>
    </w:p>
    <w:p>
      <w:pPr>
        <w:pStyle w:val="Heading2"/>
        <w:spacing w:before="280" w:after="160"/>
      </w:pPr>
      <w:r>
        <w:rPr>
          <w:rFonts w:ascii="Arial" w:cs="Arial" w:eastAsia="Arial" w:hAnsi="Arial"/>
          <w:b/>
          <w:bCs/>
          <w:color w:val="1BB882"/>
          <w:sz w:val="26"/>
          <w:szCs w:val="26"/>
        </w:rPr>
        <w:t xml:space="preserve">Architecture</w:t>
      </w:r>
    </w:p>
    <w:p>
      <w:pPr>
        <w:pStyle w:val="ListParagraph"/>
        <w:numPr>
          <w:ilvl w:val="0"/>
          <w:numId w:val="4"/>
        </w:numPr>
        <w:spacing w:after="80"/>
      </w:pPr>
      <w:r>
        <w:rPr>
          <w:rFonts w:ascii="Arial" w:cs="Arial" w:eastAsia="Arial" w:hAnsi="Arial"/>
          <w:color w:val="4A6B6D"/>
          <w:sz w:val="21"/>
          <w:szCs w:val="21"/>
        </w:rPr>
        <w:t xml:space="preserve">Audit ontology structure with Soma (category-agnostic vs. FP&amp;A-specific)</w:t>
      </w:r>
    </w:p>
    <w:p>
      <w:pPr>
        <w:pStyle w:val="ListParagraph"/>
        <w:numPr>
          <w:ilvl w:val="0"/>
          <w:numId w:val="4"/>
        </w:numPr>
        <w:spacing w:after="80"/>
      </w:pPr>
      <w:r>
        <w:rPr>
          <w:rFonts w:ascii="Arial" w:cs="Arial" w:eastAsia="Arial" w:hAnsi="Arial"/>
          <w:color w:val="4A6B6D"/>
          <w:sz w:val="21"/>
          <w:szCs w:val="21"/>
        </w:rPr>
        <w:t xml:space="preserve">Confirm the four measurements are instrumented and producing data</w:t>
      </w:r>
    </w:p>
    <w:p>
      <w:pPr>
        <w:pStyle w:val="ListParagraph"/>
        <w:numPr>
          <w:ilvl w:val="0"/>
          <w:numId w:val="4"/>
        </w:numPr>
        <w:spacing w:after="80"/>
      </w:pPr>
      <w:r>
        <w:rPr>
          <w:rFonts w:ascii="Arial" w:cs="Arial" w:eastAsia="Arial" w:hAnsi="Arial"/>
          <w:color w:val="4A6B6D"/>
          <w:sz w:val="21"/>
          <w:szCs w:val="21"/>
        </w:rPr>
        <w:t xml:space="preserve">Tag all project touchpoints as AI-initiated vs. human-initiated (for ops touch tracking)</w:t>
      </w:r>
    </w:p>
    <w:p>
      <w:pPr>
        <w:pStyle w:val="Heading2"/>
        <w:spacing w:before="280" w:after="160"/>
      </w:pPr>
      <w:r>
        <w:rPr>
          <w:rFonts w:ascii="Arial" w:cs="Arial" w:eastAsia="Arial" w:hAnsi="Arial"/>
          <w:b/>
          <w:bCs/>
          <w:color w:val="1BB882"/>
          <w:sz w:val="26"/>
          <w:szCs w:val="26"/>
        </w:rPr>
        <w:t xml:space="preserve">Rehearsal</w:t>
      </w:r>
    </w:p>
    <w:p>
      <w:pPr>
        <w:pStyle w:val="ListParagraph"/>
        <w:numPr>
          <w:ilvl w:val="0"/>
          <w:numId w:val="2"/>
        </w:numPr>
        <w:spacing w:after="80"/>
      </w:pPr>
      <w:r>
        <w:rPr>
          <w:rFonts w:ascii="Arial" w:cs="Arial" w:eastAsia="Arial" w:hAnsi="Arial"/>
          <w:color w:val="4A6B6D"/>
          <w:sz w:val="21"/>
          <w:szCs w:val="21"/>
        </w:rPr>
        <w:t xml:space="preserve">Practice explaining “cross-task-type match accuracy convergence” in 15 seconds without notes.</w:t>
      </w:r>
    </w:p>
    <w:p>
      <w:pPr>
        <w:pStyle w:val="ListParagraph"/>
        <w:numPr>
          <w:ilvl w:val="0"/>
          <w:numId w:val="2"/>
        </w:numPr>
        <w:spacing w:after="80"/>
      </w:pPr>
      <w:r>
        <w:rPr>
          <w:rFonts w:ascii="Arial" w:cs="Arial" w:eastAsia="Arial" w:hAnsi="Arial"/>
          <w:color w:val="4A6B6D"/>
          <w:sz w:val="21"/>
          <w:szCs w:val="21"/>
        </w:rPr>
        <w:t xml:space="preserve">Practice the $50M vertical acceptance answer until it sounds natural, not rehearsed.</w:t>
      </w:r>
    </w:p>
    <w:p>
      <w:pPr>
        <w:pStyle w:val="ListParagraph"/>
        <w:numPr>
          <w:ilvl w:val="0"/>
          <w:numId w:val="2"/>
        </w:numPr>
        <w:spacing w:after="80"/>
      </w:pPr>
      <w:r>
        <w:rPr>
          <w:rFonts w:ascii="Arial" w:cs="Arial" w:eastAsia="Arial" w:hAnsi="Arial"/>
          <w:color w:val="4A6B6D"/>
          <w:sz w:val="21"/>
          <w:szCs w:val="21"/>
        </w:rPr>
        <w:t xml:space="preserve">Practice the take-rate compression answer — this is the final boss question.</w:t>
      </w:r>
    </w:p>
    <w:p>
      <w:pPr>
        <w:pStyle w:val="ListParagraph"/>
        <w:numPr>
          <w:ilvl w:val="0"/>
          <w:numId w:val="2"/>
        </w:numPr>
        <w:spacing w:after="80"/>
      </w:pPr>
      <w:r>
        <w:rPr>
          <w:rFonts w:ascii="Arial" w:cs="Arial" w:eastAsia="Arial" w:hAnsi="Arial"/>
          <w:color w:val="4A6B6D"/>
          <w:sz w:val="21"/>
          <w:szCs w:val="21"/>
        </w:rPr>
        <w:t xml:space="preserve">Run through the full 23-answer objection playbook with a sparring partner.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ACAE"/>
        <w:sz w:val="16"/>
        <w:szCs w:val="16"/>
      </w:rPr>
      <w:t xml:space="preserve">Page </w:t>
    </w:r>
    <w:r>
      <w:rPr>
        <w:rFonts w:ascii="Arial" w:cs="Arial" w:eastAsia="Arial" w:hAnsi="Arial"/>
        <w:color w:val="8AACA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ACAE"/>
        <w:sz w:val="16"/>
        <w:szCs w:val="16"/>
      </w:rPr>
      <w:t xml:space="preserve">Gratia — Series A Readiness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3272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B882"/>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3272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2026-02-21T08:46:10.359Z</dcterms:created>
  <dcterms:modified xsi:type="dcterms:W3CDTF">2026-02-21T08:46:10.359Z</dcterms:modified>
</cp:coreProperties>
</file>

<file path=docProps/custom.xml><?xml version="1.0" encoding="utf-8"?>
<Properties xmlns="http://schemas.openxmlformats.org/officeDocument/2006/custom-properties" xmlns:vt="http://schemas.openxmlformats.org/officeDocument/2006/docPropsVTypes"/>
</file>