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 Agreement - Nimbus Analytics and Acme Retail Ltd.</w:t>
      </w:r>
    </w:p>
    <w:p>
      <w:r>
        <w:t>Document ID: SA-2026-04-NIMBUS-ACME</w:t>
      </w:r>
    </w:p>
    <w:p>
      <w:r>
        <w:t>Effective Date: April 15, 2026</w:t>
      </w:r>
    </w:p>
    <w:p>
      <w:r>
        <w:t>Parties: Nimbus Analytics LLC (Provider) and Acme Retail Ltd. (Client).</w:t>
      </w:r>
    </w:p>
    <w:p>
      <w:pPr>
        <w:pStyle w:val="Heading1"/>
      </w:pPr>
      <w:r>
        <w:t>1. Scope of Services</w:t>
      </w:r>
    </w:p>
    <w:p>
      <w:r>
        <w:t>Provider will deliver a cloud-based sales analytics dashboard, data ingestion pipeline, and monthly insight reports. The service includes standard support during business hours from Monday to Friday, 9:00 AM to 6:00 PM Eastern Time.</w:t>
      </w:r>
    </w:p>
    <w:p>
      <w:pPr>
        <w:pStyle w:val="Heading1"/>
      </w:pPr>
      <w:r>
        <w:t>2. Fees and Payment Terms</w:t>
      </w:r>
    </w:p>
    <w:p>
      <w:r>
        <w:t>Client will pay a monthly subscription fee of USD 4,800. Invoices are issued on the first business day of each month. Payment is due within 30 days from the invoice date. Late payments accrue interest at 1.5% per month or the maximum rate allowed by law, whichever is lower.</w:t>
      </w:r>
    </w:p>
    <w:p>
      <w:pPr>
        <w:pStyle w:val="Heading1"/>
      </w:pPr>
      <w:r>
        <w:t>3. Term and Renewal</w:t>
      </w:r>
    </w:p>
    <w:p>
      <w:r>
        <w:t>The initial term is 12 months. The agreement renews automatically for successive 12-month terms unless either party provides written notice at least 60 days before the end of the then-current term.</w:t>
      </w:r>
    </w:p>
    <w:p>
      <w:pPr>
        <w:pStyle w:val="Heading1"/>
      </w:pPr>
      <w:r>
        <w:t>4. Confidentiality</w:t>
      </w:r>
    </w:p>
    <w:p>
      <w:r>
        <w:t>Each party must protect confidential information using reasonable administrative, technical, and physical safeguards. Confidential information may only be used to perform obligations under this agreement and may not be disclosed to third parties except approved subcontractors under similar confidentiality obligations.</w:t>
      </w:r>
    </w:p>
    <w:p>
      <w:pPr>
        <w:pStyle w:val="Heading1"/>
      </w:pPr>
      <w:r>
        <w:t>5. Data Security</w:t>
      </w:r>
    </w:p>
    <w:p>
      <w:r>
        <w:t>Provider will encrypt Client data in transit using TLS 1.2 or higher and encrypt data at rest using AES-256 or equivalent controls. Provider will notify Client of a confirmed security incident affecting Client data within 72 hours after confirmation.</w:t>
      </w:r>
    </w:p>
    <w:p>
      <w:pPr>
        <w:pStyle w:val="Heading1"/>
      </w:pPr>
      <w:r>
        <w:t>6. Service Levels</w:t>
      </w:r>
    </w:p>
    <w:p>
      <w:r>
        <w:t>Provider targets 99.5% monthly uptime excluding planned maintenance, force majeure events, and Client-caused outages. Planned maintenance must be announced at least 48 hours in advance.</w:t>
      </w:r>
    </w:p>
    <w:p>
      <w:pPr>
        <w:pStyle w:val="Heading1"/>
      </w:pPr>
      <w:r>
        <w:t>7. Termination</w:t>
      </w:r>
    </w:p>
    <w:p>
      <w:r>
        <w:t>Either party may terminate for material breach if the breach is not cured within 30 days after written notice. Client may terminate for convenience after the first 6 months by providing 45 days written notice and paying any outstanding invoices.</w:t>
      </w:r>
    </w:p>
    <w:p>
      <w:pPr>
        <w:pStyle w:val="Heading1"/>
      </w:pPr>
      <w:r>
        <w:t>8. Liability</w:t>
      </w:r>
    </w:p>
    <w:p>
      <w:r>
        <w:t>Except for confidentiality breaches, data security obligations, payment obligations, or gross negligence, each party's total liability is capped at the fees paid or payable during the 6 months before the claim.</w:t>
      </w:r>
    </w:p>
    <w:p>
      <w:pPr>
        <w:pStyle w:val="Heading1"/>
      </w:pPr>
      <w:r>
        <w:t>9. Governing Law</w:t>
      </w:r>
    </w:p>
    <w:p>
      <w:r>
        <w:t>This agreement is governed by the laws of the State of Delaware, without regard to conflict of law principles.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