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2b50d3647c8c08d1e85ce17e58e736e0852c49"/>
    <w:p>
      <w:pPr>
        <w:pStyle w:val="Heading1"/>
      </w:pPr>
      <w:r>
        <w:t xml:space="preserve">Umowa z klientem + Standard usługi: lista zadań dla Office Manager</w:t>
      </w:r>
    </w:p>
    <w:p>
      <w:pPr>
        <w:pStyle w:val="FirstParagraph"/>
      </w:pPr>
      <w:r>
        <w:rPr>
          <w:b/>
          <w:bCs/>
        </w:rPr>
        <w:t xml:space="preserve">2026-10-28 · prawnik nic nie pisze: bierzemy istniejące SLA sieci i je dostosowujemy (decyzja Norberta) · zadanie W.6 / W.7 (FAZA W 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ARKPOL_SCOPE_MASTER.md</w:t>
      </w:r>
      <w:r>
        <w:rPr>
          <w:b/>
          <w:bCs/>
        </w:rPr>
        <w:t xml:space="preserve">) · powiązane z: SLA dla podwykonawców v2</w:t>
      </w:r>
      <w:r>
        <w:t xml:space="preserve"> </w:t>
      </w:r>
      <w:r>
        <w:t xml:space="preserve">(</w:t>
      </w:r>
      <w:r>
        <w:rPr>
          <w:rStyle w:val="VerbatimChar"/>
        </w:rPr>
        <w:t xml:space="preserve">_pbs/products/pbs-federation/arenas/arkpol-testnet/channel/sla-podwykonawca/SLA_PODWYKONAWCA_v2.md</w:t>
      </w:r>
      <w:r>
        <w:t xml:space="preserve">, commit 27c1a117)</w:t>
      </w:r>
    </w:p>
    <w:p>
      <w:r>
        <w:pict>
          <v:rect style="width:0;height:1.5pt" o:hralign="center" o:hrstd="t" o:hr="t"/>
        </w:pict>
      </w:r>
    </w:p>
    <w:bookmarkStart w:id="9" w:name="o-co-chodzi-w-3-zdaniach"/>
    <w:p>
      <w:pPr>
        <w:pStyle w:val="Heading2"/>
      </w:pPr>
      <w:r>
        <w:t xml:space="preserve">O co chodzi (w 3 zdaniach)</w:t>
      </w:r>
    </w:p>
    <w:p>
      <w:pPr>
        <w:pStyle w:val="Compact"/>
        <w:numPr>
          <w:ilvl w:val="0"/>
          <w:numId w:val="1001"/>
        </w:numPr>
      </w:pPr>
      <w:r>
        <w:t xml:space="preserve">Klient z kreatora na arkpol.com dostaje do podpisu w Autenti</w:t>
      </w:r>
      <w:r>
        <w:t xml:space="preserve"> </w:t>
      </w:r>
      <w:r>
        <w:rPr>
          <w:b/>
          <w:bCs/>
        </w:rPr>
        <w:t xml:space="preserve">krótką umowę na 1 stronę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„Standard usługi” na 1 stronę</w:t>
      </w:r>
      <w:r>
        <w:t xml:space="preserve">. Zaznaczając checkbox i podpisując, klient</w:t>
      </w:r>
      <w:r>
        <w:t xml:space="preserve"> </w:t>
      </w:r>
      <w:r>
        <w:rPr>
          <w:b/>
          <w:bCs/>
        </w:rPr>
        <w:t xml:space="preserve">zgadza się na Standard usługi i go zatwierdza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Standard usługi to</w:t>
      </w:r>
      <w:r>
        <w:t xml:space="preserve"> </w:t>
      </w:r>
      <w:r>
        <w:rPr>
          <w:b/>
          <w:bCs/>
        </w:rPr>
        <w:t xml:space="preserve">ten sam dokument</w:t>
      </w:r>
      <w:r>
        <w:t xml:space="preserve">, który podwykonawca dostaje przy zleceniu jako „Kartę Sieci: Klient bezpośredni Arkpol”. Obowiązuje ta sama numeracja i ta sama wersja.</w:t>
      </w:r>
    </w:p>
    <w:p>
      <w:pPr>
        <w:pStyle w:val="Compact"/>
        <w:numPr>
          <w:ilvl w:val="0"/>
          <w:numId w:val="1001"/>
        </w:numPr>
      </w:pPr>
      <w:r>
        <w:t xml:space="preserve">Wynik: wszystko, co obiecujemy klientowi, podwykonawca musi wykonać wobec nas. Jeśli nie wykona, odpowiada wobec Arkpol (kary, potrącenie z faktury, weksel).</w:t>
      </w:r>
    </w:p>
    <w:p>
      <w:pPr>
        <w:pStyle w:val="SourceCode"/>
      </w:pPr>
      <w:r>
        <w:rPr>
          <w:rStyle w:val="VerbatimChar"/>
        </w:rPr>
        <w:t xml:space="preserve">KLIENT ── podpisuje ──▶ Umowa (1 str.) + Standard usługi vX (1 str.)</w:t>
      </w:r>
      <w:r>
        <w:br/>
      </w:r>
      <w:r>
        <w:rPr>
          <w:rStyle w:val="VerbatimChar"/>
        </w:rPr>
        <w:t xml:space="preserve">                                              │ ten sam dokument, ta sama wersja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PODWYKONAWCA ── przyjmuje zlecenie ──▶ Karta Sieci „Klient bezpośredni Arkpol” = Standard usługi vX</w:t>
      </w:r>
      <w:r>
        <w:br/>
      </w:r>
      <w:r>
        <w:rPr>
          <w:rStyle w:val="VerbatimChar"/>
        </w:rPr>
        <w:t xml:space="preserve">                                              │ SLA podwykonawcy § 3, § 9, § 11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jeśli zawiedzie: kara / potrącenie / regres na Arkpol</w:t>
      </w:r>
    </w:p>
    <w:p>
      <w:r>
        <w:pict>
          <v:rect style="width:0;height:1.5pt" o:hralign="center" o:hrstd="t" o:hr="t"/>
        </w:pict>
      </w:r>
    </w:p>
    <w:bookmarkEnd w:id="9"/>
    <w:bookmarkStart w:id="10" w:name="część-a.-co-zbiera-office-manager"/>
    <w:p>
      <w:pPr>
        <w:pStyle w:val="Heading2"/>
      </w:pPr>
      <w:r>
        <w:t xml:space="preserve">Część A. Co zbiera Office Manager</w:t>
      </w:r>
    </w:p>
    <w:p>
      <w:pPr>
        <w:pStyle w:val="FirstParagraph"/>
      </w:pPr>
      <w:r>
        <w:t xml:space="preserve">Odpowiedź „nie ma” też jest odpowiedzią. Wpisujemy ją i idziemy dalej. Gotowe materiały trafiają do folderu</w:t>
      </w:r>
      <w:r>
        <w:t xml:space="preserve"> </w:t>
      </w:r>
      <w:r>
        <w:rPr>
          <w:rStyle w:val="VerbatimChar"/>
        </w:rPr>
        <w:t xml:space="preserve">Umowy/Wzór umowy klient 2026</w:t>
      </w:r>
      <w:r>
        <w:t xml:space="preserve"> </w:t>
      </w:r>
      <w:r>
        <w:t xml:space="preserve">na Dysku, a link do Norberta.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 zebrać</w:t>
            </w:r>
          </w:p>
        </w:tc>
        <w:tc>
          <w:tcPr/>
          <w:p>
            <w:pPr>
              <w:pStyle w:val="Compact"/>
            </w:pPr>
            <w:r>
              <w:t xml:space="preserve">Skąd / od kogo</w:t>
            </w:r>
          </w:p>
        </w:tc>
        <w:tc>
          <w:tcPr/>
          <w:p>
            <w:pPr>
              <w:pStyle w:val="Compact"/>
            </w:pPr>
            <w:r>
              <w:t xml:space="preserve">Po co</w:t>
            </w:r>
          </w:p>
        </w:tc>
        <w:tc>
          <w:tcPr/>
          <w:p>
            <w:pPr>
              <w:pStyle w:val="Compact"/>
            </w:pPr>
            <w:r>
              <w:t xml:space="preserve">Gotowe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Obecne wzory</w:t>
            </w:r>
            <w:r>
              <w:t xml:space="preserve">: umowa z klientem prywatnym, ogólne warunki lub regulamin, formularz odstąpienia od umowy. Jeśli ich nie ma, wpisać „brak”.</w:t>
            </w:r>
          </w:p>
        </w:tc>
        <w:tc>
          <w:tcPr/>
          <w:p>
            <w:pPr>
              <w:pStyle w:val="Compact"/>
            </w:pPr>
            <w:r>
              <w:t xml:space="preserve">Dysk, poczta, Prezes, MM</w:t>
            </w:r>
          </w:p>
        </w:tc>
        <w:tc>
          <w:tcPr/>
          <w:p>
            <w:pPr>
              <w:pStyle w:val="Compact"/>
            </w:pPr>
            <w:r>
              <w:t xml:space="preserve">punkt startu wzoru (pytanie P31)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ostatnie oferty</w:t>
            </w:r>
            <w:r>
              <w:t xml:space="preserve"> </w:t>
            </w:r>
            <w:r>
              <w:t xml:space="preserve">wysłane klientom prywatnym, po jednej PL, EN i DE (jeśli są)</w:t>
            </w:r>
          </w:p>
        </w:tc>
        <w:tc>
          <w:tcPr/>
          <w:p>
            <w:pPr>
              <w:pStyle w:val="Compact"/>
            </w:pPr>
            <w:r>
              <w:t xml:space="preserve">skrzynki MM</w:t>
            </w:r>
          </w:p>
        </w:tc>
        <w:tc>
          <w:tcPr/>
          <w:p>
            <w:pPr>
              <w:pStyle w:val="Compact"/>
            </w:pPr>
            <w:r>
              <w:t xml:space="preserve">umowa ma odsyłać do oferty, więc musi pasować do jej układu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Która spółka</w:t>
            </w:r>
            <w:r>
              <w:t xml:space="preserve"> </w:t>
            </w:r>
            <w:r>
              <w:t xml:space="preserve">zawiera umowy z klientami prywatnymi (AR czy BIS), pełne dane rejestrowe</w:t>
            </w:r>
          </w:p>
        </w:tc>
        <w:tc>
          <w:tcPr/>
          <w:p>
            <w:pPr>
              <w:pStyle w:val="Compact"/>
            </w:pPr>
            <w:r>
              <w:t xml:space="preserve">Prezes / księgowość</w:t>
            </w:r>
          </w:p>
        </w:tc>
        <w:tc>
          <w:tcPr/>
          <w:p>
            <w:pPr>
              <w:pStyle w:val="Compact"/>
            </w:pPr>
            <w:r>
              <w:t xml:space="preserve">nagłówek umowy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Kto podpisuje</w:t>
            </w:r>
            <w:r>
              <w:t xml:space="preserve"> </w:t>
            </w:r>
            <w:r>
              <w:t xml:space="preserve">po stronie Arkpol i czy potrzebne jest pełnomocnictwo dla osoby podpisującej w Autenti</w:t>
            </w:r>
          </w:p>
        </w:tc>
        <w:tc>
          <w:tcPr/>
          <w:p>
            <w:pPr>
              <w:pStyle w:val="Compact"/>
            </w:pPr>
            <w:r>
              <w:t xml:space="preserve">Prezes</w:t>
            </w:r>
          </w:p>
        </w:tc>
        <w:tc>
          <w:tcPr/>
          <w:p>
            <w:pPr>
              <w:pStyle w:val="Compact"/>
            </w:pPr>
            <w:r>
              <w:t xml:space="preserve">podpis w Autenti (pytanie P30)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Polisy</w:t>
            </w:r>
            <w:r>
              <w:t xml:space="preserve">: kopie wszystkich polis (OC firmy, OC przewoźnika, cargo, magazyn). Przy każdej: suma, udział własny, czy obejmuje mienie przy przeprowadzce. Kontakt do brokera.</w:t>
            </w:r>
          </w:p>
        </w:tc>
        <w:tc>
          <w:tcPr/>
          <w:p>
            <w:pPr>
              <w:pStyle w:val="Compact"/>
            </w:pPr>
            <w:r>
              <w:t xml:space="preserve">segregator, broker</w:t>
            </w:r>
          </w:p>
        </w:tc>
        <w:tc>
          <w:tcPr/>
          <w:p>
            <w:pPr>
              <w:pStyle w:val="Compact"/>
            </w:pPr>
            <w:r>
              <w:t xml:space="preserve">zapis o odpowiedzialności w umowie. Nie obiecujemy klientowi więcej, niż pokrywa polisa.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</w:t>
            </w:r>
            <w:r>
              <w:t xml:space="preserve">: czy firma ma już konto Autenti albo inny e-podpis. Jeśli nie, cennik planów</w:t>
            </w:r>
            <w:r>
              <w:t xml:space="preserve"> </w:t>
            </w:r>
            <w:r>
              <w:rPr>
                <w:b/>
                <w:bCs/>
              </w:rPr>
              <w:t xml:space="preserve">z dostępem do API</w:t>
            </w:r>
            <w:r>
              <w:t xml:space="preserve"> </w:t>
            </w:r>
            <w:r>
              <w:t xml:space="preserve">i koszt jednego podpisu.</w:t>
            </w:r>
          </w:p>
        </w:tc>
        <w:tc>
          <w:tcPr/>
          <w:p>
            <w:pPr>
              <w:pStyle w:val="Compact"/>
            </w:pPr>
            <w:r>
              <w:t xml:space="preserve">strona Autenti / handlowiec Autenti</w:t>
            </w:r>
          </w:p>
        </w:tc>
        <w:tc>
          <w:tcPr/>
          <w:p>
            <w:pPr>
              <w:pStyle w:val="Compact"/>
            </w:pPr>
            <w:r>
              <w:t xml:space="preserve">decyzja kosztowa Norberta, potem założenie konta (W.7)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Protokoły w użyciu</w:t>
            </w:r>
            <w:r>
              <w:t xml:space="preserve"> </w:t>
            </w:r>
            <w:r>
              <w:t xml:space="preserve">(skan z 2–3 ostatnich zleceń): protokół rozpoczęcia, zakończenia, spis rzeczy, protokół szkód. Jeśli ich nie ma, wpisać „brak”.</w:t>
            </w:r>
          </w:p>
        </w:tc>
        <w:tc>
          <w:tcPr/>
          <w:p>
            <w:pPr>
              <w:pStyle w:val="Compact"/>
            </w:pPr>
            <w:r>
              <w:t xml:space="preserve">MM, magazyn, ekipy</w:t>
            </w:r>
          </w:p>
        </w:tc>
        <w:tc>
          <w:tcPr/>
          <w:p>
            <w:pPr>
              <w:pStyle w:val="Compact"/>
            </w:pPr>
            <w:r>
              <w:t xml:space="preserve">te same druki podpisują klient i podwykonawca, więc muszą być jedne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Reklamacje dziś</w:t>
            </w:r>
            <w:r>
              <w:t xml:space="preserve">: jak klient zgłasza szkodę, kto odpowiada, gdzie to jest zapisane. Lista reklamacji z 2026 (tylko data i rodzaj).</w:t>
            </w:r>
          </w:p>
        </w:tc>
        <w:tc>
          <w:tcPr/>
          <w:p>
            <w:pPr>
              <w:pStyle w:val="Compact"/>
            </w:pPr>
            <w:r>
              <w:t xml:space="preserve">MM, biuro</w:t>
            </w:r>
          </w:p>
        </w:tc>
        <w:tc>
          <w:tcPr/>
          <w:p>
            <w:pPr>
              <w:pStyle w:val="Compact"/>
            </w:pPr>
            <w:r>
              <w:t xml:space="preserve">kanał zgłoszeń i termin odpowiedzi w Standardzie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Lista podwykonawców</w:t>
            </w:r>
            <w:r>
              <w:t xml:space="preserve">, którzy dziś obsługują klientów prywatnych: nazwa, NIP, kontakt, czy mają pisemną umowę z Arkpol, kopia polisy</w:t>
            </w:r>
          </w:p>
        </w:tc>
        <w:tc>
          <w:tcPr/>
          <w:p>
            <w:pPr>
              <w:pStyle w:val="Compact"/>
            </w:pPr>
            <w:r>
              <w:t xml:space="preserve">MM, księgowość</w:t>
            </w:r>
          </w:p>
        </w:tc>
        <w:tc>
          <w:tcPr/>
          <w:p>
            <w:pPr>
              <w:pStyle w:val="Compact"/>
            </w:pPr>
            <w:r>
              <w:t xml:space="preserve">oni podpisują SLA podwykonawcy. Bez tego obietnica dla klienta nie ma pokrycia.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Podwykonawcy: SLA kwartalne.</w:t>
            </w:r>
            <w:r>
              <w:t xml:space="preserve"> </w:t>
            </w:r>
            <w:r>
              <w:t xml:space="preserve">Office Manager jest w DW każdego maila automatu (zaproszenie, 2 przypomnienia, informacja o blokadzie). Sprawdza, czy podpisane SLA są w folderze kwartału na Dysku. Kto nie podpisał, ten od pierwszego dnia kwartału nie dostaje nowych zleceń: przekazać to MM.</w:t>
            </w:r>
          </w:p>
        </w:tc>
        <w:tc>
          <w:tcPr/>
          <w:p>
            <w:pPr>
              <w:pStyle w:val="Compact"/>
            </w:pPr>
            <w:r>
              <w:t xml:space="preserve">automat</w:t>
            </w:r>
            <w:r>
              <w:t xml:space="preserve"> </w:t>
            </w:r>
            <w:r>
              <w:rPr>
                <w:rStyle w:val="VerbatimChar"/>
              </w:rPr>
              <w:t xml:space="preserve">ops/sla_kwartal</w:t>
            </w:r>
            <w:r>
              <w:t xml:space="preserve">, Dysk</w:t>
            </w:r>
          </w:p>
        </w:tc>
        <w:tc>
          <w:tcPr/>
          <w:p>
            <w:pPr>
              <w:pStyle w:val="Compact"/>
            </w:pPr>
            <w:r>
              <w:t xml:space="preserve">dzięki temu obietnice z umowy klienta są pokryte przez podwykonawców</w:t>
            </w:r>
          </w:p>
        </w:tc>
        <w:tc>
          <w:tcPr/>
          <w:p>
            <w:pPr>
              <w:pStyle w:val="Compact"/>
            </w:pPr>
            <w:r>
              <w:t xml:space="preserve">co kwartał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Tłumacz lub native</w:t>
            </w:r>
            <w:r>
              <w:t xml:space="preserve"> </w:t>
            </w:r>
            <w:r>
              <w:t xml:space="preserve">do sprawdzenia wersji EN i DE</w:t>
            </w:r>
          </w:p>
        </w:tc>
        <w:tc>
          <w:tcPr/>
          <w:p>
            <w:pPr>
              <w:pStyle w:val="Compact"/>
            </w:pPr>
            <w:r>
              <w:t xml:space="preserve">kontakty firmy</w:t>
            </w:r>
          </w:p>
        </w:tc>
        <w:tc>
          <w:tcPr/>
          <w:p>
            <w:pPr>
              <w:pStyle w:val="Compact"/>
            </w:pPr>
            <w:r>
              <w:t xml:space="preserve">Standard usługi i umowa w 3 językach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Czego Office Manager NIE decyduje.</w:t>
      </w:r>
      <w:r>
        <w:t xml:space="preserve"> </w:t>
      </w:r>
      <w:r>
        <w:t xml:space="preserve">Te pola zostają w [nawiasach] do decyzji Norberta i Prezesa: wysokość zaliczki, kwoty kar dla podwykonawców, sumy polis, termin wysłania dokumentów klientowi, zakres, za który Arkpol bierze odpowiedzialność.</w:t>
      </w:r>
    </w:p>
    <w:p>
      <w:r>
        <w:pict>
          <v:rect style="width:0;height:1.5pt" o:hralign="center" o:hrstd="t" o:hr="t"/>
        </w:pict>
      </w:r>
    </w:p>
    <w:bookmarkEnd w:id="10"/>
    <w:bookmarkStart w:id="11" w:name="X02cf76ac272364aed704d5842034617e702f17b"/>
    <w:p>
      <w:pPr>
        <w:pStyle w:val="Heading2"/>
      </w:pPr>
      <w:r>
        <w:t xml:space="preserve">Część B. Umowa z klientem: szkic układu (1 strona)</w:t>
      </w:r>
    </w:p>
    <w:p>
      <w:pPr>
        <w:pStyle w:val="FirstParagraph"/>
      </w:pPr>
      <w:r>
        <w:t xml:space="preserve">Krótko, zwykłym językiem, bez paragrafów na pół strony. Wszystkie szczegóły są w ofercie i w Standardzie usługi.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Strony</w:t>
      </w:r>
      <w:r>
        <w:t xml:space="preserve">: Arkpol [spółka z A3] i Klient (dane z kreatora).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 robimy</w:t>
      </w:r>
      <w:r>
        <w:t xml:space="preserve">: zakres, ilość i adresy według</w:t>
      </w:r>
      <w:r>
        <w:t xml:space="preserve"> </w:t>
      </w:r>
      <w:r>
        <w:rPr>
          <w:b/>
          <w:bCs/>
        </w:rPr>
        <w:t xml:space="preserve">Oferty nr [XXX]</w:t>
      </w:r>
      <w:r>
        <w:t xml:space="preserve">, która jest częścią umowy.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Termin</w:t>
      </w:r>
      <w:r>
        <w:t xml:space="preserve">: [data]. Termin jest potwierdzony dopiero po podpisaniu umowy i wpłacie zaliczki (jak w stopce oferty).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Cena i płatność</w:t>
      </w:r>
      <w:r>
        <w:t xml:space="preserve">: ryczałt według oferty, zaliczka [20–30]% (jak w ofercie). Dopłaty tylko według cennika z oferty i tylko po akceptacji Klienta przed rozpoczęciem pracy.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 usługi</w:t>
      </w:r>
      <w:r>
        <w:t xml:space="preserve">:</w:t>
      </w:r>
      <w:r>
        <w:t xml:space="preserve"> </w:t>
      </w:r>
      <w:r>
        <w:t xml:space="preserve">&gt; ☐</w:t>
      </w:r>
      <w:r>
        <w:t xml:space="preserve"> </w:t>
      </w:r>
      <w:r>
        <w:rPr>
          <w:b/>
          <w:bCs/>
        </w:rPr>
        <w:t xml:space="preserve">Akceptuję Standard usługi Arkpol (wersja [2] z [28.10.2026]). Standard jest częścią tej umowy.</w:t>
      </w:r>
      <w:r>
        <w:t xml:space="preserve"> </w:t>
      </w:r>
      <w:r>
        <w:t xml:space="preserve">&gt;</w:t>
      </w:r>
      <w:r>
        <w:t xml:space="preserve"> </w:t>
      </w:r>
      <w:r>
        <w:t xml:space="preserve">&gt; Checkbox w kreatorze jest</w:t>
      </w:r>
      <w:r>
        <w:t xml:space="preserve"> </w:t>
      </w:r>
      <w:r>
        <w:rPr>
          <w:b/>
          <w:bCs/>
        </w:rPr>
        <w:t xml:space="preserve">niezaznaczony</w:t>
      </w:r>
      <w:r>
        <w:t xml:space="preserve"> </w:t>
      </w:r>
      <w:r>
        <w:t xml:space="preserve">domyślnie. Bez zaznaczenia nie można przejść dalej. Autenti podpisuje umowę, ofertę i Standard jako</w:t>
      </w:r>
      <w:r>
        <w:t xml:space="preserve"> </w:t>
      </w:r>
      <w:r>
        <w:rPr>
          <w:b/>
          <w:bCs/>
        </w:rPr>
        <w:t xml:space="preserve">jeden PDF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Odpowiedzialność i ubezpieczenie</w:t>
      </w:r>
      <w:r>
        <w:t xml:space="preserve">: jedno zdanie, treść po A5 (polisy) i decyzji Norberta.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Odstąpienie od umowy</w:t>
      </w:r>
      <w:r>
        <w:t xml:space="preserve"> </w:t>
      </w:r>
      <w:r>
        <w:t xml:space="preserve">(wymóg ustawy dla konsumenta, umowa zawarta na odległość): wzór formularza w załączniku. Klient w kreatorze prosi o rozpoczęcie usługi przed upływem 14 dni i przyjmuje do wiadomości, że po pełnym wykonaniu usługi traci prawo odstąpienia (art. 38 ustawy o prawach konsumenta).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Dane osobowe</w:t>
      </w:r>
      <w:r>
        <w:t xml:space="preserve">: jedno zdanie i link do polityki prywatności.</w:t>
      </w:r>
    </w:p>
    <w:p>
      <w:r>
        <w:pict>
          <v:rect style="width:0;height:1.5pt" o:hralign="center" o:hrstd="t" o:hr="t"/>
        </w:pict>
      </w:r>
    </w:p>
    <w:bookmarkEnd w:id="11"/>
    <w:bookmarkStart w:id="14" w:name="X70e50e1f1107bcc87cf2b79f7958965ed8a1bf5"/>
    <w:p>
      <w:pPr>
        <w:pStyle w:val="Heading2"/>
      </w:pPr>
      <w:r>
        <w:t xml:space="preserve">Część C. Standard usługi: szkic (1 strona, ta sama wersja co SLA podwykonawcy)</w:t>
      </w:r>
    </w:p>
    <w:p>
      <w:pPr>
        <w:pStyle w:val="FirstParagraph"/>
      </w:pPr>
      <w:r>
        <w:t xml:space="preserve">Każda obietnica ma źródło w SLA podwykonawcy. Kolumna „§ SLA” to dowód, że za tę obietnicę odpowiada wobec nas podwykonawca. Nowych liczb nie dopisujemy. Tam, gdzie liczbę musi ustalić Norbert, jest [nawias].</w:t>
      </w:r>
    </w:p>
    <w:bookmarkStart w:id="12" w:name="co-obiecujemy-klientowi"/>
    <w:p>
      <w:pPr>
        <w:pStyle w:val="Heading3"/>
      </w:pPr>
      <w:r>
        <w:t xml:space="preserve">Co obiecujemy Klientowi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Obietnica dla Klienta</w:t>
            </w:r>
          </w:p>
        </w:tc>
        <w:tc>
          <w:tcPr/>
          <w:p>
            <w:pPr>
              <w:pStyle w:val="Compact"/>
            </w:pPr>
            <w:r>
              <w:t xml:space="preserve">§ SLA podwykonawcy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Przed rozpoczęciem pracy razem z Klientem spisujemy stan mieszkania (zdjęcia „przed”), a po zakończeniu stan „po”. Obie strony podpisują protokół.</w:t>
            </w:r>
          </w:p>
        </w:tc>
        <w:tc>
          <w:tcPr/>
          <w:p>
            <w:pPr>
              <w:pStyle w:val="Compact"/>
            </w:pPr>
            <w:r>
              <w:t xml:space="preserve">§ 5 ust.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Zabezpieczamy podłogi, drzwi i części wspólne przez cały czas pracy. Za szkody w mieszkaniu odpowiadamy.</w:t>
            </w:r>
          </w:p>
        </w:tc>
        <w:tc>
          <w:tcPr/>
          <w:p>
            <w:pPr>
              <w:pStyle w:val="Compact"/>
            </w:pPr>
            <w:r>
              <w:t xml:space="preserve">§ 5 ust. 5, §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Ekipa jest przeszkolona, ma brygadzistę, z którym można się porozumieć po polsku lub angielsku, i pracuje trzeźwa.</w:t>
            </w:r>
          </w:p>
        </w:tc>
        <w:tc>
          <w:tcPr/>
          <w:p>
            <w:pPr>
              <w:pStyle w:val="Compact"/>
            </w:pPr>
            <w:r>
              <w:t xml:space="preserve">§ 5 ust. 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Pakujemy w nowe materiały. Każdy karton jest ponumerowany i wpisany do spisu, a Klient dostaje kopię spisu.</w:t>
            </w:r>
          </w:p>
        </w:tc>
        <w:tc>
          <w:tcPr/>
          <w:p>
            <w:pPr>
              <w:pStyle w:val="Compact"/>
            </w:pPr>
            <w:r>
              <w:t xml:space="preserve">§ 5 ust. 3,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Meble rozkręcamy i skręcamy. Śruby i części trafiają do oznaczonego „pudełka na części”.</w:t>
            </w:r>
          </w:p>
        </w:tc>
        <w:tc>
          <w:tcPr/>
          <w:p>
            <w:pPr>
              <w:pStyle w:val="Compact"/>
            </w:pPr>
            <w:r>
              <w:t xml:space="preserve">§ 5 ust.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Na koniec robimy wspólny obchód mieszkania i podpisujemy protokół zakończenia.</w:t>
            </w:r>
          </w:p>
        </w:tc>
        <w:tc>
          <w:tcPr/>
          <w:p>
            <w:pPr>
              <w:pStyle w:val="Compact"/>
            </w:pPr>
            <w:r>
              <w:t xml:space="preserve">§ 5 ust.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Rozpakowanie, ustawienie i wywóz kartonów są wykonywane, jeśli są w ofercie.</w:t>
            </w:r>
          </w:p>
        </w:tc>
        <w:tc>
          <w:tcPr/>
          <w:p>
            <w:pPr>
              <w:pStyle w:val="Compact"/>
            </w:pPr>
            <w:r>
              <w:t xml:space="preserve">§ 5 ust.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Dokumenty (spis, protokoły, zdjęcia) Klient dostaje w ciągu</w:t>
            </w:r>
            <w:r>
              <w:t xml:space="preserve"> </w:t>
            </w:r>
            <w:r>
              <w:rPr>
                <w:b/>
                <w:bCs/>
              </w:rPr>
              <w:t xml:space="preserve">[●] dni roboczych</w:t>
            </w:r>
            <w:r>
              <w:t xml:space="preserve">. Decyzja Norberta: podwykonawca ma na to 1 dzień roboczy, więc termin dla Klienta nie może być krótszy niż 2.</w:t>
            </w:r>
          </w:p>
        </w:tc>
        <w:tc>
          <w:tcPr/>
          <w:p>
            <w:pPr>
              <w:pStyle w:val="Compact"/>
            </w:pPr>
            <w:r>
              <w:t xml:space="preserve">Zał. 1 A11–A12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Reklamację rozpatrujemy w ciągu</w:t>
            </w:r>
            <w:r>
              <w:t xml:space="preserve"> </w:t>
            </w:r>
            <w:r>
              <w:rPr>
                <w:b/>
                <w:bCs/>
              </w:rPr>
              <w:t xml:space="preserve">14 dni</w:t>
            </w:r>
            <w:r>
              <w:t xml:space="preserve"> </w:t>
            </w:r>
            <w:r>
              <w:t xml:space="preserve">(ustawa o prawach konsumenta). Podwykonawca ma 3 dni robocze na odpowiedź do nas, więc mieścimy się z zapasem.</w:t>
            </w:r>
          </w:p>
        </w:tc>
        <w:tc>
          <w:tcPr/>
          <w:p>
            <w:pPr>
              <w:pStyle w:val="Compact"/>
            </w:pPr>
            <w:r>
              <w:t xml:space="preserve">§ 10 ust.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Nie ma dopłat „na miejscu” bez zgody. Każda zmiana zakresu lub ceny wymaga akceptacji Klienta</w:t>
            </w:r>
            <w:r>
              <w:t xml:space="preserve"> </w:t>
            </w:r>
            <w:r>
              <w:rPr>
                <w:b/>
                <w:bCs/>
              </w:rPr>
              <w:t xml:space="preserve">przed</w:t>
            </w:r>
            <w:r>
              <w:t xml:space="preserve"> </w:t>
            </w:r>
            <w:r>
              <w:t xml:space="preserve">wykonaniem pracy.</w:t>
            </w:r>
          </w:p>
        </w:tc>
        <w:tc>
          <w:tcPr/>
          <w:p>
            <w:pPr>
              <w:pStyle w:val="Compact"/>
            </w:pPr>
            <w:r>
              <w:t xml:space="preserve">§ 7 ust. 3</w:t>
            </w:r>
          </w:p>
        </w:tc>
      </w:tr>
    </w:tbl>
    <w:bookmarkEnd w:id="12"/>
    <w:bookmarkStart w:id="13" w:name="X1d4efbba4357760734ddfaac7f5f94683221b2f"/>
    <w:p>
      <w:pPr>
        <w:pStyle w:val="Heading3"/>
      </w:pPr>
      <w:r>
        <w:t xml:space="preserve">Co robi Klient (żeby obietnice dało się dotrzymać)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Obowiązek Klienta</w:t>
            </w:r>
          </w:p>
        </w:tc>
        <w:tc>
          <w:tcPr/>
          <w:p>
            <w:pPr>
              <w:pStyle w:val="Compact"/>
            </w:pPr>
            <w:r>
              <w:t xml:space="preserve">Dlaczego / §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W kreatorze podaje prawdziwe dane: piętro, winda, parking, dojście.</w:t>
            </w:r>
          </w:p>
        </w:tc>
        <w:tc>
          <w:tcPr/>
          <w:p>
            <w:pPr>
              <w:pStyle w:val="Compact"/>
            </w:pPr>
            <w:r>
              <w:t xml:space="preserve">Od tego zależy wycena i ekipa (§ 7 ust. 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Jest obecny lub wyznacza osobę na protokół „przed” i „po” oraz podpisuje spis.</w:t>
            </w:r>
          </w:p>
        </w:tc>
        <w:tc>
          <w:tcPr/>
          <w:p>
            <w:pPr>
              <w:pStyle w:val="Compact"/>
            </w:pPr>
            <w:r>
              <w:t xml:space="preserve">Bez podpisu nie ma dowodu przy szkodzie (§ 5 ust. 5–6).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Nie oddaje do pakowania rzeczy zabronionych (lista w załączniku: łatwopalne, żywność, płyny, broń itp.). Pieniądze, biżuterię i dokumenty przewozi sam.</w:t>
            </w:r>
          </w:p>
        </w:tc>
        <w:tc>
          <w:tcPr/>
          <w:p>
            <w:pPr>
              <w:pStyle w:val="Compact"/>
            </w:pPr>
            <w:r>
              <w:t xml:space="preserve">§ 5 ust.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Dodatkowe prace zamawia przez opiekuna zlecenia, nie bezpośrednio u ekipy.</w:t>
            </w:r>
          </w:p>
        </w:tc>
        <w:tc>
          <w:tcPr/>
          <w:p>
            <w:pPr>
              <w:pStyle w:val="Compact"/>
            </w:pPr>
            <w:r>
              <w:t xml:space="preserve">§ 4 ust. 3, § 7 ust.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Szkodę widoczną wpisuje do protokołu zakończenia, a szkodę ukrytą zgłasza w terminie</w:t>
            </w:r>
            <w:r>
              <w:t xml:space="preserve"> </w:t>
            </w:r>
            <w:r>
              <w:rPr>
                <w:b/>
                <w:bCs/>
              </w:rPr>
              <w:t xml:space="preserve">[●]</w:t>
            </w:r>
            <w:r>
              <w:t xml:space="preserve">. Proponowany termin to 7 dni (art. 76 Prawa przewozowego).</w:t>
            </w:r>
          </w:p>
        </w:tc>
        <w:tc>
          <w:tcPr/>
          <w:p>
            <w:pPr>
              <w:pStyle w:val="Compact"/>
            </w:pPr>
            <w:r>
              <w:t xml:space="preserve">§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X61028dd10638bfe25edce93b31df4271a5fc25a"/>
    <w:p>
      <w:pPr>
        <w:pStyle w:val="Heading2"/>
      </w:pPr>
      <w:r>
        <w:t xml:space="preserve">Część D. Jak zostaje spięte (do zrobienia przez Agenta, nie przez Office Manager)</w:t>
      </w:r>
    </w:p>
    <w:p>
      <w:pPr>
        <w:pStyle w:val="Compact"/>
        <w:numPr>
          <w:ilvl w:val="0"/>
          <w:numId w:val="1003"/>
        </w:numPr>
      </w:pPr>
      <w:r>
        <w:t xml:space="preserve">W SLA podwykonawcy, w</w:t>
      </w:r>
      <w:r>
        <w:t xml:space="preserve"> </w:t>
      </w:r>
      <w:r>
        <w:rPr>
          <w:b/>
          <w:bCs/>
        </w:rPr>
        <w:t xml:space="preserve">Załączniku nr 2</w:t>
      </w:r>
      <w:r>
        <w:t xml:space="preserve">, dopisana jest Karta Sieci „Klient bezpośredni Arkpol” = ten Standard usługi (ta sama wersja).</w:t>
      </w:r>
    </w:p>
    <w:p>
      <w:pPr>
        <w:pStyle w:val="Compact"/>
        <w:numPr>
          <w:ilvl w:val="0"/>
          <w:numId w:val="1003"/>
        </w:numPr>
      </w:pPr>
      <w:r>
        <w:t xml:space="preserve">Przy każdym zleceniu dla klienta prywatnego zlecenie dla podwykonawcy zawiera ten Standard (SLA podwykonawcy § 3 ust. 1–3). Przyjęcie zlecenia oznacza akceptację.</w:t>
      </w:r>
    </w:p>
    <w:p>
      <w:pPr>
        <w:pStyle w:val="Compact"/>
        <w:numPr>
          <w:ilvl w:val="0"/>
          <w:numId w:val="1003"/>
        </w:numPr>
      </w:pPr>
      <w:r>
        <w:t xml:space="preserve">Zmiana Standardu oznacza</w:t>
      </w:r>
      <w:r>
        <w:t xml:space="preserve"> </w:t>
      </w:r>
      <w:r>
        <w:rPr>
          <w:b/>
          <w:bCs/>
        </w:rPr>
        <w:t xml:space="preserve">nowy numer wersji</w:t>
      </w:r>
      <w:r>
        <w:t xml:space="preserve"> </w:t>
      </w:r>
      <w:r>
        <w:t xml:space="preserve">w obu miejscach naraz. Klient i podwykonawca zawsze mają tę samą wersję.</w:t>
      </w:r>
    </w:p>
    <w:p>
      <w:pPr>
        <w:pStyle w:val="Compact"/>
        <w:numPr>
          <w:ilvl w:val="0"/>
          <w:numId w:val="1003"/>
        </w:numPr>
      </w:pPr>
      <w:r>
        <w:t xml:space="preserve">W.8: umowa z Autenti trafia do Brain razem z numerem wersji Standardu. Ten sam numer idzie na zlecenie dla podwykonawcy.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2026-10-28T06:16:08Z</dcterms:created>
  <dcterms:modified xsi:type="dcterms:W3CDTF">2026-10-28T06:16:08Z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