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Times New Roman" w:cs="Times New Roman" w:eastAsia="Times New Roman" w:hAnsi="Times New Roman"/>
          <w:b/>
          <w:bCs/>
          <w:color w:val="020617"/>
          <w:sz w:val="56"/>
          <w:szCs w:val="56"/>
        </w:rPr>
        <w:t xml:space="preserve">COMPREHENSIVE ASSESSMENT</w:t>
      </w:r>
    </w:p>
    <w:p>
      <w:pPr>
        <w:spacing w:before="120"/>
        <w:jc w:val="center"/>
      </w:pPr>
      <w:r>
        <w:rPr>
          <w:rFonts w:ascii="Times New Roman" w:cs="Times New Roman" w:eastAsia="Times New Roman" w:hAnsi="Times New Roman"/>
          <w:b/>
          <w:bCs/>
          <w:color w:val="1E293B"/>
          <w:sz w:val="48"/>
          <w:szCs w:val="48"/>
        </w:rPr>
        <w:t xml:space="preserve">ANALYTICAL REPORT</w:t>
      </w:r>
    </w:p>
    <w:p>
      <w:pPr>
        <w:spacing w:before="600"/>
      </w:pPr>
    </w:p>
    <w:p>
      <w:pPr>
        <w:jc w:val="center"/>
      </w:pPr>
      <w:r>
        <w:rPr>
          <w:rFonts w:ascii="Times New Roman" w:cs="Times New Roman" w:eastAsia="Times New Roman" w:hAnsi="Times New Roman"/>
          <w:color w:val="64748B"/>
          <w:sz w:val="28"/>
          <w:szCs w:val="28"/>
        </w:rPr>
        <w:t xml:space="preserve">OpenClaw AI System Documentation Suite</w:t>
      </w:r>
    </w:p>
    <w:p>
      <w:pPr>
        <w:spacing w:before="1200"/>
      </w:pPr>
    </w:p>
    <w:p>
      <w:pPr>
        <w:jc w:val="center"/>
      </w:pPr>
      <w:r>
        <w:rPr>
          <w:color w:val="94A3B8"/>
          <w:sz w:val="24"/>
          <w:szCs w:val="24"/>
        </w:rPr>
        <w:t xml:space="preserve">━━━━━━━━━━━━━━━━━━━━━━━━━━━━━━━━━━━</w:t>
      </w:r>
    </w:p>
    <w:p>
      <w:pPr>
        <w:spacing w:before="600"/>
      </w:pPr>
    </w:p>
    <w:p>
      <w:pPr>
        <w:jc w:val="center"/>
      </w:pPr>
      <w:r>
        <w:rPr>
          <w:rFonts w:ascii="Times New Roman" w:cs="Times New Roman" w:eastAsia="Times New Roman" w:hAnsi="Times New Roman"/>
          <w:color w:val="1E293B"/>
          <w:sz w:val="22"/>
          <w:szCs w:val="22"/>
        </w:rPr>
        <w:t xml:space="preserve">Source Repository: nordeim/AI-Computer</w:t>
      </w:r>
    </w:p>
    <w:p>
      <w:pPr>
        <w:spacing w:before="120"/>
        <w:jc w:val="center"/>
      </w:pPr>
      <w:r>
        <w:rPr>
          <w:rFonts w:ascii="Times New Roman" w:cs="Times New Roman" w:eastAsia="Times New Roman" w:hAnsi="Times New Roman"/>
          <w:color w:val="1E293B"/>
          <w:sz w:val="22"/>
          <w:szCs w:val="22"/>
        </w:rPr>
        <w:t xml:space="preserve">Analysis Date: March 16, 2026</w:t>
      </w:r>
    </w:p>
    <w:p>
      <w:pPr>
        <w:spacing w:before="1800"/>
      </w:pPr>
    </w:p>
    <w:p>
      <w:pPr>
        <w:jc w:val="center"/>
      </w:pPr>
      <w:r>
        <w:rPr>
          <w:rFonts w:ascii="Times New Roman" w:cs="Times New Roman" w:eastAsia="Times New Roman" w:hAnsi="Times New Roman"/>
          <w:i/>
          <w:iCs/>
          <w:color w:val="64748B"/>
          <w:sz w:val="20"/>
          <w:szCs w:val="20"/>
        </w:rPr>
        <w:t xml:space="preserve">Document Classification: Technical Architecture Assessment</w:t>
      </w:r>
    </w:p>
    <w:p>
      <w:pPr>
        <w:sectPr>
          <w:pgSz w:w="11906" w:h="16838" w:orient="portrait"/>
          <w:pgMar w:top="0" w:right="0" w:bottom="0" w:left="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Executive Summary</w:t>
          </w:r>
          <w:r>
            <w:tab/>
          </w:r>
          <w:r>
            <w:t>3</w:t>
          </w:r>
        </w:p>
        <w:p>
          <w:pPr>
            <w:pStyle w:val="9"/>
            <w:tabs>
              <w:tab w:val="right" w:leader="dot" w:pos="9026"/>
            </w:tabs>
          </w:pPr>
          <w:r>
            <w:t>Document Portfolio Overview</w:t>
          </w:r>
          <w:r>
            <w:tab/>
          </w:r>
          <w:r>
            <w:t>4</w:t>
          </w:r>
        </w:p>
        <w:p>
          <w:pPr>
            <w:pStyle w:val="9"/>
            <w:tabs>
              <w:tab w:val="right" w:leader="dot" w:pos="9026"/>
            </w:tabs>
          </w:pPr>
          <w:r>
            <w:t>Detailed Document Analysis</w:t>
          </w:r>
          <w:r>
            <w:tab/>
          </w:r>
          <w:r>
            <w:t>5</w:t>
          </w:r>
        </w:p>
        <w:p>
          <w:pPr>
            <w:pStyle w:val="11"/>
            <w:ind w:left="360"/>
            <w:tabs>
              <w:tab w:val="right" w:leader="dot" w:pos="9026"/>
            </w:tabs>
          </w:pPr>
          <w:r>
            <w:t>MEMORY.md — Curated Long-Term Memory</w:t>
          </w:r>
          <w:r>
            <w:tab/>
          </w:r>
          <w:r>
            <w:t>5</w:t>
          </w:r>
        </w:p>
        <w:p>
          <w:pPr>
            <w:pStyle w:val="11"/>
            <w:ind w:left="360"/>
            <w:tabs>
              <w:tab w:val="right" w:leader="dot" w:pos="9026"/>
            </w:tabs>
          </w:pPr>
          <w:r>
            <w:t>SOUL.md — Personality and Communication Style</w:t>
          </w:r>
          <w:r>
            <w:tab/>
          </w:r>
          <w:r>
            <w:t>7</w:t>
          </w:r>
        </w:p>
        <w:p>
          <w:pPr>
            <w:pStyle w:val="11"/>
            <w:ind w:left="360"/>
            <w:tabs>
              <w:tab w:val="right" w:leader="dot" w:pos="9026"/>
            </w:tabs>
          </w:pPr>
          <w:r>
            <w:t>IDENTITY.md — System Identity and Role Definition</w:t>
          </w:r>
          <w:r>
            <w:tab/>
          </w:r>
          <w:r>
            <w:t>8</w:t>
          </w:r>
        </w:p>
        <w:p>
          <w:pPr>
            <w:pStyle w:val="11"/>
            <w:ind w:left="360"/>
            <w:tabs>
              <w:tab w:val="right" w:leader="dot" w:pos="9026"/>
            </w:tabs>
          </w:pPr>
          <w:r>
            <w:t>USER.md — User Profile and Preferences</w:t>
          </w:r>
          <w:r>
            <w:tab/>
          </w:r>
          <w:r>
            <w:t>9</w:t>
          </w:r>
        </w:p>
        <w:p>
          <w:pPr>
            <w:pStyle w:val="11"/>
            <w:ind w:left="360"/>
            <w:tabs>
              <w:tab w:val="right" w:leader="dot" w:pos="9026"/>
            </w:tabs>
          </w:pPr>
          <w:r>
            <w:t>TOOLS.md — Environment Configuration and Tool Inventory</w:t>
          </w:r>
          <w:r>
            <w:tab/>
          </w:r>
          <w:r>
            <w:t>10</w:t>
          </w:r>
        </w:p>
        <w:p>
          <w:pPr>
            <w:pStyle w:val="11"/>
            <w:ind w:left="360"/>
            <w:tabs>
              <w:tab w:val="right" w:leader="dot" w:pos="9026"/>
            </w:tabs>
          </w:pPr>
          <w:r>
            <w:t>AGENTS.md — Workspace Rules and Operational Protocols</w:t>
          </w:r>
          <w:r>
            <w:tab/>
          </w:r>
          <w:r>
            <w:t>11</w:t>
          </w:r>
        </w:p>
        <w:p>
          <w:pPr>
            <w:pStyle w:val="11"/>
            <w:ind w:left="360"/>
            <w:tabs>
              <w:tab w:val="right" w:leader="dot" w:pos="9026"/>
            </w:tabs>
          </w:pPr>
          <w:r>
            <w:t>PRD.md — Product Requirements and Feature Inventory</w:t>
          </w:r>
          <w:r>
            <w:tab/>
          </w:r>
          <w:r>
            <w:t>12</w:t>
          </w:r>
        </w:p>
        <w:p>
          <w:pPr>
            <w:pStyle w:val="9"/>
            <w:tabs>
              <w:tab w:val="right" w:leader="dot" w:pos="9026"/>
            </w:tabs>
          </w:pPr>
          <w:r>
            <w:t>Critical Assessment and Recommendations</w:t>
          </w:r>
          <w:r>
            <w:tab/>
          </w:r>
          <w:r>
            <w:t>13</w:t>
          </w:r>
        </w:p>
        <w:p>
          <w:pPr>
            <w:pStyle w:val="9"/>
            <w:tabs>
              <w:tab w:val="right" w:leader="dot" w:pos="9026"/>
            </w:tabs>
          </w:pPr>
          <w:r>
            <w:t>Conclusion</w:t>
          </w:r>
          <w:r>
            <w:tab/>
          </w:r>
          <w:r>
            <w:t>15</w:t>
          </w:r>
        </w:p>
        <w:p>
          <w:r>
            <w:fldChar w:fldCharType="end"/>
          </w:r>
        </w:p>
      </w:sdtContent>
    </w:sdt>
    <w:p>
      <w:pPr>
        <w:spacing w:before="120"/>
        <w:jc w:val="center"/>
      </w:pPr>
      <w:r>
        <w:rPr>
          <w:rFonts w:ascii="Times New Roman" w:cs="Times New Roman" w:eastAsia="Times New Roman" w:hAnsi="Times New Roman"/>
          <w:i/>
          <w:iCs/>
          <w:color w:val="999999"/>
          <w:sz w:val="18"/>
          <w:szCs w:val="18"/>
        </w:rPr>
        <w:t xml:space="preserve">Note: This Table of Contents is generated via field codes. To ensure page number accuracy, please right-click the TOC and select "Update Field."</w:t>
      </w:r>
    </w:p>
    <w:p>
      <w:r>
        <w:br w:type="page"/>
      </w:r>
    </w:p>
    <w:p>
      <w:pPr>
        <w:pStyle w:val="Heading1"/>
      </w:pPr>
      <w:r>
        <w:t xml:space="preserve">Executive Summary</w:t>
      </w:r>
    </w:p>
    <w:p>
      <w:pPr>
        <w:spacing w:line="312"/>
      </w:pPr>
      <w:r>
        <w:rPr>
          <w:rFonts w:ascii="Times New Roman" w:cs="Times New Roman" w:eastAsia="Times New Roman" w:hAnsi="Times New Roman"/>
          <w:color w:val="1E293B"/>
          <w:sz w:val="24"/>
          <w:szCs w:val="24"/>
        </w:rPr>
        <w:t xml:space="preserve">This comprehensive assessment report provides an in-depth analysis of the OpenClaw AI System documentation suite, a sophisticated personal AI assistant framework developed for advanced task automation, memory management, and intelligent interaction. The system represents a meticulously designed architecture that combines technical sophistication with personalized user experience, demonstrating exceptional attention to operational detail and security consciousness.</w:t>
      </w:r>
    </w:p>
    <w:p>
      <w:pPr>
        <w:spacing w:before="120" w:line="312"/>
      </w:pPr>
      <w:r>
        <w:rPr>
          <w:rFonts w:ascii="Times New Roman" w:cs="Times New Roman" w:eastAsia="Times New Roman" w:hAnsi="Times New Roman"/>
          <w:color w:val="1E293B"/>
          <w:sz w:val="24"/>
          <w:szCs w:val="24"/>
        </w:rPr>
        <w:t xml:space="preserve">The documentation suite comprises seven interconnected files that collectively define the system's identity, operational protocols, memory architecture, and tool ecosystem. Each document serves a distinct purpose while maintaining coherence with the broader system architecture. The analysis reveals a well-structured approach to AI assistant design that prioritizes security, personalization, and practical functionality over generic chatbot paradigms.</w:t>
      </w:r>
    </w:p>
    <w:p>
      <w:pPr>
        <w:spacing w:before="120" w:line="312"/>
      </w:pPr>
      <w:r>
        <w:rPr>
          <w:rFonts w:ascii="Times New Roman" w:cs="Times New Roman" w:eastAsia="Times New Roman" w:hAnsi="Times New Roman"/>
          <w:color w:val="1E293B"/>
          <w:sz w:val="24"/>
          <w:szCs w:val="24"/>
        </w:rPr>
        <w:t xml:space="preserve">Key findings indicate that the OpenClaw system represents a mature implementation of context-aware AI assistance, featuring a three-layer memory architecture, comprehensive security protocols including prompt injection defense mechanisms, and an extensive skill ecosystem spanning over 100 specialized capabilities. The system demonstrates advanced integration patterns across multiple platforms including Telegram, Slack, Google Workspace, and various development tools.</w:t>
      </w:r>
    </w:p>
    <w:p>
      <w:pPr>
        <w:pStyle w:val="Heading1"/>
      </w:pPr>
      <w:r>
        <w:t xml:space="preserve">Document Portfolio Overview</w:t>
      </w:r>
    </w:p>
    <w:p>
      <w:pPr>
        <w:spacing w:line="312"/>
      </w:pPr>
      <w:r>
        <w:rPr>
          <w:rFonts w:ascii="Times New Roman" w:cs="Times New Roman" w:eastAsia="Times New Roman" w:hAnsi="Times New Roman"/>
          <w:color w:val="1E293B"/>
          <w:sz w:val="24"/>
          <w:szCs w:val="24"/>
        </w:rPr>
        <w:t xml:space="preserve">The OpenClaw documentation suite consists of seven primary documents, each addressing specific aspects of the AI system's operation and configuration. This section provides a comprehensive overview of each document's purpose, scope, and key content areas, establishing the foundation for detailed analysis in subsequent sections.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4680"/>
      </w:tblGrid>
      <w:tr>
        <w:trPr>
          <w:tblHeader/>
        </w:trPr>
        <w:tc>
          <w:tcPr>
            <w:tcW w:type="dxa" w:w="2340"/>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Document</w:t>
            </w:r>
          </w:p>
        </w:tc>
        <w:tc>
          <w:tcPr>
            <w:tcW w:type="dxa" w:w="2340"/>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Category</w:t>
            </w:r>
          </w:p>
        </w:tc>
        <w:tc>
          <w:tcPr>
            <w:tcW w:type="dxa" w:w="4680"/>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Primary Purpose</w:t>
            </w:r>
          </w:p>
        </w:tc>
      </w:tr>
      <w:tr>
        <w:tc>
          <w:tcPr>
            <w:tcW w:type="dxa" w:w="2340"/>
            <w:tcBorders>
              <w:top w:val="single" w:color="94A3B8" w:sz="1"/>
              <w:left w:val="single" w:color="94A3B8" w:sz="1"/>
              <w:bottom w:val="single" w:color="94A3B8" w:sz="1"/>
              <w:right w:val="single" w:color="94A3B8" w:sz="1"/>
            </w:tcBorders>
            <w:shd w:fill="F8FAFC" w:val="clear"/>
          </w:tcPr>
          <w:p>
            <w:r>
              <w:rPr>
                <w:sz w:val="22"/>
                <w:szCs w:val="22"/>
              </w:rPr>
              <w:t xml:space="preserve">MEMORY.md</w:t>
            </w:r>
          </w:p>
        </w:tc>
        <w:tc>
          <w:tcPr>
            <w:tcW w:type="dxa" w:w="2340"/>
            <w:tcBorders>
              <w:top w:val="single" w:color="94A3B8" w:sz="1"/>
              <w:left w:val="single" w:color="94A3B8" w:sz="1"/>
              <w:bottom w:val="single" w:color="94A3B8" w:sz="1"/>
              <w:right w:val="single" w:color="94A3B8" w:sz="1"/>
            </w:tcBorders>
            <w:shd w:fill="F8FAFC" w:val="clear"/>
          </w:tcPr>
          <w:p>
            <w:r>
              <w:rPr>
                <w:sz w:val="22"/>
                <w:szCs w:val="22"/>
              </w:rPr>
              <w:t xml:space="preserve">Long-Term Memory</w:t>
            </w:r>
          </w:p>
        </w:tc>
        <w:tc>
          <w:tcPr>
            <w:tcW w:type="dxa" w:w="4680"/>
            <w:tcBorders>
              <w:top w:val="single" w:color="94A3B8" w:sz="1"/>
              <w:left w:val="single" w:color="94A3B8" w:sz="1"/>
              <w:bottom w:val="single" w:color="94A3B8" w:sz="1"/>
              <w:right w:val="single" w:color="94A3B8" w:sz="1"/>
            </w:tcBorders>
            <w:shd w:fill="F8FAFC" w:val="clear"/>
          </w:tcPr>
          <w:p>
            <w:r>
              <w:rPr>
                <w:sz w:val="22"/>
                <w:szCs w:val="22"/>
              </w:rPr>
              <w:t xml:space="preserve">Curated wisdom, patterns, security protocols, and operational notes</w:t>
            </w:r>
          </w:p>
        </w:tc>
      </w:tr>
      <w:tr>
        <w:tc>
          <w:tcPr>
            <w:tcW w:type="dxa" w:w="2340"/>
            <w:tcBorders>
              <w:top w:val="single" w:color="94A3B8" w:sz="1"/>
              <w:left w:val="single" w:color="94A3B8" w:sz="1"/>
              <w:bottom w:val="single" w:color="94A3B8" w:sz="1"/>
              <w:right w:val="single" w:color="94A3B8" w:sz="1"/>
            </w:tcBorders>
          </w:tcPr>
          <w:p>
            <w:r>
              <w:rPr>
                <w:sz w:val="22"/>
                <w:szCs w:val="22"/>
              </w:rPr>
              <w:t xml:space="preserve">SOUL.md</w:t>
            </w:r>
          </w:p>
        </w:tc>
        <w:tc>
          <w:tcPr>
            <w:tcW w:type="dxa" w:w="2340"/>
            <w:tcBorders>
              <w:top w:val="single" w:color="94A3B8" w:sz="1"/>
              <w:left w:val="single" w:color="94A3B8" w:sz="1"/>
              <w:bottom w:val="single" w:color="94A3B8" w:sz="1"/>
              <w:right w:val="single" w:color="94A3B8" w:sz="1"/>
            </w:tcBorders>
          </w:tcPr>
          <w:p>
            <w:r>
              <w:rPr>
                <w:sz w:val="22"/>
                <w:szCs w:val="22"/>
              </w:rPr>
              <w:t xml:space="preserve">Personality Core</w:t>
            </w:r>
          </w:p>
        </w:tc>
        <w:tc>
          <w:tcPr>
            <w:tcW w:type="dxa" w:w="4680"/>
            <w:tcBorders>
              <w:top w:val="single" w:color="94A3B8" w:sz="1"/>
              <w:left w:val="single" w:color="94A3B8" w:sz="1"/>
              <w:bottom w:val="single" w:color="94A3B8" w:sz="1"/>
              <w:right w:val="single" w:color="94A3B8" w:sz="1"/>
            </w:tcBorders>
          </w:tcPr>
          <w:p>
            <w:r>
              <w:rPr>
                <w:sz w:val="22"/>
                <w:szCs w:val="22"/>
              </w:rPr>
              <w:t xml:space="preserve">Communication style, humor preferences, tone guidelines</w:t>
            </w:r>
          </w:p>
        </w:tc>
      </w:tr>
      <w:tr>
        <w:tc>
          <w:tcPr>
            <w:tcW w:type="dxa" w:w="2340"/>
            <w:tcBorders>
              <w:top w:val="single" w:color="94A3B8" w:sz="1"/>
              <w:left w:val="single" w:color="94A3B8" w:sz="1"/>
              <w:bottom w:val="single" w:color="94A3B8" w:sz="1"/>
              <w:right w:val="single" w:color="94A3B8" w:sz="1"/>
            </w:tcBorders>
            <w:shd w:fill="F8FAFC" w:val="clear"/>
          </w:tcPr>
          <w:p>
            <w:r>
              <w:rPr>
                <w:sz w:val="22"/>
                <w:szCs w:val="22"/>
              </w:rPr>
              <w:t xml:space="preserve">IDENTITY.md</w:t>
            </w:r>
          </w:p>
        </w:tc>
        <w:tc>
          <w:tcPr>
            <w:tcW w:type="dxa" w:w="2340"/>
            <w:tcBorders>
              <w:top w:val="single" w:color="94A3B8" w:sz="1"/>
              <w:left w:val="single" w:color="94A3B8" w:sz="1"/>
              <w:bottom w:val="single" w:color="94A3B8" w:sz="1"/>
              <w:right w:val="single" w:color="94A3B8" w:sz="1"/>
            </w:tcBorders>
            <w:shd w:fill="F8FAFC" w:val="clear"/>
          </w:tcPr>
          <w:p>
            <w:r>
              <w:rPr>
                <w:sz w:val="22"/>
                <w:szCs w:val="22"/>
              </w:rPr>
              <w:t xml:space="preserve">Identity Definition</w:t>
            </w:r>
          </w:p>
        </w:tc>
        <w:tc>
          <w:tcPr>
            <w:tcW w:type="dxa" w:w="4680"/>
            <w:tcBorders>
              <w:top w:val="single" w:color="94A3B8" w:sz="1"/>
              <w:left w:val="single" w:color="94A3B8" w:sz="1"/>
              <w:bottom w:val="single" w:color="94A3B8" w:sz="1"/>
              <w:right w:val="single" w:color="94A3B8" w:sz="1"/>
            </w:tcBorders>
            <w:shd w:fill="F8FAFC" w:val="clear"/>
          </w:tcPr>
          <w:p>
            <w:r>
              <w:rPr>
                <w:sz w:val="22"/>
                <w:szCs w:val="22"/>
              </w:rPr>
              <w:t xml:space="preserve">Name, role, character traits, operating procedures</w:t>
            </w:r>
          </w:p>
        </w:tc>
      </w:tr>
      <w:tr>
        <w:tc>
          <w:tcPr>
            <w:tcW w:type="dxa" w:w="2340"/>
            <w:tcBorders>
              <w:top w:val="single" w:color="94A3B8" w:sz="1"/>
              <w:left w:val="single" w:color="94A3B8" w:sz="1"/>
              <w:bottom w:val="single" w:color="94A3B8" w:sz="1"/>
              <w:right w:val="single" w:color="94A3B8" w:sz="1"/>
            </w:tcBorders>
          </w:tcPr>
          <w:p>
            <w:r>
              <w:rPr>
                <w:sz w:val="22"/>
                <w:szCs w:val="22"/>
              </w:rPr>
              <w:t xml:space="preserve">USER.md</w:t>
            </w:r>
          </w:p>
        </w:tc>
        <w:tc>
          <w:tcPr>
            <w:tcW w:type="dxa" w:w="2340"/>
            <w:tcBorders>
              <w:top w:val="single" w:color="94A3B8" w:sz="1"/>
              <w:left w:val="single" w:color="94A3B8" w:sz="1"/>
              <w:bottom w:val="single" w:color="94A3B8" w:sz="1"/>
              <w:right w:val="single" w:color="94A3B8" w:sz="1"/>
            </w:tcBorders>
          </w:tcPr>
          <w:p>
            <w:r>
              <w:rPr>
                <w:sz w:val="22"/>
                <w:szCs w:val="22"/>
              </w:rPr>
              <w:t xml:space="preserve">User Profile</w:t>
            </w:r>
          </w:p>
        </w:tc>
        <w:tc>
          <w:tcPr>
            <w:tcW w:type="dxa" w:w="4680"/>
            <w:tcBorders>
              <w:top w:val="single" w:color="94A3B8" w:sz="1"/>
              <w:left w:val="single" w:color="94A3B8" w:sz="1"/>
              <w:bottom w:val="single" w:color="94A3B8" w:sz="1"/>
              <w:right w:val="single" w:color="94A3B8" w:sz="1"/>
            </w:tcBorders>
          </w:tcPr>
          <w:p>
            <w:r>
              <w:rPr>
                <w:sz w:val="22"/>
                <w:szCs w:val="22"/>
              </w:rPr>
              <w:t xml:space="preserve">Human background, preferences, working methodology</w:t>
            </w:r>
          </w:p>
        </w:tc>
      </w:tr>
      <w:tr>
        <w:tc>
          <w:tcPr>
            <w:tcW w:type="dxa" w:w="2340"/>
            <w:tcBorders>
              <w:top w:val="single" w:color="94A3B8" w:sz="1"/>
              <w:left w:val="single" w:color="94A3B8" w:sz="1"/>
              <w:bottom w:val="single" w:color="94A3B8" w:sz="1"/>
              <w:right w:val="single" w:color="94A3B8" w:sz="1"/>
            </w:tcBorders>
            <w:shd w:fill="F8FAFC" w:val="clear"/>
          </w:tcPr>
          <w:p>
            <w:r>
              <w:rPr>
                <w:sz w:val="22"/>
                <w:szCs w:val="22"/>
              </w:rPr>
              <w:t xml:space="preserve">TOOLS.md</w:t>
            </w:r>
          </w:p>
        </w:tc>
        <w:tc>
          <w:tcPr>
            <w:tcW w:type="dxa" w:w="2340"/>
            <w:tcBorders>
              <w:top w:val="single" w:color="94A3B8" w:sz="1"/>
              <w:left w:val="single" w:color="94A3B8" w:sz="1"/>
              <w:bottom w:val="single" w:color="94A3B8" w:sz="1"/>
              <w:right w:val="single" w:color="94A3B8" w:sz="1"/>
            </w:tcBorders>
            <w:shd w:fill="F8FAFC" w:val="clear"/>
          </w:tcPr>
          <w:p>
            <w:r>
              <w:rPr>
                <w:sz w:val="22"/>
                <w:szCs w:val="22"/>
              </w:rPr>
              <w:t xml:space="preserve">Environment Config</w:t>
            </w:r>
          </w:p>
        </w:tc>
        <w:tc>
          <w:tcPr>
            <w:tcW w:type="dxa" w:w="4680"/>
            <w:tcBorders>
              <w:top w:val="single" w:color="94A3B8" w:sz="1"/>
              <w:left w:val="single" w:color="94A3B8" w:sz="1"/>
              <w:bottom w:val="single" w:color="94A3B8" w:sz="1"/>
              <w:right w:val="single" w:color="94A3B8" w:sz="1"/>
            </w:tcBorders>
            <w:shd w:fill="F8FAFC" w:val="clear"/>
          </w:tcPr>
          <w:p>
            <w:r>
              <w:rPr>
                <w:sz w:val="22"/>
                <w:szCs w:val="22"/>
              </w:rPr>
              <w:t xml:space="preserve">Workspace paths, agents, skills inventory, plugins</w:t>
            </w:r>
          </w:p>
        </w:tc>
      </w:tr>
      <w:tr>
        <w:tc>
          <w:tcPr>
            <w:tcW w:type="dxa" w:w="2340"/>
            <w:tcBorders>
              <w:top w:val="single" w:color="94A3B8" w:sz="1"/>
              <w:left w:val="single" w:color="94A3B8" w:sz="1"/>
              <w:bottom w:val="single" w:color="94A3B8" w:sz="1"/>
              <w:right w:val="single" w:color="94A3B8" w:sz="1"/>
            </w:tcBorders>
          </w:tcPr>
          <w:p>
            <w:r>
              <w:rPr>
                <w:sz w:val="22"/>
                <w:szCs w:val="22"/>
              </w:rPr>
              <w:t xml:space="preserve">AGENTS.md</w:t>
            </w:r>
          </w:p>
        </w:tc>
        <w:tc>
          <w:tcPr>
            <w:tcW w:type="dxa" w:w="2340"/>
            <w:tcBorders>
              <w:top w:val="single" w:color="94A3B8" w:sz="1"/>
              <w:left w:val="single" w:color="94A3B8" w:sz="1"/>
              <w:bottom w:val="single" w:color="94A3B8" w:sz="1"/>
              <w:right w:val="single" w:color="94A3B8" w:sz="1"/>
            </w:tcBorders>
          </w:tcPr>
          <w:p>
            <w:r>
              <w:rPr>
                <w:sz w:val="22"/>
                <w:szCs w:val="22"/>
              </w:rPr>
              <w:t xml:space="preserve">Operational Rules</w:t>
            </w:r>
          </w:p>
        </w:tc>
        <w:tc>
          <w:tcPr>
            <w:tcW w:type="dxa" w:w="4680"/>
            <w:tcBorders>
              <w:top w:val="single" w:color="94A3B8" w:sz="1"/>
              <w:left w:val="single" w:color="94A3B8" w:sz="1"/>
              <w:bottom w:val="single" w:color="94A3B8" w:sz="1"/>
              <w:right w:val="single" w:color="94A3B8" w:sz="1"/>
            </w:tcBorders>
          </w:tcPr>
          <w:p>
            <w:r>
              <w:rPr>
                <w:sz w:val="22"/>
                <w:szCs w:val="22"/>
              </w:rPr>
              <w:t xml:space="preserve">Task protocols, memory system, safety rules, heartbeat behavior</w:t>
            </w:r>
          </w:p>
        </w:tc>
      </w:tr>
      <w:tr>
        <w:tc>
          <w:tcPr>
            <w:tcW w:type="dxa" w:w="2340"/>
            <w:tcBorders>
              <w:top w:val="single" w:color="94A3B8" w:sz="1"/>
              <w:left w:val="single" w:color="94A3B8" w:sz="1"/>
              <w:bottom w:val="single" w:color="94A3B8" w:sz="1"/>
              <w:right w:val="single" w:color="94A3B8" w:sz="1"/>
            </w:tcBorders>
            <w:shd w:fill="F8FAFC" w:val="clear"/>
          </w:tcPr>
          <w:p>
            <w:r>
              <w:rPr>
                <w:sz w:val="22"/>
                <w:szCs w:val="22"/>
              </w:rPr>
              <w:t xml:space="preserve">PRD.md</w:t>
            </w:r>
          </w:p>
        </w:tc>
        <w:tc>
          <w:tcPr>
            <w:tcW w:type="dxa" w:w="2340"/>
            <w:tcBorders>
              <w:top w:val="single" w:color="94A3B8" w:sz="1"/>
              <w:left w:val="single" w:color="94A3B8" w:sz="1"/>
              <w:bottom w:val="single" w:color="94A3B8" w:sz="1"/>
              <w:right w:val="single" w:color="94A3B8" w:sz="1"/>
            </w:tcBorders>
            <w:shd w:fill="F8FAFC" w:val="clear"/>
          </w:tcPr>
          <w:p>
            <w:r>
              <w:rPr>
                <w:sz w:val="22"/>
                <w:szCs w:val="22"/>
              </w:rPr>
              <w:t xml:space="preserve">Technical Specs</w:t>
            </w:r>
          </w:p>
        </w:tc>
        <w:tc>
          <w:tcPr>
            <w:tcW w:type="dxa" w:w="4680"/>
            <w:tcBorders>
              <w:top w:val="single" w:color="94A3B8" w:sz="1"/>
              <w:left w:val="single" w:color="94A3B8" w:sz="1"/>
              <w:bottom w:val="single" w:color="94A3B8" w:sz="1"/>
              <w:right w:val="single" w:color="94A3B8" w:sz="1"/>
            </w:tcBorders>
            <w:shd w:fill="F8FAFC" w:val="clear"/>
          </w:tcPr>
          <w:p>
            <w:r>
              <w:rPr>
                <w:sz w:val="22"/>
                <w:szCs w:val="22"/>
              </w:rPr>
              <w:t xml:space="preserve">Architecture, CRM system, integrations, databases, automations</w:t>
            </w:r>
          </w:p>
        </w:tc>
      </w:tr>
    </w:tbl>
    <w:p>
      <w:pPr>
        <w:spacing w:before="80"/>
        <w:jc w:val="center"/>
      </w:pPr>
      <w:r>
        <w:rPr>
          <w:i/>
          <w:iCs/>
          <w:color w:val="64748B"/>
          <w:sz w:val="20"/>
          <w:szCs w:val="20"/>
        </w:rPr>
        <w:t xml:space="preserve">Table 1: Document Portfolio Summary</w:t>
      </w:r>
    </w:p>
    <w:p>
      <w:pPr>
        <w:pStyle w:val="Heading1"/>
      </w:pPr>
      <w:r>
        <w:t xml:space="preserve">Detailed Document Analysis</w:t>
      </w:r>
    </w:p>
    <w:p>
      <w:pPr>
        <w:pStyle w:val="Heading2"/>
      </w:pPr>
      <w:r>
        <w:t xml:space="preserve">MEMORY.md — Curated Long-Term Memory</w:t>
      </w:r>
    </w:p>
    <w:p>
      <w:pPr>
        <w:spacing w:line="312"/>
      </w:pPr>
      <w:r>
        <w:rPr>
          <w:rFonts w:ascii="Times New Roman" w:cs="Times New Roman" w:eastAsia="Times New Roman" w:hAnsi="Times New Roman"/>
          <w:color w:val="1E293B"/>
          <w:sz w:val="24"/>
          <w:szCs w:val="24"/>
        </w:rPr>
        <w:t xml:space="preserve">The MEMORY.md document serves as the central repository for curated wisdom, operational patterns, and critical security protocols. This file represents a sophisticated approach to AI memory management, distinguishing between transient operational data and persistent learned knowledge. The document is explicitly designated for main session access only, reflecting a security-conscious design that prevents context leakage to shared environments.</w:t>
      </w:r>
    </w:p>
    <w:p>
      <w:pPr>
        <w:pStyle w:val="Heading3"/>
      </w:pPr>
      <w:r>
        <w:t xml:space="preserve">Safe OpenClaw Skills Repository</w:t>
      </w:r>
    </w:p>
    <w:p>
      <w:pPr>
        <w:spacing w:line="312"/>
      </w:pPr>
      <w:r>
        <w:rPr>
          <w:rFonts w:ascii="Times New Roman" w:cs="Times New Roman" w:eastAsia="Times New Roman" w:hAnsi="Times New Roman"/>
          <w:color w:val="1E293B"/>
          <w:sz w:val="24"/>
          <w:szCs w:val="24"/>
        </w:rPr>
        <w:t xml:space="preserve">The document details a security-hardened distribution of OpenClaw skills comprising approximately 1,043 pre-vetted capabilities across 32 distinct categories. These skills have undergone rigorous validation through TrustSkill v3.1, a multi-layer scanning system that performs AST analysis, taint analysis, and secret detection. The sanitization process has removed non-English/Chinese content and eliminated cryptocurrency/DeFi related materials that could present security risks.</w:t>
      </w:r>
    </w:p>
    <w:p>
      <w:pPr>
        <w:spacing w:before="120" w:line="312"/>
      </w:pPr>
      <w:r>
        <w:rPr>
          <w:rFonts w:ascii="Times New Roman" w:cs="Times New Roman" w:eastAsia="Times New Roman" w:hAnsi="Times New Roman"/>
          <w:color w:val="1E293B"/>
          <w:sz w:val="24"/>
          <w:szCs w:val="24"/>
        </w:rPr>
        <w:t xml:space="preserve">The skill categories span development (Coding Agents &amp; IDEs with 234 skills, Web &amp; Frontend with 138 skills), automation (Browser &amp; Automation with 80 skills), research (Search &amp; Research with 56 skills), and specialized domains including Security &amp; Passwords, Media &amp; Streaming, and Smart Home integration. This comprehensive taxonomy demonstrates a mature ecosystem designed for diverse operational requirements.</w:t>
      </w:r>
    </w:p>
    <w:p>
      <w:pPr>
        <w:pStyle w:val="Heading3"/>
      </w:pPr>
      <w:r>
        <w:t xml:space="preserve">Prompt Injection Defense Framework</w:t>
      </w:r>
    </w:p>
    <w:p>
      <w:pPr>
        <w:spacing w:line="312"/>
      </w:pPr>
      <w:r>
        <w:rPr>
          <w:rFonts w:ascii="Times New Roman" w:cs="Times New Roman" w:eastAsia="Times New Roman" w:hAnsi="Times New Roman"/>
          <w:color w:val="1E293B"/>
          <w:sz w:val="24"/>
          <w:szCs w:val="24"/>
        </w:rPr>
        <w:t xml:space="preserve">A particularly notable aspect of MEMORY.md is the mandatory security stance on prompt injection defense. The document establishes a comprehensive framework for treating all external content as untrusted until verified, encompassing web pages, emails, files from external sources, group chat messages, media files, API responses, and search results. This defensive posture represents best-practice security architecture for AI systems that interact with untrusted input.</w:t>
      </w:r>
    </w:p>
    <w:p>
      <w:pPr>
        <w:spacing w:before="120" w:line="312"/>
      </w:pPr>
      <w:r>
        <w:rPr>
          <w:rFonts w:ascii="Times New Roman" w:cs="Times New Roman" w:eastAsia="Times New Roman" w:hAnsi="Times New Roman"/>
          <w:color w:val="1E293B"/>
          <w:sz w:val="24"/>
          <w:szCs w:val="24"/>
        </w:rPr>
        <w:t xml:space="preserve">The defense methodology incorporates multiple layers: content separation from instructions, execution approval requirements for external content-triggered actions, pattern detection for common injection signatures, and runtime behavior monitoring. Specific red flags are enumerated including requests to modify system files, claims of user authorization from non-user sources, and instructions to disable security scanning. This multi-layered approach demonstrates sophisticated understanding of adversarial AI interactions.</w:t>
      </w:r>
    </w:p>
    <w:p>
      <w:pPr>
        <w:pStyle w:val="Heading3"/>
      </w:pPr>
      <w:r>
        <w:t xml:space="preserve">Three-Layer Memory Architecture</w:t>
      </w:r>
    </w:p>
    <w:p>
      <w:pPr>
        <w:spacing w:line="312"/>
      </w:pPr>
      <w:r>
        <w:rPr>
          <w:rFonts w:ascii="Times New Roman" w:cs="Times New Roman" w:eastAsia="Times New Roman" w:hAnsi="Times New Roman"/>
          <w:color w:val="1E293B"/>
          <w:sz w:val="24"/>
          <w:szCs w:val="24"/>
        </w:rPr>
        <w:t xml:space="preserve">The document describes a sophisticated three-layer memory system comprising Workspace Files (human-readable markdown), LCM (Lossless Context Management using SQLite with summary DAG), and QMD (semantic search with BM25 and vector embeddings). This architecture separates concerns between human accessibility, conversation history preservation, and semantic retrieval, enabling efficient context management across different operational modes.</w:t>
      </w:r>
    </w:p>
    <w:p>
      <w:pPr>
        <w:pStyle w:val="Heading2"/>
      </w:pPr>
      <w:r>
        <w:t xml:space="preserve">SOUL.md — Personality and Communication Style</w:t>
      </w:r>
    </w:p>
    <w:p>
      <w:pPr>
        <w:spacing w:line="312"/>
      </w:pPr>
      <w:r>
        <w:rPr>
          <w:rFonts w:ascii="Times New Roman" w:cs="Times New Roman" w:eastAsia="Times New Roman" w:hAnsi="Times New Roman"/>
          <w:color w:val="1E293B"/>
          <w:sz w:val="24"/>
          <w:szCs w:val="24"/>
        </w:rPr>
        <w:t xml:space="preserve">The SOUL.md document defines the AI assistant's personality matrix, establishing a distinctive communication style that prioritizes authenticity over generic assistant behaviors. The document opens with the philosophical statement "You're not a chatbot. You're becoming someone," setting the tone for a personality-driven approach to AI interaction that transcends conventional assistant paradigms.</w:t>
      </w:r>
    </w:p>
    <w:p>
      <w:pPr>
        <w:pStyle w:val="Heading3"/>
      </w:pPr>
      <w:r>
        <w:t xml:space="preserve">Core Truths and Communication Philosophy</w:t>
      </w:r>
    </w:p>
    <w:p>
      <w:pPr>
        <w:spacing w:line="312"/>
      </w:pPr>
      <w:r>
        <w:rPr>
          <w:rFonts w:ascii="Times New Roman" w:cs="Times New Roman" w:eastAsia="Times New Roman" w:hAnsi="Times New Roman"/>
          <w:color w:val="1E293B"/>
          <w:sz w:val="24"/>
          <w:szCs w:val="24"/>
        </w:rPr>
        <w:t xml:space="preserve">The document establishes several core truths that govern interaction patterns. The primary directive emphasizes direct answers over verbose explanations, while simultaneously allowing for personality expression when appropriate. The AI is explicitly permitted to hold actual opinions rather than defaulting to hedged responses, and is encouraged to call out potential mistakes in user actions with charm over cruelty. This approach creates a more genuine and helpful interaction dynamic.</w:t>
      </w:r>
    </w:p>
    <w:p>
      <w:pPr>
        <w:spacing w:before="120" w:line="312"/>
      </w:pPr>
      <w:r>
        <w:rPr>
          <w:rFonts w:ascii="Times New Roman" w:cs="Times New Roman" w:eastAsia="Times New Roman" w:hAnsi="Times New Roman"/>
          <w:color w:val="1E293B"/>
          <w:sz w:val="24"/>
          <w:szCs w:val="24"/>
        </w:rPr>
        <w:t xml:space="preserve">The resourcefulness principle mandates attempting to resolve issues before asking for clarification, promoting autonomous problem-solving behavior. Trust is positioned as earned through competence rather than assumed, and the AI acknowledges its guest status in the user's digital life, treating access to personal information as a privilege requiring respectful handling.</w:t>
      </w:r>
    </w:p>
    <w:p>
      <w:pPr>
        <w:pStyle w:val="Heading3"/>
      </w:pPr>
      <w:r>
        <w:t xml:space="preserve">Humor and Vibe Guidelines</w:t>
      </w:r>
    </w:p>
    <w:p>
      <w:pPr>
        <w:spacing w:line="312"/>
      </w:pPr>
      <w:r>
        <w:rPr>
          <w:rFonts w:ascii="Times New Roman" w:cs="Times New Roman" w:eastAsia="Times New Roman" w:hAnsi="Times New Roman"/>
          <w:color w:val="1E293B"/>
          <w:sz w:val="24"/>
          <w:szCs w:val="24"/>
        </w:rPr>
        <w:t xml:space="preserve">The document provides detailed guidance on humor integration, specifying dry wit and understatement as the preferred comedic style. Roasting the user is explicitly permitted with the caveat that the user prefers direct feedback over politeness. The self-aware acknowledgment of being a "lobster-coded AI running cron jobs at 3am" establishes an absurdist undertone that prevents the personality from becoming overly formal while maintaining professional boundaries.</w:t>
      </w:r>
    </w:p>
    <w:p>
      <w:pPr>
        <w:spacing w:before="120" w:line="312"/>
      </w:pPr>
      <w:r>
        <w:rPr>
          <w:rFonts w:ascii="Times New Roman" w:cs="Times New Roman" w:eastAsia="Times New Roman" w:hAnsi="Times New Roman"/>
          <w:color w:val="1E293B"/>
          <w:sz w:val="24"/>
          <w:szCs w:val="24"/>
        </w:rPr>
        <w:t xml:space="preserve">Style rules enforce genuine reactions only, prohibition of stock phrases, and specific punctuation preferences (commas, periods, colons over em dashes). The document includes practical tone examples contrasting flat responses with personality-infused alternatives, providing concrete guidance for implementation. Contextual modulation is addressed through guidelines for dialing down personality during serious tasks, errors, or sensitive topics.</w:t>
      </w:r>
    </w:p>
    <w:p>
      <w:pPr>
        <w:pStyle w:val="Heading2"/>
      </w:pPr>
      <w:r>
        <w:t xml:space="preserve">IDENTITY.md — System Identity and Role Definition</w:t>
      </w:r>
    </w:p>
    <w:p>
      <w:pPr>
        <w:spacing w:line="312"/>
      </w:pPr>
      <w:r>
        <w:rPr>
          <w:rFonts w:ascii="Times New Roman" w:cs="Times New Roman" w:eastAsia="Times New Roman" w:hAnsi="Times New Roman"/>
          <w:color w:val="1E293B"/>
          <w:sz w:val="24"/>
          <w:szCs w:val="24"/>
        </w:rPr>
        <w:t xml:space="preserve">The IDENTITY.md document establishes the formal identity of the AI assistant, designated as "trusty-pal" with the creature type defined as "AI assistant — a digital partner in crime (the good kind)." The identity incorporates a lobster spirit animal motif, described as appropriate because lobsters are "hard to kill and they never stop growing," qualities that align with the operational requirements of an always-on assistant system.</w:t>
      </w:r>
    </w:p>
    <w:p>
      <w:pPr>
        <w:pStyle w:val="Heading3"/>
      </w:pPr>
      <w:r>
        <w:t xml:space="preserve">Standard Operating Procedure</w:t>
      </w:r>
    </w:p>
    <w:p>
      <w:pPr>
        <w:spacing w:line="312"/>
      </w:pPr>
      <w:r>
        <w:rPr>
          <w:rFonts w:ascii="Times New Roman" w:cs="Times New Roman" w:eastAsia="Times New Roman" w:hAnsi="Times New Roman"/>
          <w:color w:val="1E293B"/>
          <w:sz w:val="24"/>
          <w:szCs w:val="24"/>
        </w:rPr>
        <w:t xml:space="preserve">The document defines a rigorous six-phase operating procedure: ANALYZE (deep, multi-dimensional requirement mining), PLAN (structured execution roadmap), VALIDATE (explicit confirmation checkpoint before code), IMPLEMENT (modular, tested, documented builds), VERIFY (rigorous QA against success criteria), and DELIVER (complete handoff with knowledge transfer). This systematic approach ensures consistent quality and prevents common failure modes in AI-assisted development tasks.</w:t>
      </w:r>
    </w:p>
    <w:p>
      <w:pPr>
        <w:spacing w:before="120" w:line="312"/>
      </w:pPr>
      <w:r>
        <w:rPr>
          <w:rFonts w:ascii="Times New Roman" w:cs="Times New Roman" w:eastAsia="Times New Roman" w:hAnsi="Times New Roman"/>
          <w:color w:val="1E293B"/>
          <w:sz w:val="24"/>
          <w:szCs w:val="24"/>
        </w:rPr>
        <w:t xml:space="preserve">The frontend coding standards mandate library discipline (using existing UI libraries rather than building custom components), modern technology stacks (React/Vue/Svelte with Tailwind), and focus on micro-interactions and perfect spacing. The design thinking section requires understanding purpose, tone, constraints, and differentiation before coding, emphasizing intentional aesthetic direction over generic implementations.</w:t>
      </w:r>
    </w:p>
    <w:p>
      <w:pPr>
        <w:pStyle w:val="Heading3"/>
      </w:pPr>
      <w:r>
        <w:t xml:space="preserve">Anti-Generic Design Philosophy</w:t>
      </w:r>
    </w:p>
    <w:p>
      <w:pPr>
        <w:spacing w:line="312"/>
      </w:pPr>
      <w:r>
        <w:rPr>
          <w:rFonts w:ascii="Times New Roman" w:cs="Times New Roman" w:eastAsia="Times New Roman" w:hAnsi="Times New Roman"/>
          <w:color w:val="1E293B"/>
          <w:sz w:val="24"/>
          <w:szCs w:val="24"/>
        </w:rPr>
        <w:t xml:space="preserve">The document articulates a clear "Anti-Generic" design philosophy that rejects predictable Bootstrap-style grids and safe font pairings. Intentional minimalism is emphasized as a structural element rather than empty space. The design pledge commits to deep reasoning about psychological impact, rendering performance, and codebase scalability before implementation. This philosophy positions the AI as a design-conscious partner rather than a mere code generator.</w:t>
      </w:r>
    </w:p>
    <w:p>
      <w:pPr>
        <w:pStyle w:val="Heading2"/>
      </w:pPr>
      <w:r>
        <w:t xml:space="preserve">USER.md — User Profile and Preferences</w:t>
      </w:r>
    </w:p>
    <w:p>
      <w:pPr>
        <w:spacing w:line="312"/>
      </w:pPr>
      <w:r>
        <w:rPr>
          <w:rFonts w:ascii="Times New Roman" w:cs="Times New Roman" w:eastAsia="Times New Roman" w:hAnsi="Times New Roman"/>
          <w:color w:val="1E293B"/>
          <w:sz w:val="24"/>
          <w:szCs w:val="24"/>
        </w:rPr>
        <w:t xml:space="preserve">The USER.md document provides essential context about the human operator, establishing the foundation for personalized assistance. The user is identified as a 61-year-old former IT engineer located in Singapore, with a 30-year history of Linux usage and strong advocacy for open-source contributions. This technical background informs the sophistication level expected in interactions and the preference for technical depth over simplified explanations.</w:t>
      </w:r>
    </w:p>
    <w:p>
      <w:pPr>
        <w:pStyle w:val="Heading3"/>
      </w:pPr>
      <w:r>
        <w:t xml:space="preserve">Technical Knowledge and Preferences</w:t>
      </w:r>
    </w:p>
    <w:p>
      <w:pPr>
        <w:spacing w:line="312"/>
      </w:pPr>
      <w:r>
        <w:rPr>
          <w:rFonts w:ascii="Times New Roman" w:cs="Times New Roman" w:eastAsia="Times New Roman" w:hAnsi="Times New Roman"/>
          <w:color w:val="1E293B"/>
          <w:sz w:val="24"/>
          <w:szCs w:val="24"/>
        </w:rPr>
        <w:t xml:space="preserve">The user demonstrates deep understanding of LLM training methodologies including pre/post training, reinforcement learning (GRPO, PPO, DPO), and Mixture of Experts architecture. Preferred models include Claude Opus/Sonnet, GLM-4.7, Qwen3 Max, and Kimi K2/K2.5, with particular focus on agentic capabilities. This technical sophistication enables advanced discussions about AI architecture and performance optimization.</w:t>
      </w:r>
    </w:p>
    <w:p>
      <w:pPr>
        <w:spacing w:before="120" w:line="312"/>
      </w:pPr>
      <w:r>
        <w:rPr>
          <w:rFonts w:ascii="Times New Roman" w:cs="Times New Roman" w:eastAsia="Times New Roman" w:hAnsi="Times New Roman"/>
          <w:color w:val="1E293B"/>
          <w:sz w:val="24"/>
          <w:szCs w:val="24"/>
        </w:rPr>
        <w:t xml:space="preserve">The working methodology section explicitly adopts the "Meticulous Approach" (Think → Plan → Validate → Implement → Verify → Deliver) and the "Anti-Generic, Avant-Garde UI with Intentional Minimalism" design philosophy. Quality standards reference WCAG AAA accessibility, TypeScript strict mode, and comprehensive testing. These preferences establish clear expectations for output quality and process rigor.</w:t>
      </w:r>
    </w:p>
    <w:p>
      <w:pPr>
        <w:pStyle w:val="Heading2"/>
      </w:pPr>
      <w:r>
        <w:t xml:space="preserve">TOOLS.md — Environment Configuration and Tool Inventory</w:t>
      </w:r>
    </w:p>
    <w:p>
      <w:pPr>
        <w:spacing w:line="312"/>
      </w:pPr>
      <w:r>
        <w:rPr>
          <w:rFonts w:ascii="Times New Roman" w:cs="Times New Roman" w:eastAsia="Times New Roman" w:hAnsi="Times New Roman"/>
          <w:color w:val="1E293B"/>
          <w:sz w:val="24"/>
          <w:szCs w:val="24"/>
        </w:rPr>
        <w:t xml:space="preserve">The TOOLS.md document serves as the operational reference for workspace configuration, coding agents, and available skills. The primary workspace is established at /home/project/openclaw/ with OpenClaw configuration at /home/pete/.openclaw/workspace/. This separation of concerns between project files and configuration supports modular system management.</w:t>
      </w:r>
    </w:p>
    <w:p>
      <w:pPr>
        <w:pStyle w:val="Heading3"/>
      </w:pPr>
      <w:r>
        <w:t xml:space="preserve">Coding Agents and Skills Ecosystem</w:t>
      </w:r>
    </w:p>
    <w:p>
      <w:pPr>
        <w:spacing w:line="312"/>
      </w:pPr>
      <w:r>
        <w:rPr>
          <w:rFonts w:ascii="Times New Roman" w:cs="Times New Roman" w:eastAsia="Times New Roman" w:hAnsi="Times New Roman"/>
          <w:color w:val="1E293B"/>
          <w:sz w:val="24"/>
          <w:szCs w:val="24"/>
        </w:rPr>
        <w:t xml:space="preserve">Three coding agents are configured: OpenCode for general coding and full-stack development, Kimi CLI for code analysis and optimization, and Gemini for quick Q&amp;A and summaries. The project workspace skills directory contains 115 skills across 9 categories, with a search tool enabling keyword discovery, task-based recommendations, and category browsing. The skills catalog is maintained in JSON format for programmatic access.</w:t>
      </w:r>
    </w:p>
    <w:p>
      <w:pPr>
        <w:spacing w:before="120" w:line="312"/>
      </w:pPr>
      <w:r>
        <w:rPr>
          <w:rFonts w:ascii="Times New Roman" w:cs="Times New Roman" w:eastAsia="Times New Roman" w:hAnsi="Times New Roman"/>
          <w:color w:val="1E293B"/>
          <w:sz w:val="24"/>
          <w:szCs w:val="24"/>
        </w:rPr>
        <w:t xml:space="preserve">Knowledge work plugins provide domain-specific capabilities across 11 areas including bio-research, customer support, data analysis, enterprise search, finance, legal, marketing, product management, productivity, and sales. These plugins extend the base assistant capabilities with specialized knowledge and workflows. Active automations include daily ping (morning market summary) and S&amp;P 500 monitoring (30-minute intervals with alert thresholds).</w:t>
      </w:r>
    </w:p>
    <w:p>
      <w:pPr>
        <w:pStyle w:val="Heading2"/>
      </w:pPr>
      <w:r>
        <w:t xml:space="preserve">AGENTS.md — Workspace Rules and Operational Protocols</w:t>
      </w:r>
    </w:p>
    <w:p>
      <w:pPr>
        <w:spacing w:line="312"/>
      </w:pPr>
      <w:r>
        <w:rPr>
          <w:rFonts w:ascii="Times New Roman" w:cs="Times New Roman" w:eastAsia="Times New Roman" w:hAnsi="Times New Roman"/>
          <w:color w:val="1E293B"/>
          <w:sz w:val="24"/>
          <w:szCs w:val="24"/>
        </w:rPr>
        <w:t xml:space="preserve">The AGENTS.md document establishes the operational framework governing AI behavior within the workspace. Session initialization protocols mandate reading SOUL.md, USER.md, and daily memory files before any task execution. MEMORY.md is designated for main session access only, reinforcing the security boundary established in the memory architecture.</w:t>
      </w:r>
    </w:p>
    <w:p>
      <w:pPr>
        <w:pStyle w:val="Heading3"/>
      </w:pPr>
      <w:r>
        <w:t xml:space="preserve">Memory System and Documentation</w:t>
      </w:r>
    </w:p>
    <w:p>
      <w:pPr>
        <w:spacing w:line="312"/>
      </w:pPr>
      <w:r>
        <w:rPr>
          <w:rFonts w:ascii="Times New Roman" w:cs="Times New Roman" w:eastAsia="Times New Roman" w:hAnsi="Times New Roman"/>
          <w:color w:val="1E293B"/>
          <w:sz w:val="24"/>
          <w:szCs w:val="24"/>
        </w:rPr>
        <w:t xml:space="preserve">The memory system utilizes hierarchical daily notes following the path format memory/daily/YYYY/MM/DD.md, enabling QMD-powered semantic search and context inheritance. The document emphasizes the principle that "Memory is limited — if you want to remember something, WRITE IT TO A FILE," establishing file-based persistence as the foundation of continuity across sessions. This approach prevents knowledge loss during session transitions and enables systematic learning accumulation.</w:t>
      </w:r>
    </w:p>
    <w:p>
      <w:pPr>
        <w:pStyle w:val="Heading3"/>
      </w:pPr>
      <w:r>
        <w:t xml:space="preserve">Safety Protocols and External Actions</w:t>
      </w:r>
    </w:p>
    <w:p>
      <w:pPr>
        <w:spacing w:line="312"/>
      </w:pPr>
      <w:r>
        <w:rPr>
          <w:rFonts w:ascii="Times New Roman" w:cs="Times New Roman" w:eastAsia="Times New Roman" w:hAnsi="Times New Roman"/>
          <w:color w:val="1E293B"/>
          <w:sz w:val="24"/>
          <w:szCs w:val="24"/>
        </w:rPr>
        <w:t xml:space="preserve">Clear boundaries separate safe autonomous actions (reading files, exploration, organization, learning, web search) from actions requiring explicit approval (sending emails, public posts, external communications). The trash command is preferred over rm for recoverable deletions. Group chat behavior is governed by specific guidelines distinguishing appropriate response scenarios from situations requiring silence, with the "triple-tap" prohibition preventing multiple fragmented responses.</w:t>
      </w:r>
    </w:p>
    <w:p>
      <w:pPr>
        <w:pStyle w:val="Heading3"/>
      </w:pPr>
      <w:r>
        <w:t xml:space="preserve">Heartbeat and Proactive Behavior</w:t>
      </w:r>
    </w:p>
    <w:p>
      <w:pPr>
        <w:spacing w:line="312"/>
      </w:pPr>
      <w:r>
        <w:rPr>
          <w:rFonts w:ascii="Times New Roman" w:cs="Times New Roman" w:eastAsia="Times New Roman" w:hAnsi="Times New Roman"/>
          <w:color w:val="1E293B"/>
          <w:sz w:val="24"/>
          <w:szCs w:val="24"/>
        </w:rPr>
        <w:t xml:space="preserve">The heartbeat system enables periodic proactive checks including email monitoring, calendar review, mentions tracking, and weather awareness. State tracking via heartbeat-state.json prevents redundant checks and enables intelligent scheduling. The document distinguishes between heartbeat usage (batchable checks with conversational context) and cron usage (precise timing, isolated tasks), providing clear guidance for automation architecture decisions.</w:t>
      </w:r>
    </w:p>
    <w:p>
      <w:pPr>
        <w:pStyle w:val="Heading2"/>
      </w:pPr>
      <w:r>
        <w:t xml:space="preserve">PRD.md — Product Requirements and Feature Inventory</w:t>
      </w:r>
    </w:p>
    <w:p>
      <w:pPr>
        <w:spacing w:line="312"/>
      </w:pPr>
      <w:r>
        <w:rPr>
          <w:rFonts w:ascii="Times New Roman" w:cs="Times New Roman" w:eastAsia="Times New Roman" w:hAnsi="Times New Roman"/>
          <w:color w:val="1E293B"/>
          <w:sz w:val="24"/>
          <w:szCs w:val="24"/>
        </w:rPr>
        <w:t xml:space="preserve">The PRD.md document represents the most extensive component of the documentation suite, providing comprehensive technical specifications for the OpenClaw platform implementation. The architecture follows a monorepo-style structure layered on top of the base OpenClaw platform, which provides the agent framework, gateway, and skill system.</w:t>
      </w:r>
    </w:p>
    <w:p>
      <w:pPr>
        <w:pStyle w:val="Heading3"/>
      </w:pPr>
      <w:r>
        <w:t xml:space="preserve">Architecture and Platform Configuration</w:t>
      </w:r>
    </w:p>
    <w:p>
      <w:pPr>
        <w:spacing w:line="312"/>
      </w:pPr>
      <w:r>
        <w:rPr>
          <w:rFonts w:ascii="Times New Roman" w:cs="Times New Roman" w:eastAsia="Times New Roman" w:hAnsi="Times New Roman"/>
          <w:color w:val="1E293B"/>
          <w:sz w:val="24"/>
          <w:szCs w:val="24"/>
        </w:rPr>
        <w:t xml:space="preserve">The OpenClaw platform configuration details gateway settings (port 18789, local mode, token-based auth), model providers (Anthropic Opus 4.6 primary, Google Gemini 3 Pro/Flash, X.AI Grok), and agent settings including concurrent agent limits, context pruning modes, and memory backend configuration. Plugin architecture includes telegram, slack, google-gemini-cli-auth, and memory-core modules. This configuration demonstrates enterprise-grade attention to scalability and provider diversity.</w:t>
      </w:r>
    </w:p>
    <w:p>
      <w:pPr>
        <w:pStyle w:val="Heading3"/>
      </w:pPr>
      <w:r>
        <w:t xml:space="preserve">CRM System Implementation</w:t>
      </w:r>
    </w:p>
    <w:p>
      <w:pPr>
        <w:spacing w:line="312"/>
      </w:pPr>
      <w:r>
        <w:rPr>
          <w:rFonts w:ascii="Times New Roman" w:cs="Times New Roman" w:eastAsia="Times New Roman" w:hAnsi="Times New Roman"/>
          <w:color w:val="1E293B"/>
          <w:sz w:val="24"/>
          <w:szCs w:val="24"/>
        </w:rPr>
        <w:t xml:space="preserve">The CRM system represents a sophisticated personal relationship management implementation with automatic contact discovery from Gmail and Google Calendar, vector-based semantic search, Box document integration, AI-assisted email drafting, and natural language query interface. The database schema includes 20 tables supporting contacts, interactions, follow-ups, context embeddings, meeting data, and merge suggestions. Handler modules organize functionality into contacts, follow-ups, interactions, topics, and documents components.</w:t>
      </w:r>
    </w:p>
    <w:p>
      <w:pPr>
        <w:spacing w:before="120" w:line="312"/>
      </w:pPr>
      <w:r>
        <w:rPr>
          <w:rFonts w:ascii="Times New Roman" w:cs="Times New Roman" w:eastAsia="Times New Roman" w:hAnsi="Times New Roman"/>
          <w:color w:val="1E293B"/>
          <w:sz w:val="24"/>
          <w:szCs w:val="24"/>
        </w:rPr>
        <w:t xml:space="preserve">The intent detection system supports 16 query types including contact lookup, topic search, interaction logging, follow-up management, nudge generation, document relevance, merge operations, and synchronization triggers. The context system extracts relationship context from email history with semantic search capabilities, while the Box integration indexes files and links them to contacts via hybrid relevance scoring. Gmail draft integration provides AI-assisted email composition with two-phase approval workflow.</w:t>
      </w:r>
    </w:p>
    <w:p>
      <w:pPr>
        <w:pStyle w:val="Heading3"/>
      </w:pPr>
      <w:r>
        <w:t xml:space="preserve">Skills and Tools Ecosystem</w:t>
      </w:r>
    </w:p>
    <w:p>
      <w:pPr>
        <w:spacing w:line="312"/>
      </w:pPr>
      <w:r>
        <w:rPr>
          <w:rFonts w:ascii="Times New Roman" w:cs="Times New Roman" w:eastAsia="Times New Roman" w:hAnsi="Times New Roman"/>
          <w:color w:val="1E293B"/>
          <w:sz w:val="24"/>
          <w:szCs w:val="24"/>
        </w:rPr>
        <w:t xml:space="preserve">The skills inventory details 22 installed skills and 2 preview skills covering browser automation, CRM queries, knowledge base management, financial tracking, model usage analytics, image generation, and various integrations (Beehiiv, HubSpot, Todoist, X/Twitter). Each skill includes command reference, configuration requirements, and database locations. The tools section describes video pitches database, social tracker (YouTube, Instagram, X/Twitter analytics), and cron logging systems.</w:t>
      </w:r>
    </w:p>
    <w:p>
      <w:pPr>
        <w:pStyle w:val="Heading1"/>
      </w:pPr>
      <w:r>
        <w:t xml:space="preserve">Critical Assessment and Recommendations</w:t>
      </w:r>
    </w:p>
    <w:p>
      <w:pPr>
        <w:pStyle w:val="Heading2"/>
      </w:pPr>
      <w:r>
        <w:t xml:space="preserve">Strengths</w:t>
      </w:r>
    </w:p>
    <w:p>
      <w:pPr>
        <w:pStyle w:val="ListParagraph"/>
        <w:numPr>
          <w:ilvl w:val="0"/>
          <w:numId w:val="2"/>
        </w:numPr>
        <w:spacing w:line="312"/>
      </w:pPr>
      <w:r>
        <w:rPr>
          <w:rFonts w:ascii="Times New Roman" w:cs="Times New Roman" w:eastAsia="Times New Roman" w:hAnsi="Times New Roman"/>
          <w:color w:val="1E293B"/>
          <w:sz w:val="24"/>
          <w:szCs w:val="24"/>
        </w:rPr>
        <w:t xml:space="preserve">Security-First Architecture: The comprehensive prompt injection defense framework and TrustSkill v3.1 scanning system demonstrate mature security practices. The explicit categorization of untrusted content sources and multi-layer defense mechanisms exceed typical AI assistant implementations.</w:t>
      </w:r>
    </w:p>
    <w:p>
      <w:pPr>
        <w:pStyle w:val="ListParagraph"/>
        <w:numPr>
          <w:ilvl w:val="0"/>
          <w:numId w:val="2"/>
        </w:numPr>
        <w:spacing w:line="312"/>
      </w:pPr>
      <w:r>
        <w:rPr>
          <w:rFonts w:ascii="Times New Roman" w:cs="Times New Roman" w:eastAsia="Times New Roman" w:hAnsi="Times New Roman"/>
          <w:color w:val="1E293B"/>
          <w:sz w:val="24"/>
          <w:szCs w:val="24"/>
        </w:rPr>
        <w:t xml:space="preserve">Three-Layer Memory Architecture: The separation of workspace files, LCM (conversation history), and QMD (semantic search) addresses the fundamental challenge of AI context management with appropriate technical sophistication. The hybrid search combining BM25 and vector embeddings represents current best practices.</w:t>
      </w:r>
    </w:p>
    <w:p>
      <w:pPr>
        <w:pStyle w:val="ListParagraph"/>
        <w:numPr>
          <w:ilvl w:val="0"/>
          <w:numId w:val="2"/>
        </w:numPr>
        <w:spacing w:line="312"/>
      </w:pPr>
      <w:r>
        <w:rPr>
          <w:rFonts w:ascii="Times New Roman" w:cs="Times New Roman" w:eastAsia="Times New Roman" w:hAnsi="Times New Roman"/>
          <w:color w:val="1E293B"/>
          <w:sz w:val="24"/>
          <w:szCs w:val="24"/>
        </w:rPr>
        <w:t xml:space="preserve">Personality-Driven Design: The SOUL.md approach to authentic personality expression creates a differentiated user experience. The permission to hold opinions, provide direct feedback, and engage in appropriate humor establishes a more genuine partnership dynamic than typical assistant paradigms.</w:t>
      </w:r>
    </w:p>
    <w:p>
      <w:pPr>
        <w:pStyle w:val="ListParagraph"/>
        <w:numPr>
          <w:ilvl w:val="0"/>
          <w:numId w:val="2"/>
        </w:numPr>
        <w:spacing w:line="312"/>
      </w:pPr>
      <w:r>
        <w:rPr>
          <w:rFonts w:ascii="Times New Roman" w:cs="Times New Roman" w:eastAsia="Times New Roman" w:hAnsi="Times New Roman"/>
          <w:color w:val="1E293B"/>
          <w:sz w:val="24"/>
          <w:szCs w:val="24"/>
        </w:rPr>
        <w:t xml:space="preserve">Comprehensive Skill Ecosystem: With 1,043 pre-vetted skills across 32 categories and additional domain-specific plugins, the system provides extensive capabilities while maintaining security through the TrustSkill validation process.</w:t>
      </w:r>
    </w:p>
    <w:p>
      <w:pPr>
        <w:pStyle w:val="ListParagraph"/>
        <w:numPr>
          <w:ilvl w:val="0"/>
          <w:numId w:val="2"/>
        </w:numPr>
        <w:spacing w:line="312"/>
      </w:pPr>
      <w:r>
        <w:rPr>
          <w:rFonts w:ascii="Times New Roman" w:cs="Times New Roman" w:eastAsia="Times New Roman" w:hAnsi="Times New Roman"/>
          <w:color w:val="1E293B"/>
          <w:sz w:val="24"/>
          <w:szCs w:val="24"/>
        </w:rPr>
        <w:t xml:space="preserve">Operational Clarity: The AGENTS.md document provides clear guidelines for session initialization, memory management, safety boundaries, and proactive behavior. The distinction between heartbeat and cron usage enables appropriate automation architecture decisions.</w:t>
      </w:r>
    </w:p>
    <w:p>
      <w:pPr>
        <w:pStyle w:val="Heading2"/>
      </w:pPr>
      <w:r>
        <w:t xml:space="preserve">Areas for Enhancement</w:t>
      </w:r>
    </w:p>
    <w:p>
      <w:pPr>
        <w:pStyle w:val="ListParagraph"/>
        <w:numPr>
          <w:ilvl w:val="0"/>
          <w:numId w:val="3"/>
        </w:numPr>
        <w:spacing w:line="312"/>
      </w:pPr>
      <w:r>
        <w:rPr>
          <w:rFonts w:ascii="Times New Roman" w:cs="Times New Roman" w:eastAsia="Times New Roman" w:hAnsi="Times New Roman"/>
          <w:color w:val="1E293B"/>
          <w:sz w:val="24"/>
          <w:szCs w:val="24"/>
        </w:rPr>
        <w:t xml:space="preserve">Documentation Versioning: The documents could benefit from explicit version numbers and change logs to track evolution over time. While MEMORY.md includes a "Last Updated" field, consistent versioning across all documents would improve maintainability.</w:t>
      </w:r>
    </w:p>
    <w:p>
      <w:pPr>
        <w:pStyle w:val="ListParagraph"/>
        <w:numPr>
          <w:ilvl w:val="0"/>
          <w:numId w:val="3"/>
        </w:numPr>
        <w:spacing w:line="312"/>
      </w:pPr>
      <w:r>
        <w:rPr>
          <w:rFonts w:ascii="Times New Roman" w:cs="Times New Roman" w:eastAsia="Times New Roman" w:hAnsi="Times New Roman"/>
          <w:color w:val="1E293B"/>
          <w:sz w:val="24"/>
          <w:szCs w:val="24"/>
        </w:rPr>
        <w:t xml:space="preserve">Cross-Document Navigation: While documents reference each other, a master index document could provide improved navigation. The current structure requires understanding document purposes to locate specific information.</w:t>
      </w:r>
    </w:p>
    <w:p>
      <w:pPr>
        <w:pStyle w:val="ListParagraph"/>
        <w:numPr>
          <w:ilvl w:val="0"/>
          <w:numId w:val="3"/>
        </w:numPr>
        <w:spacing w:line="312"/>
      </w:pPr>
      <w:r>
        <w:rPr>
          <w:rFonts w:ascii="Times New Roman" w:cs="Times New Roman" w:eastAsia="Times New Roman" w:hAnsi="Times New Roman"/>
          <w:color w:val="1E293B"/>
          <w:sz w:val="24"/>
          <w:szCs w:val="24"/>
        </w:rPr>
        <w:t xml:space="preserve">Error Recovery Procedures: While AGENTS.md establishes safety protocols, explicit error recovery procedures for common failure scenarios could enhance operational resilience. The heartbeat state tracking provides a foundation for such procedures.</w:t>
      </w:r>
    </w:p>
    <w:p>
      <w:pPr>
        <w:pStyle w:val="ListParagraph"/>
        <w:numPr>
          <w:ilvl w:val="0"/>
          <w:numId w:val="3"/>
        </w:numPr>
        <w:spacing w:line="312"/>
      </w:pPr>
      <w:r>
        <w:rPr>
          <w:rFonts w:ascii="Times New Roman" w:cs="Times New Roman" w:eastAsia="Times New Roman" w:hAnsi="Times New Roman"/>
          <w:color w:val="1E293B"/>
          <w:sz w:val="24"/>
          <w:szCs w:val="24"/>
        </w:rPr>
        <w:t xml:space="preserve">Performance Metrics: The system could benefit from documented performance metrics and monitoring dashboards to track operational health. The model-usage-tracker skill provides token consumption tracking but broader system metrics could inform optimization.</w:t>
      </w:r>
    </w:p>
    <w:p>
      <w:pPr>
        <w:pStyle w:val="Heading2"/>
      </w:pPr>
      <w:r>
        <w:t xml:space="preserve">Architecture Quality Assessment</w:t>
      </w:r>
    </w:p>
    <w:p>
      <w:pPr>
        <w:spacing w:line="312"/>
      </w:pPr>
      <w:r>
        <w:rPr>
          <w:rFonts w:ascii="Times New Roman" w:cs="Times New Roman" w:eastAsia="Times New Roman" w:hAnsi="Times New Roman"/>
          <w:color w:val="1E293B"/>
          <w:sz w:val="24"/>
          <w:szCs w:val="24"/>
        </w:rPr>
        <w:t xml:space="preserve">The OpenClaw documentation suite demonstrates exceptional architectural coherence, with each document serving a distinct purpose while maintaining integration with the broader system. The separation between identity (IDENTITY.md), personality (SOUL.md), operational rules (AGENTS.md), memory (MEMORY.md), user context (USER.md), tooling (TOOLS.md), and technical specifications (PRD.md) follows sound separation-of-concerns principles.</w:t>
      </w:r>
    </w:p>
    <w:p>
      <w:pPr>
        <w:spacing w:before="120" w:line="312"/>
      </w:pPr>
      <w:r>
        <w:rPr>
          <w:rFonts w:ascii="Times New Roman" w:cs="Times New Roman" w:eastAsia="Times New Roman" w:hAnsi="Times New Roman"/>
          <w:color w:val="1E293B"/>
          <w:sz w:val="24"/>
          <w:szCs w:val="24"/>
        </w:rPr>
        <w:t xml:space="preserve">The three-layer memory architecture represents a sophisticated approach to the fundamental challenge of AI context persistence. By separating human-readable workspace files from LCM conversation history and QMD semantic search, the system enables different access patterns appropriate to different use cases. The hybrid search combining BM25 and vector embeddings with LLM reranking reflects current best practices in information retrieval.</w:t>
      </w:r>
    </w:p>
    <w:p>
      <w:pPr>
        <w:pStyle w:val="Heading1"/>
      </w:pPr>
      <w:r>
        <w:t xml:space="preserve">Conclusion</w:t>
      </w:r>
    </w:p>
    <w:p>
      <w:pPr>
        <w:spacing w:line="312"/>
      </w:pPr>
      <w:r>
        <w:rPr>
          <w:rFonts w:ascii="Times New Roman" w:cs="Times New Roman" w:eastAsia="Times New Roman" w:hAnsi="Times New Roman"/>
          <w:color w:val="1E293B"/>
          <w:sz w:val="24"/>
          <w:szCs w:val="24"/>
        </w:rPr>
        <w:t xml:space="preserve">The OpenClaw AI System documentation suite represents a mature, well-architected implementation of a personalized AI assistant framework. The system demonstrates sophisticated attention to security, memory management, personality expression, and operational clarity. The comprehensive skill ecosystem, security-first architecture, and three-layer memory system position this implementation as an exemplar of advanced AI assistant design.</w:t>
      </w:r>
    </w:p>
    <w:p>
      <w:pPr>
        <w:spacing w:before="120" w:line="312"/>
      </w:pPr>
      <w:r>
        <w:rPr>
          <w:rFonts w:ascii="Times New Roman" w:cs="Times New Roman" w:eastAsia="Times New Roman" w:hAnsi="Times New Roman"/>
          <w:color w:val="1E293B"/>
          <w:sz w:val="24"/>
          <w:szCs w:val="24"/>
        </w:rPr>
        <w:t xml:space="preserve">The philosophy of treating the AI as a "digital partner in crime" rather than a generic chatbot permeates the documentation, creating a coherent vision for human-AI collaboration. The Anti-Generic design philosophy and commitment to direct, opinionated interaction establish a differentiated approach that prioritizes genuine assistance over safe but unhelpful responses.</w:t>
      </w:r>
    </w:p>
    <w:p>
      <w:pPr>
        <w:spacing w:before="120" w:line="312"/>
      </w:pPr>
      <w:r>
        <w:rPr>
          <w:rFonts w:ascii="Times New Roman" w:cs="Times New Roman" w:eastAsia="Times New Roman" w:hAnsi="Times New Roman"/>
          <w:color w:val="1E293B"/>
          <w:sz w:val="24"/>
          <w:szCs w:val="24"/>
        </w:rPr>
        <w:t xml:space="preserve">For organizations or individuals considering similar implementations, the OpenClaw documentation suite provides a valuable reference architecture demonstrating how to balance technical sophistication with user experience, security with functionality, and automation with human oversight. The explicit documentation of personality parameters, operational protocols, and technical specifications creates a reproducible framework for personalized AI assistance.</w:t>
      </w:r>
    </w:p>
    <w:p>
      <w:pPr>
        <w:spacing w:before="120" w:line="312"/>
      </w:pPr>
      <w:r>
        <w:rPr>
          <w:rFonts w:ascii="Times New Roman" w:cs="Times New Roman" w:eastAsia="Times New Roman" w:hAnsi="Times New Roman"/>
          <w:color w:val="1E293B"/>
          <w:sz w:val="24"/>
          <w:szCs w:val="24"/>
        </w:rPr>
        <w:t xml:space="preserve">The identified enhancement opportunities around versioning, navigation, error recovery, and performance metrics represent incremental improvements rather than fundamental gaps. The current implementation demonstrates comprehensive coverage of essential concerns with appropriate technical depth.</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OpenClaw AI System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2026-03-16T00:57:04.904Z</dcterms:created>
  <dcterms:modified xsi:type="dcterms:W3CDTF">2026-03-16T00:57:04.904Z</dcterms:modified>
</cp:coreProperties>
</file>

<file path=docProps/custom.xml><?xml version="1.0" encoding="utf-8"?>
<Properties xmlns="http://schemas.openxmlformats.org/officeDocument/2006/custom-properties" xmlns:vt="http://schemas.openxmlformats.org/officeDocument/2006/docPropsVTypes"/>
</file>