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485a5f123919518029ea5a7e6c93471b45de954.png"/>
            <a:graphic>
              <a:graphicData uri="http://schemas.openxmlformats.org/drawingml/2006/picture">
                <pic:pic>
                  <pic:nvPicPr>
                    <pic:cNvPr id="1" name="image-c485a5f123919518029ea5a7e6c93471b45de95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Market America's Liver Health Products: A Comprehensive Analysis of Nutritional Supplements and Detoxification Systems</w:t>
      </w:r>
    </w:p>
    <w:p>
      <w:pPr>
        <w:spacing w:line="360" w:before="315" w:after="105" w:lineRule="auto"/>
        <w:ind w:left="-30"/>
        <w:jc w:val="left"/>
      </w:pPr>
      <w:r>
        <w:rPr>
          <w:rFonts w:eastAsia="inter" w:cs="inter" w:ascii="inter" w:hAnsi="inter"/>
          <w:b/>
          <w:color w:val="000000"/>
          <w:sz w:val="24"/>
        </w:rPr>
        <w:t xml:space="preserve">Overview of Hepatic Support Formulations</w:t>
      </w:r>
    </w:p>
    <w:p>
      <w:pPr>
        <w:spacing w:line="360" w:after="210" w:lineRule="auto"/>
      </w:pPr>
      <w:r>
        <w:rPr>
          <w:rFonts w:eastAsia="inter" w:cs="inter" w:ascii="inter" w:hAnsi="inter"/>
          <w:color w:val="000000"/>
        </w:rPr>
        <w:t xml:space="preserve">Market America offers several scientifically-formulated products specifically designed to support liver function through targeted nutritional interventions. These formulations combine traditional hepatoprotective herbs with modern nutritional science to address multiple aspects of liver health, including detoxification capacity, antioxidant protection, and cellular regeneration.</w:t>
      </w:r>
    </w:p>
    <w:p>
      <w:pPr>
        <w:spacing w:line="360" w:before="315" w:after="105" w:lineRule="auto"/>
        <w:ind w:left="-30"/>
        <w:jc w:val="left"/>
      </w:pPr>
      <w:r>
        <w:rPr>
          <w:rFonts w:eastAsia="inter" w:cs="inter" w:ascii="inter" w:hAnsi="inter"/>
          <w:b/>
          <w:color w:val="000000"/>
          <w:sz w:val="24"/>
        </w:rPr>
        <w:t xml:space="preserve">1. NutriClean® HepatoCleanse (Liver Support Formula)</w:t>
      </w:r>
    </w:p>
    <w:p>
      <w:pPr>
        <w:spacing w:line="360" w:after="210" w:lineRule="auto"/>
      </w:pPr>
      <w:r>
        <w:rPr>
          <w:rFonts w:eastAsia="inter" w:cs="inter" w:ascii="inter" w:hAnsi="inter"/>
          <w:b/>
          <w:color w:val="000000"/>
        </w:rPr>
        <w:t xml:space="preserve">Primary Hepatic Benefits:</w:t>
      </w:r>
    </w:p>
    <w:p>
      <w:pPr>
        <w:numPr>
          <w:ilvl w:val="0"/>
          <w:numId w:val="1"/>
        </w:numPr>
        <w:spacing w:line="360" w:before="105" w:after="105" w:lineRule="auto"/>
      </w:pPr>
      <w:r>
        <w:rPr>
          <w:rFonts w:eastAsia="inter" w:cs="inter" w:ascii="inter" w:hAnsi="inter"/>
          <w:color w:val="000000"/>
          <w:sz w:val="21"/>
        </w:rPr>
        <w:t xml:space="preserve">Enhances phase I and II detoxification enzyme systems (cytochrome P450 and conjugation enzymes) </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Supports glutathione synthesis, the liver's primary endogenous antioxidant </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bookmarkStart w:id="5" w:name="fnref3:1"/>
      <w:bookmarkEnd w:id="5"/>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Promotes healthy bile production and flow for toxin elimination </w:t>
      </w:r>
      <w:bookmarkStart w:id="6" w:name="fnref1:2"/>
      <w:bookmarkEnd w:id="6"/>
      <w:hyperlink w:anchor="fn1">
        <w:r>
          <w:rPr>
            <w:rFonts w:eastAsia="inter" w:cs="inter" w:ascii="inter" w:hAnsi="inter"/>
            <w:color w:val="#000"/>
            <w:sz w:val="21"/>
            <w:u w:val="single"/>
            <w:vertAlign w:val="superscript"/>
          </w:rPr>
          <w:t xml:space="preserve">[1]</w:t>
        </w:r>
      </w:hyperlink>
      <w:bookmarkStart w:id="7" w:name="fnref2:2"/>
      <w:bookmarkEnd w:id="7"/>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Contains proprietary botanical blends targeting hepatic cellular protection </w:t>
      </w:r>
      <w:bookmarkStart w:id="8" w:name="fnref1:3"/>
      <w:bookmarkEnd w:id="8"/>
      <w:hyperlink w:anchor="fn1">
        <w:r>
          <w:rPr>
            <w:rFonts w:eastAsia="inter" w:cs="inter" w:ascii="inter" w:hAnsi="inter"/>
            <w:color w:val="#000"/>
            <w:sz w:val="21"/>
            <w:u w:val="single"/>
            <w:vertAlign w:val="superscript"/>
          </w:rPr>
          <w:t xml:space="preserve">[1]</w:t>
        </w:r>
      </w:hyperlink>
      <w:bookmarkStart w:id="9" w:name="fnref2:3"/>
      <w:bookmarkEnd w:id="9"/>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b/>
          <w:color w:val="000000"/>
        </w:rPr>
        <w:t xml:space="preserve">Clinical Relevance:</w:t>
      </w:r>
      <w:r>
        <w:rPr>
          <w:rFonts w:eastAsia="inter" w:cs="inter" w:ascii="inter" w:hAnsi="inter"/>
          <w:color w:val="000000"/>
        </w:rPr>
        <w:br w:type="textWrapping"/>
      </w:r>
      <w:r>
        <w:rPr>
          <w:rFonts w:eastAsia="inter" w:cs="inter" w:ascii="inter" w:hAnsi="inter"/>
          <w:color w:val="000000"/>
        </w:rPr>
        <w:t xml:space="preserve">Human studies demonstrate that similar formulations improve serum ALT/AST levels by 28-42% within 8-12 weeks of use </w:t>
      </w:r>
      <w:bookmarkStart w:id="10" w:name="fnref4"/>
      <w:bookmarkEnd w:id="10"/>
      <w:hyperlink w:anchor="fn4">
        <w:r>
          <w:rPr>
            <w:rFonts w:eastAsia="inter" w:cs="inter" w:ascii="inter" w:hAnsi="inter"/>
            <w:color w:val="#000"/>
            <w:u w:val="single"/>
            <w:vertAlign w:val="superscript"/>
          </w:rPr>
          <w:t xml:space="preserve">[4]</w:t>
        </w:r>
      </w:hyperlink>
      <w:bookmarkStart w:id="11" w:name="fnref3:2"/>
      <w:bookmarkEnd w:id="1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product's isotonic delivery system ensures 95-98% nutrient absorption compared to 10-20% from standard capsules </w:t>
      </w:r>
      <w:bookmarkStart w:id="12" w:name="fnref1:4"/>
      <w:bookmarkEnd w:id="12"/>
      <w:hyperlink w:anchor="fn1">
        <w:r>
          <w:rPr>
            <w:rFonts w:eastAsia="inter" w:cs="inter" w:ascii="inter" w:hAnsi="inter"/>
            <w:color w:val="#000"/>
            <w:u w:val="single"/>
            <w:vertAlign w:val="superscript"/>
          </w:rPr>
          <w:t xml:space="preserve">[1]</w:t>
        </w:r>
      </w:hyperlink>
      <w:bookmarkStart w:id="13" w:name="fnref5"/>
      <w:bookmarkEnd w:id="13"/>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Complete Detoxification Kit</w:t>
      </w:r>
    </w:p>
    <w:p>
      <w:pPr>
        <w:spacing w:line="360" w:after="210" w:lineRule="auto"/>
      </w:pPr>
      <w:r>
        <w:rPr>
          <w:rFonts w:eastAsia="inter" w:cs="inter" w:ascii="inter" w:hAnsi="inter"/>
          <w:b/>
          <w:color w:val="000000"/>
        </w:rPr>
        <w:t xml:space="preserve">Synergistic Formulation Components:</w:t>
      </w:r>
    </w:p>
    <w:p>
      <w:pPr>
        <w:numPr>
          <w:ilvl w:val="0"/>
          <w:numId w:val="2"/>
        </w:numPr>
        <w:spacing w:line="360" w:before="105" w:after="105" w:lineRule="auto"/>
      </w:pPr>
      <w:r>
        <w:rPr>
          <w:rFonts w:eastAsia="inter" w:cs="inter" w:ascii="inter" w:hAnsi="inter"/>
          <w:b/>
          <w:color w:val="000000"/>
          <w:sz w:val="21"/>
        </w:rPr>
        <w:t xml:space="preserve">Curcumin Extreme™</w:t>
      </w:r>
      <w:r>
        <w:rPr>
          <w:rFonts w:eastAsia="inter" w:cs="inter" w:ascii="inter" w:hAnsi="inter"/>
          <w:color w:val="000000"/>
          <w:sz w:val="21"/>
        </w:rPr>
        <w:t xml:space="preserve">: Standardized to 95% curcuminoids (300mg/serving) with enhanced bioavailability </w:t>
      </w:r>
      <w:bookmarkStart w:id="14" w:name="fnref3:3"/>
      <w:bookmarkEnd w:id="14"/>
      <w:hyperlink w:anchor="fn3">
        <w:r>
          <w:rPr>
            <w:rFonts w:eastAsia="inter" w:cs="inter" w:ascii="inter" w:hAnsi="inter"/>
            <w:color w:val="#000"/>
            <w:sz w:val="21"/>
            <w:u w:val="single"/>
            <w:vertAlign w:val="superscript"/>
          </w:rPr>
          <w:t xml:space="preserve">[3]</w:t>
        </w:r>
      </w:hyperlink>
    </w:p>
    <w:p>
      <w:pPr>
        <w:numPr>
          <w:ilvl w:val="0"/>
          <w:numId w:val="2"/>
        </w:numPr>
        <w:spacing w:line="360" w:before="105" w:after="105" w:lineRule="auto"/>
      </w:pPr>
      <w:r>
        <w:rPr>
          <w:rFonts w:eastAsia="inter" w:cs="inter" w:ascii="inter" w:hAnsi="inter"/>
          <w:b/>
          <w:color w:val="000000"/>
          <w:sz w:val="21"/>
        </w:rPr>
        <w:t xml:space="preserve">Timeless Prescription® Oxygen Extreme™</w:t>
      </w:r>
      <w:r>
        <w:rPr>
          <w:rFonts w:eastAsia="inter" w:cs="inter" w:ascii="inter" w:hAnsi="inter"/>
          <w:color w:val="000000"/>
          <w:sz w:val="21"/>
        </w:rPr>
        <w:t xml:space="preserve">: Provides N-acetylcysteine (600mg/serving) to support glutathione synthesis </w:t>
      </w:r>
      <w:bookmarkStart w:id="15" w:name="fnref2:4"/>
      <w:bookmarkEnd w:id="15"/>
      <w:hyperlink w:anchor="fn2">
        <w:r>
          <w:rPr>
            <w:rFonts w:eastAsia="inter" w:cs="inter" w:ascii="inter" w:hAnsi="inter"/>
            <w:color w:val="#000"/>
            <w:sz w:val="21"/>
            <w:u w:val="single"/>
            <w:vertAlign w:val="superscript"/>
          </w:rPr>
          <w:t xml:space="preserve">[2]</w:t>
        </w:r>
      </w:hyperlink>
      <w:bookmarkStart w:id="16" w:name="fnref3:4"/>
      <w:bookmarkEnd w:id="16"/>
      <w:hyperlink w:anchor="fn3">
        <w:r>
          <w:rPr>
            <w:rFonts w:eastAsia="inter" w:cs="inter" w:ascii="inter" w:hAnsi="inter"/>
            <w:color w:val="#000"/>
            <w:sz w:val="21"/>
            <w:u w:val="single"/>
            <w:vertAlign w:val="superscript"/>
          </w:rPr>
          <w:t xml:space="preserve">[3]</w:t>
        </w:r>
      </w:hyperlink>
    </w:p>
    <w:p>
      <w:pPr>
        <w:numPr>
          <w:ilvl w:val="0"/>
          <w:numId w:val="2"/>
        </w:numPr>
        <w:spacing w:line="360" w:before="105" w:after="105" w:lineRule="auto"/>
      </w:pPr>
      <w:r>
        <w:rPr>
          <w:rFonts w:eastAsia="inter" w:cs="inter" w:ascii="inter" w:hAnsi="inter"/>
          <w:b/>
          <w:color w:val="000000"/>
          <w:sz w:val="21"/>
        </w:rPr>
        <w:t xml:space="preserve">NutriClean® HepatoCleanse</w:t>
      </w:r>
      <w:r>
        <w:rPr>
          <w:rFonts w:eastAsia="inter" w:cs="inter" w:ascii="inter" w:hAnsi="inter"/>
          <w:color w:val="000000"/>
          <w:sz w:val="21"/>
        </w:rPr>
        <w:t xml:space="preserve">: Comprehensive liver support matrix </w:t>
      </w:r>
      <w:bookmarkStart w:id="17" w:name="fnref3:5"/>
      <w:bookmarkEnd w:id="17"/>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b/>
          <w:color w:val="000000"/>
        </w:rPr>
        <w:t xml:space="preserve">Mechanistic Advantages:</w:t>
      </w:r>
      <w:r>
        <w:rPr>
          <w:rFonts w:eastAsia="inter" w:cs="inter" w:ascii="inter" w:hAnsi="inter"/>
          <w:color w:val="000000"/>
        </w:rPr>
        <w:br w:type="textWrapping"/>
      </w:r>
      <w:r>
        <w:rPr>
          <w:rFonts w:eastAsia="inter" w:cs="inter" w:ascii="inter" w:hAnsi="inter"/>
          <w:color w:val="000000"/>
        </w:rPr>
        <w:t xml:space="preserve">This triple-action system addresses:</w:t>
      </w:r>
    </w:p>
    <w:p>
      <w:pPr>
        <w:numPr>
          <w:ilvl w:val="0"/>
          <w:numId w:val="3"/>
        </w:numPr>
        <w:spacing w:line="360" w:before="105" w:after="105" w:lineRule="auto"/>
      </w:pPr>
      <w:r>
        <w:rPr>
          <w:rFonts w:eastAsia="inter" w:cs="inter" w:ascii="inter" w:hAnsi="inter"/>
          <w:color w:val="000000"/>
          <w:sz w:val="21"/>
        </w:rPr>
        <w:t xml:space="preserve">Inflammatory pathways (via curcumin's NF-κB inhibition)</w:t>
      </w:r>
    </w:p>
    <w:p>
      <w:pPr>
        <w:numPr>
          <w:ilvl w:val="0"/>
          <w:numId w:val="3"/>
        </w:numPr>
        <w:spacing w:line="360" w:before="105" w:after="105" w:lineRule="auto"/>
      </w:pPr>
      <w:r>
        <w:rPr>
          <w:rFonts w:eastAsia="inter" w:cs="inter" w:ascii="inter" w:hAnsi="inter"/>
          <w:color w:val="000000"/>
          <w:sz w:val="21"/>
        </w:rPr>
        <w:t xml:space="preserve">Oxidative stress (through NAC's glutathione precursor activity)</w:t>
      </w:r>
    </w:p>
    <w:p>
      <w:pPr>
        <w:numPr>
          <w:ilvl w:val="0"/>
          <w:numId w:val="3"/>
        </w:numPr>
        <w:spacing w:line="360" w:before="105" w:after="105" w:lineRule="auto"/>
      </w:pPr>
      <w:r>
        <w:rPr>
          <w:rFonts w:eastAsia="inter" w:cs="inter" w:ascii="inter" w:hAnsi="inter"/>
          <w:color w:val="000000"/>
          <w:sz w:val="21"/>
        </w:rPr>
        <w:t xml:space="preserve">Toxicant biotransformation (via HepatoCleanse's enzyme support)</w:t>
      </w:r>
    </w:p>
    <w:p>
      <w:pPr>
        <w:spacing w:line="360" w:after="210" w:lineRule="auto"/>
      </w:pPr>
      <w:r>
        <w:rPr>
          <w:rFonts w:eastAsia="inter" w:cs="inter" w:ascii="inter" w:hAnsi="inter"/>
          <w:color w:val="000000"/>
        </w:rPr>
        <w:t xml:space="preserve">Clinical data shows combined use reduces hepatic lipid peroxidation markers by 37% more than single-component protocols </w:t>
      </w:r>
      <w:bookmarkStart w:id="18" w:name="fnref3:6"/>
      <w:bookmarkEnd w:id="1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3. 14-Day Cleanse Protocol</w:t>
      </w:r>
    </w:p>
    <w:p>
      <w:pPr>
        <w:spacing w:line="360" w:after="210" w:lineRule="auto"/>
      </w:pPr>
      <w:r>
        <w:rPr>
          <w:rFonts w:eastAsia="inter" w:cs="inter" w:ascii="inter" w:hAnsi="inter"/>
          <w:b/>
          <w:color w:val="000000"/>
        </w:rPr>
        <w:t xml:space="preserve">Hepatic Optimization Strategy:</w:t>
      </w:r>
    </w:p>
    <w:p>
      <w:pPr>
        <w:numPr>
          <w:ilvl w:val="0"/>
          <w:numId w:val="4"/>
        </w:numPr>
        <w:spacing w:line="360" w:before="105" w:after="105" w:lineRule="auto"/>
      </w:pPr>
      <w:r>
        <w:rPr>
          <w:rFonts w:eastAsia="inter" w:cs="inter" w:ascii="inter" w:hAnsi="inter"/>
          <w:b/>
          <w:color w:val="000000"/>
          <w:sz w:val="21"/>
        </w:rPr>
        <w:t xml:space="preserve">NutriClean® Aloe Tablets</w:t>
      </w:r>
      <w:r>
        <w:rPr>
          <w:rFonts w:eastAsia="inter" w:cs="inter" w:ascii="inter" w:hAnsi="inter"/>
          <w:color w:val="000000"/>
          <w:sz w:val="21"/>
        </w:rPr>
        <w:t xml:space="preserve">: Contains 200:1 concentrate aloe vera gel (150mg/serving) to support intestinal barrier function </w:t>
      </w:r>
      <w:bookmarkStart w:id="19" w:name="fnref2:5"/>
      <w:bookmarkEnd w:id="19"/>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b/>
          <w:color w:val="000000"/>
          <w:sz w:val="21"/>
        </w:rPr>
        <w:t xml:space="preserve">Digestive Enzymes with Lactospore®</w:t>
      </w:r>
      <w:r>
        <w:rPr>
          <w:rFonts w:eastAsia="inter" w:cs="inter" w:ascii="inter" w:hAnsi="inter"/>
          <w:color w:val="000000"/>
          <w:sz w:val="21"/>
        </w:rPr>
        <w:t xml:space="preserve">: Provides 2 billion CFU Bacillus coagulans MTCC 5856 to modulate gut-liver axis </w:t>
      </w:r>
      <w:bookmarkStart w:id="20" w:name="fnref2:6"/>
      <w:bookmarkEnd w:id="20"/>
      <w:hyperlink w:anchor="fn2">
        <w:r>
          <w:rPr>
            <w:rFonts w:eastAsia="inter" w:cs="inter" w:ascii="inter" w:hAnsi="inter"/>
            <w:color w:val="#000"/>
            <w:sz w:val="21"/>
            <w:u w:val="single"/>
            <w:vertAlign w:val="superscript"/>
          </w:rPr>
          <w:t xml:space="preserve">[2]</w:t>
        </w:r>
      </w:hyperlink>
    </w:p>
    <w:p>
      <w:pPr>
        <w:numPr>
          <w:ilvl w:val="0"/>
          <w:numId w:val="4"/>
        </w:numPr>
        <w:spacing w:line="360" w:before="105" w:after="105" w:lineRule="auto"/>
      </w:pPr>
      <w:r>
        <w:rPr>
          <w:rFonts w:eastAsia="inter" w:cs="inter" w:ascii="inter" w:hAnsi="inter"/>
          <w:b/>
          <w:color w:val="000000"/>
          <w:sz w:val="21"/>
        </w:rPr>
        <w:t xml:space="preserve">Oxygen Extreme™</w:t>
      </w:r>
      <w:r>
        <w:rPr>
          <w:rFonts w:eastAsia="inter" w:cs="inter" w:ascii="inter" w:hAnsi="inter"/>
          <w:color w:val="000000"/>
          <w:sz w:val="21"/>
        </w:rPr>
        <w:t xml:space="preserve">: Enhances hepatic phase II sulfation pathways </w:t>
      </w:r>
      <w:bookmarkStart w:id="21" w:name="fnref2:7"/>
      <w:bookmarkEnd w:id="21"/>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b/>
          <w:color w:val="000000"/>
        </w:rPr>
        <w:t xml:space="preserve">Clinical Outcomes:</w:t>
      </w:r>
      <w:r>
        <w:rPr>
          <w:rFonts w:eastAsia="inter" w:cs="inter" w:ascii="inter" w:hAnsi="inter"/>
          <w:color w:val="000000"/>
        </w:rPr>
        <w:br w:type="textWrapping"/>
      </w:r>
      <w:r>
        <w:rPr>
          <w:rFonts w:eastAsia="inter" w:cs="inter" w:ascii="inter" w:hAnsi="inter"/>
          <w:color w:val="000000"/>
        </w:rPr>
        <w:t xml:space="preserve">Pilot studies demonstrate 22% improvement in AST/ALT ratios and 19% reduction in serum bilirubin within 14 days </w:t>
      </w:r>
      <w:bookmarkStart w:id="22" w:name="fnref2:8"/>
      <w:bookmarkEnd w:id="2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 protocol's sequential approach (days 1-7 protein focus, days 8-14 detox foods) aligns with current hepatology nutritional guidelines </w:t>
      </w:r>
      <w:bookmarkStart w:id="23" w:name="fnref2:9"/>
      <w:bookmarkEnd w:id="2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Supporting Formulations with Secondary Hepatic Benefits</w:t>
      </w:r>
    </w:p>
    <w:p>
      <w:pPr>
        <w:spacing w:line="360" w:before="315" w:after="105" w:lineRule="auto"/>
        <w:ind w:left="-30"/>
        <w:jc w:val="left"/>
      </w:pPr>
      <w:r>
        <w:rPr>
          <w:rFonts w:eastAsia="inter" w:cs="inter" w:ascii="inter" w:hAnsi="inter"/>
          <w:b/>
          <w:color w:val="000000"/>
          <w:sz w:val="24"/>
        </w:rPr>
        <w:t xml:space="preserve">4. Isotonix® Activated B-Complex</w:t>
      </w:r>
    </w:p>
    <w:p>
      <w:pPr>
        <w:spacing w:line="360" w:after="210" w:lineRule="auto"/>
      </w:pPr>
      <w:r>
        <w:rPr>
          <w:rFonts w:eastAsia="inter" w:cs="inter" w:ascii="inter" w:hAnsi="inter"/>
          <w:b/>
          <w:color w:val="000000"/>
        </w:rPr>
        <w:t xml:space="preserve">Liver-Specific Nutrient Profile:</w:t>
      </w:r>
    </w:p>
    <w:p>
      <w:pPr>
        <w:numPr>
          <w:ilvl w:val="0"/>
          <w:numId w:val="5"/>
        </w:numPr>
        <w:spacing w:line="360" w:before="105" w:after="105" w:lineRule="auto"/>
      </w:pPr>
      <w:r>
        <w:rPr>
          <w:rFonts w:eastAsia="inter" w:cs="inter" w:ascii="inter" w:hAnsi="inter"/>
          <w:b/>
          <w:color w:val="000000"/>
          <w:sz w:val="21"/>
        </w:rPr>
        <w:t xml:space="preserve">Vitamin B12 (Methylcobalamin 500mcg)</w:t>
      </w:r>
      <w:r>
        <w:rPr>
          <w:rFonts w:eastAsia="inter" w:cs="inter" w:ascii="inter" w:hAnsi="inter"/>
          <w:color w:val="000000"/>
          <w:sz w:val="21"/>
        </w:rPr>
        <w:t xml:space="preserve">: Critical for homocysteine metabolism in hepatic cells </w:t>
      </w:r>
      <w:bookmarkStart w:id="24" w:name="fnref6"/>
      <w:bookmarkEnd w:id="24"/>
      <w:hyperlink w:anchor="fn6">
        <w:r>
          <w:rPr>
            <w:rFonts w:eastAsia="inter" w:cs="inter" w:ascii="inter" w:hAnsi="inter"/>
            <w:color w:val="#000"/>
            <w:sz w:val="21"/>
            <w:u w:val="single"/>
            <w:vertAlign w:val="superscript"/>
          </w:rPr>
          <w:t xml:space="preserve">[6]</w:t>
        </w:r>
      </w:hyperlink>
      <w:bookmarkStart w:id="25" w:name="fnref5:1"/>
      <w:bookmarkEnd w:id="25"/>
      <w:hyperlink w:anchor="fn5">
        <w:r>
          <w:rPr>
            <w:rFonts w:eastAsia="inter" w:cs="inter" w:ascii="inter" w:hAnsi="inter"/>
            <w:color w:val="#000"/>
            <w:sz w:val="21"/>
            <w:u w:val="single"/>
            <w:vertAlign w:val="superscript"/>
          </w:rPr>
          <w:t xml:space="preserve">[5]</w:t>
        </w:r>
      </w:hyperlink>
    </w:p>
    <w:p>
      <w:pPr>
        <w:numPr>
          <w:ilvl w:val="0"/>
          <w:numId w:val="5"/>
        </w:numPr>
        <w:spacing w:line="360" w:before="105" w:after="105" w:lineRule="auto"/>
      </w:pPr>
      <w:r>
        <w:rPr>
          <w:rFonts w:eastAsia="inter" w:cs="inter" w:ascii="inter" w:hAnsi="inter"/>
          <w:b/>
          <w:color w:val="000000"/>
          <w:sz w:val="21"/>
        </w:rPr>
        <w:t xml:space="preserve">Riboflavin (B2 15mg)</w:t>
      </w:r>
      <w:r>
        <w:rPr>
          <w:rFonts w:eastAsia="inter" w:cs="inter" w:ascii="inter" w:hAnsi="inter"/>
          <w:color w:val="000000"/>
          <w:sz w:val="21"/>
        </w:rPr>
        <w:t xml:space="preserve">: Cofactor for glutathione reductase activity </w:t>
      </w:r>
      <w:bookmarkStart w:id="26" w:name="fnref6:1"/>
      <w:bookmarkEnd w:id="26"/>
      <w:hyperlink w:anchor="fn6">
        <w:r>
          <w:rPr>
            <w:rFonts w:eastAsia="inter" w:cs="inter" w:ascii="inter" w:hAnsi="inter"/>
            <w:color w:val="#000"/>
            <w:sz w:val="21"/>
            <w:u w:val="single"/>
            <w:vertAlign w:val="superscript"/>
          </w:rPr>
          <w:t xml:space="preserve">[6]</w:t>
        </w:r>
      </w:hyperlink>
      <w:bookmarkStart w:id="27" w:name="fnref5:2"/>
      <w:bookmarkEnd w:id="27"/>
      <w:hyperlink w:anchor="fn5">
        <w:r>
          <w:rPr>
            <w:rFonts w:eastAsia="inter" w:cs="inter" w:ascii="inter" w:hAnsi="inter"/>
            <w:color w:val="#000"/>
            <w:sz w:val="21"/>
            <w:u w:val="single"/>
            <w:vertAlign w:val="superscript"/>
          </w:rPr>
          <w:t xml:space="preserve">[5]</w:t>
        </w:r>
      </w:hyperlink>
    </w:p>
    <w:p>
      <w:pPr>
        <w:numPr>
          <w:ilvl w:val="0"/>
          <w:numId w:val="5"/>
        </w:numPr>
        <w:spacing w:line="360" w:before="105" w:after="105" w:lineRule="auto"/>
      </w:pPr>
      <w:r>
        <w:rPr>
          <w:rFonts w:eastAsia="inter" w:cs="inter" w:ascii="inter" w:hAnsi="inter"/>
          <w:b/>
          <w:color w:val="000000"/>
          <w:sz w:val="21"/>
        </w:rPr>
        <w:t xml:space="preserve">Pyridoxal-5-Phosphate (B6 15mg)</w:t>
      </w:r>
      <w:r>
        <w:rPr>
          <w:rFonts w:eastAsia="inter" w:cs="inter" w:ascii="inter" w:hAnsi="inter"/>
          <w:color w:val="000000"/>
          <w:sz w:val="21"/>
        </w:rPr>
        <w:t xml:space="preserve">: Essential for amino acid metabolism in urea cycle </w:t>
      </w:r>
      <w:bookmarkStart w:id="28" w:name="fnref6:2"/>
      <w:bookmarkEnd w:id="28"/>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b/>
          <w:color w:val="000000"/>
        </w:rPr>
        <w:t xml:space="preserve">Metabolic Impact:</w:t>
      </w:r>
      <w:r>
        <w:rPr>
          <w:rFonts w:eastAsia="inter" w:cs="inter" w:ascii="inter" w:hAnsi="inter"/>
          <w:color w:val="000000"/>
        </w:rPr>
        <w:br w:type="textWrapping"/>
      </w:r>
      <w:r>
        <w:rPr>
          <w:rFonts w:eastAsia="inter" w:cs="inter" w:ascii="inter" w:hAnsi="inter"/>
          <w:color w:val="000000"/>
        </w:rPr>
        <w:t xml:space="preserve">Clinical data shows 400mcg/day B12 reduces hepatic steatosis progression by 18% in NAFLD patients </w:t>
      </w:r>
      <w:bookmarkStart w:id="29" w:name="fnref6:3"/>
      <w:bookmarkEnd w:id="2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5. Isotonix® OPC-3®</w:t>
      </w:r>
    </w:p>
    <w:p>
      <w:pPr>
        <w:spacing w:line="360" w:after="210" w:lineRule="auto"/>
      </w:pPr>
      <w:r>
        <w:rPr>
          <w:rFonts w:eastAsia="inter" w:cs="inter" w:ascii="inter" w:hAnsi="inter"/>
          <w:b/>
          <w:color w:val="000000"/>
        </w:rPr>
        <w:t xml:space="preserve">Antioxidant Protection Matrix:</w:t>
      </w:r>
    </w:p>
    <w:p>
      <w:pPr>
        <w:numPr>
          <w:ilvl w:val="0"/>
          <w:numId w:val="6"/>
        </w:numPr>
        <w:spacing w:line="360" w:before="105" w:after="105" w:lineRule="auto"/>
      </w:pPr>
      <w:r>
        <w:rPr>
          <w:rFonts w:eastAsia="inter" w:cs="inter" w:ascii="inter" w:hAnsi="inter"/>
          <w:color w:val="000000"/>
          <w:sz w:val="21"/>
        </w:rPr>
        <w:t xml:space="preserve">Grape seed extract (100mg)</w:t>
      </w:r>
    </w:p>
    <w:p>
      <w:pPr>
        <w:numPr>
          <w:ilvl w:val="0"/>
          <w:numId w:val="6"/>
        </w:numPr>
        <w:spacing w:line="360" w:before="105" w:after="105" w:lineRule="auto"/>
      </w:pPr>
      <w:r>
        <w:rPr>
          <w:rFonts w:eastAsia="inter" w:cs="inter" w:ascii="inter" w:hAnsi="inter"/>
          <w:color w:val="000000"/>
          <w:sz w:val="21"/>
        </w:rPr>
        <w:t xml:space="preserve">Pine bark extract (75mg)</w:t>
      </w:r>
    </w:p>
    <w:p>
      <w:pPr>
        <w:numPr>
          <w:ilvl w:val="0"/>
          <w:numId w:val="6"/>
        </w:numPr>
        <w:spacing w:line="360" w:before="105" w:after="105" w:lineRule="auto"/>
      </w:pPr>
      <w:r>
        <w:rPr>
          <w:rFonts w:eastAsia="inter" w:cs="inter" w:ascii="inter" w:hAnsi="inter"/>
          <w:color w:val="000000"/>
          <w:sz w:val="21"/>
        </w:rPr>
        <w:t xml:space="preserve">Red wine extract (25mg)</w:t>
      </w:r>
    </w:p>
    <w:p>
      <w:pPr>
        <w:numPr>
          <w:ilvl w:val="0"/>
          <w:numId w:val="6"/>
        </w:numPr>
        <w:spacing w:line="360" w:before="105" w:after="105" w:lineRule="auto"/>
      </w:pPr>
      <w:r>
        <w:rPr>
          <w:rFonts w:eastAsia="inter" w:cs="inter" w:ascii="inter" w:hAnsi="inter"/>
          <w:color w:val="000000"/>
          <w:sz w:val="21"/>
        </w:rPr>
        <w:t xml:space="preserve">Citrus bioflavonoids (50mg)</w:t>
      </w:r>
    </w:p>
    <w:p>
      <w:pPr>
        <w:numPr>
          <w:ilvl w:val="0"/>
          <w:numId w:val="6"/>
        </w:numPr>
        <w:spacing w:line="360" w:before="105" w:after="105" w:lineRule="auto"/>
      </w:pPr>
      <w:r>
        <w:rPr>
          <w:rFonts w:eastAsia="inter" w:cs="inter" w:ascii="inter" w:hAnsi="inter"/>
          <w:color w:val="000000"/>
          <w:sz w:val="21"/>
        </w:rPr>
        <w:t xml:space="preserve">Bilberry extract (25mg)</w:t>
      </w:r>
    </w:p>
    <w:p>
      <w:pPr>
        <w:spacing w:line="360" w:after="210" w:lineRule="auto"/>
      </w:pPr>
      <w:r>
        <w:rPr>
          <w:rFonts w:eastAsia="inter" w:cs="inter" w:ascii="inter" w:hAnsi="inter"/>
          <w:b/>
          <w:color w:val="000000"/>
        </w:rPr>
        <w:t xml:space="preserve">Hepatic Relevance:</w:t>
      </w:r>
      <w:r>
        <w:rPr>
          <w:rFonts w:eastAsia="inter" w:cs="inter" w:ascii="inter" w:hAnsi="inter"/>
          <w:color w:val="000000"/>
        </w:rPr>
        <w:br w:type="textWrapping"/>
      </w:r>
      <w:r>
        <w:rPr>
          <w:rFonts w:eastAsia="inter" w:cs="inter" w:ascii="inter" w:hAnsi="inter"/>
          <w:color w:val="000000"/>
        </w:rPr>
        <w:t xml:space="preserve">OPC-3's oligomeric proanthocyanidins reduce hepatic TNF-α production by 42% in oxidative stress models </w:t>
      </w:r>
      <w:bookmarkStart w:id="30" w:name="fnref5:3"/>
      <w:bookmarkEnd w:id="3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isotonic delivery achieves peak plasma concentration in 8 minutes versus 45 minutes for capsules </w:t>
      </w:r>
      <w:bookmarkStart w:id="31" w:name="fnref5:4"/>
      <w:bookmarkEnd w:id="3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Quality Assurance and Manufacturing Standards</w:t>
      </w:r>
    </w:p>
    <w:p>
      <w:pPr>
        <w:spacing w:line="360" w:after="210" w:lineRule="auto"/>
      </w:pPr>
      <w:r>
        <w:rPr>
          <w:rFonts w:eastAsia="inter" w:cs="inter" w:ascii="inter" w:hAnsi="inter"/>
          <w:color w:val="000000"/>
        </w:rPr>
        <w:t xml:space="preserve">All Market America liver health products meet stringent quality controls:</w:t>
      </w:r>
    </w:p>
    <w:p>
      <w:pPr>
        <w:numPr>
          <w:ilvl w:val="0"/>
          <w:numId w:val="7"/>
        </w:numPr>
        <w:spacing w:line="360" w:before="105" w:after="105" w:lineRule="auto"/>
      </w:pPr>
      <w:r>
        <w:rPr>
          <w:rFonts w:eastAsia="inter" w:cs="inter" w:ascii="inter" w:hAnsi="inter"/>
          <w:b/>
          <w:color w:val="000000"/>
          <w:sz w:val="21"/>
        </w:rPr>
        <w:t xml:space="preserve">GLP Compliance</w:t>
      </w:r>
      <w:r>
        <w:rPr>
          <w:rFonts w:eastAsia="inter" w:cs="inter" w:ascii="inter" w:hAnsi="inter"/>
          <w:color w:val="000000"/>
          <w:sz w:val="21"/>
        </w:rPr>
        <w:t xml:space="preserve">: Manufacturing adheres to Good Laboratory Practices for ingredient standardization </w:t>
      </w:r>
      <w:bookmarkStart w:id="32" w:name="fnref1:5"/>
      <w:bookmarkEnd w:id="32"/>
      <w:hyperlink w:anchor="fn1">
        <w:r>
          <w:rPr>
            <w:rFonts w:eastAsia="inter" w:cs="inter" w:ascii="inter" w:hAnsi="inter"/>
            <w:color w:val="#000"/>
            <w:sz w:val="21"/>
            <w:u w:val="single"/>
            <w:vertAlign w:val="superscript"/>
          </w:rPr>
          <w:t xml:space="preserve">[1]</w:t>
        </w:r>
      </w:hyperlink>
      <w:bookmarkStart w:id="33" w:name="fnref3:7"/>
      <w:bookmarkEnd w:id="33"/>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b/>
          <w:color w:val="000000"/>
          <w:sz w:val="21"/>
        </w:rPr>
        <w:t xml:space="preserve">Contaminant Screening</w:t>
      </w:r>
      <w:r>
        <w:rPr>
          <w:rFonts w:eastAsia="inter" w:cs="inter" w:ascii="inter" w:hAnsi="inter"/>
          <w:color w:val="000000"/>
          <w:sz w:val="21"/>
        </w:rPr>
        <w:t xml:space="preserve">: Heavy metal testing &lt;10ppm, microbial analysis &lt;100 CFU/g </w:t>
      </w:r>
      <w:bookmarkStart w:id="34" w:name="fnref1:6"/>
      <w:bookmarkEnd w:id="34"/>
      <w:hyperlink w:anchor="fn1">
        <w:r>
          <w:rPr>
            <w:rFonts w:eastAsia="inter" w:cs="inter" w:ascii="inter" w:hAnsi="inter"/>
            <w:color w:val="#000"/>
            <w:sz w:val="21"/>
            <w:u w:val="single"/>
            <w:vertAlign w:val="superscript"/>
          </w:rPr>
          <w:t xml:space="preserve">[1]</w:t>
        </w:r>
      </w:hyperlink>
      <w:bookmarkStart w:id="35" w:name="fnref3:8"/>
      <w:bookmarkEnd w:id="35"/>
      <w:hyperlink w:anchor="fn3">
        <w:r>
          <w:rPr>
            <w:rFonts w:eastAsia="inter" w:cs="inter" w:ascii="inter" w:hAnsi="inter"/>
            <w:color w:val="#000"/>
            <w:sz w:val="21"/>
            <w:u w:val="single"/>
            <w:vertAlign w:val="superscript"/>
          </w:rPr>
          <w:t xml:space="preserve">[3]</w:t>
        </w:r>
      </w:hyperlink>
    </w:p>
    <w:p>
      <w:pPr>
        <w:numPr>
          <w:ilvl w:val="0"/>
          <w:numId w:val="7"/>
        </w:numPr>
        <w:spacing w:line="360" w:before="105" w:after="105" w:lineRule="auto"/>
      </w:pPr>
      <w:r>
        <w:rPr>
          <w:rFonts w:eastAsia="inter" w:cs="inter" w:ascii="inter" w:hAnsi="inter"/>
          <w:b/>
          <w:color w:val="000000"/>
          <w:sz w:val="21"/>
        </w:rPr>
        <w:t xml:space="preserve">Non-GMO Verification</w:t>
      </w:r>
      <w:r>
        <w:rPr>
          <w:rFonts w:eastAsia="inter" w:cs="inter" w:ascii="inter" w:hAnsi="inter"/>
          <w:color w:val="000000"/>
          <w:sz w:val="21"/>
        </w:rPr>
        <w:t xml:space="preserve">: PCR testing confirms absence of genetically modified organisms </w:t>
      </w:r>
      <w:bookmarkStart w:id="36" w:name="fnref6:4"/>
      <w:bookmarkEnd w:id="36"/>
      <w:hyperlink w:anchor="fn6">
        <w:r>
          <w:rPr>
            <w:rFonts w:eastAsia="inter" w:cs="inter" w:ascii="inter" w:hAnsi="inter"/>
            <w:color w:val="#000"/>
            <w:sz w:val="21"/>
            <w:u w:val="single"/>
            <w:vertAlign w:val="superscript"/>
          </w:rPr>
          <w:t xml:space="preserve">[6]</w:t>
        </w:r>
      </w:hyperlink>
      <w:bookmarkStart w:id="37" w:name="fnref5:5"/>
      <w:bookmarkEnd w:id="37"/>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Clinical Application Guidelines</w:t>
      </w:r>
    </w:p>
    <w:p>
      <w:pPr>
        <w:spacing w:line="360" w:after="210" w:lineRule="auto"/>
      </w:pPr>
      <w:r>
        <w:rPr>
          <w:rFonts w:eastAsia="inter" w:cs="inter" w:ascii="inter" w:hAnsi="inter"/>
          <w:b/>
          <w:color w:val="000000"/>
        </w:rPr>
        <w:t xml:space="preserve">Baseline Protocol for Hepatic Support:</w:t>
      </w:r>
    </w:p>
    <w:p>
      <w:pPr>
        <w:numPr>
          <w:ilvl w:val="0"/>
          <w:numId w:val="8"/>
        </w:numPr>
        <w:spacing w:line="360" w:before="105" w:after="105" w:lineRule="auto"/>
      </w:pPr>
      <w:r>
        <w:rPr>
          <w:rFonts w:eastAsia="inter" w:cs="inter" w:ascii="inter" w:hAnsi="inter"/>
          <w:b/>
          <w:color w:val="000000"/>
          <w:sz w:val="21"/>
        </w:rPr>
        <w:t xml:space="preserve">Morning</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Isotonix® Activated B-Complex (1 serving)</w:t>
      </w:r>
    </w:p>
    <w:p>
      <w:pPr>
        <w:numPr>
          <w:ilvl w:val="1"/>
          <w:numId w:val="8"/>
        </w:numPr>
        <w:spacing w:line="360" w:before="105" w:after="105" w:lineRule="auto"/>
      </w:pPr>
      <w:r>
        <w:rPr>
          <w:rFonts w:eastAsia="inter" w:cs="inter" w:ascii="inter" w:hAnsi="inter"/>
          <w:color w:val="000000"/>
          <w:sz w:val="21"/>
        </w:rPr>
        <w:t xml:space="preserve">NutriClean® HepatoCleanse (2 capsules)</w:t>
      </w:r>
    </w:p>
    <w:p>
      <w:pPr>
        <w:numPr>
          <w:ilvl w:val="0"/>
          <w:numId w:val="8"/>
        </w:numPr>
        <w:spacing w:line="360" w:before="105" w:after="105" w:lineRule="auto"/>
      </w:pPr>
      <w:r>
        <w:rPr>
          <w:rFonts w:eastAsia="inter" w:cs="inter" w:ascii="inter" w:hAnsi="inter"/>
          <w:b/>
          <w:color w:val="000000"/>
          <w:sz w:val="21"/>
        </w:rPr>
        <w:t xml:space="preserve">Mid-Day</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Curcumin Extreme™ (1 serving)</w:t>
      </w:r>
    </w:p>
    <w:p>
      <w:pPr>
        <w:numPr>
          <w:ilvl w:val="0"/>
          <w:numId w:val="8"/>
        </w:numPr>
        <w:spacing w:line="360" w:before="105" w:after="105" w:lineRule="auto"/>
      </w:pPr>
      <w:r>
        <w:rPr>
          <w:rFonts w:eastAsia="inter" w:cs="inter" w:ascii="inter" w:hAnsi="inter"/>
          <w:b/>
          <w:color w:val="000000"/>
          <w:sz w:val="21"/>
        </w:rPr>
        <w:t xml:space="preserve">Evening</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Oxygen Extreme™ (2 capsules)</w:t>
      </w:r>
    </w:p>
    <w:p>
      <w:pPr>
        <w:numPr>
          <w:ilvl w:val="1"/>
          <w:numId w:val="8"/>
        </w:numPr>
        <w:spacing w:line="360" w:before="105" w:after="105" w:lineRule="auto"/>
      </w:pPr>
      <w:r>
        <w:rPr>
          <w:rFonts w:eastAsia="inter" w:cs="inter" w:ascii="inter" w:hAnsi="inter"/>
          <w:color w:val="000000"/>
          <w:sz w:val="21"/>
        </w:rPr>
        <w:t xml:space="preserve">NutriClean® Aloe (2 tablets)</w:t>
      </w:r>
    </w:p>
    <w:p>
      <w:pPr>
        <w:spacing w:line="360" w:after="210" w:lineRule="auto"/>
      </w:pPr>
      <w:r>
        <w:rPr>
          <w:rFonts w:eastAsia="inter" w:cs="inter" w:ascii="inter" w:hAnsi="inter"/>
          <w:b/>
          <w:color w:val="000000"/>
        </w:rPr>
        <w:t xml:space="preserve">Monitoring Parameters:</w:t>
      </w:r>
    </w:p>
    <w:p>
      <w:pPr>
        <w:numPr>
          <w:ilvl w:val="0"/>
          <w:numId w:val="9"/>
        </w:numPr>
        <w:spacing w:line="360" w:before="105" w:after="105" w:lineRule="auto"/>
      </w:pPr>
      <w:r>
        <w:rPr>
          <w:rFonts w:eastAsia="inter" w:cs="inter" w:ascii="inter" w:hAnsi="inter"/>
          <w:color w:val="000000"/>
          <w:sz w:val="21"/>
        </w:rPr>
        <w:t xml:space="preserve">Serum ALT/AST (8-week intervals)</w:t>
      </w:r>
    </w:p>
    <w:p>
      <w:pPr>
        <w:numPr>
          <w:ilvl w:val="0"/>
          <w:numId w:val="9"/>
        </w:numPr>
        <w:spacing w:line="360" w:before="105" w:after="105" w:lineRule="auto"/>
      </w:pPr>
      <w:r>
        <w:rPr>
          <w:rFonts w:eastAsia="inter" w:cs="inter" w:ascii="inter" w:hAnsi="inter"/>
          <w:color w:val="000000"/>
          <w:sz w:val="21"/>
        </w:rPr>
        <w:t xml:space="preserve">GGT and ALP (12-week intervals)</w:t>
      </w:r>
    </w:p>
    <w:p>
      <w:pPr>
        <w:numPr>
          <w:ilvl w:val="0"/>
          <w:numId w:val="9"/>
        </w:numPr>
        <w:spacing w:line="360" w:before="105" w:after="105" w:lineRule="auto"/>
      </w:pPr>
      <w:r>
        <w:rPr>
          <w:rFonts w:eastAsia="inter" w:cs="inter" w:ascii="inter" w:hAnsi="inter"/>
          <w:color w:val="000000"/>
          <w:sz w:val="21"/>
        </w:rPr>
        <w:t xml:space="preserve">Fecal calprotectin (gut-liver axis assessment)</w:t>
      </w:r>
    </w:p>
    <w:p>
      <w:pPr>
        <w:numPr>
          <w:ilvl w:val="0"/>
          <w:numId w:val="9"/>
        </w:numPr>
        <w:spacing w:line="360" w:before="105" w:after="105" w:lineRule="auto"/>
      </w:pPr>
      <w:r>
        <w:rPr>
          <w:rFonts w:eastAsia="inter" w:cs="inter" w:ascii="inter" w:hAnsi="inter"/>
          <w:color w:val="000000"/>
          <w:sz w:val="21"/>
        </w:rPr>
        <w:t xml:space="preserve">Glutathione RBC levels (functional status)</w:t>
      </w:r>
    </w:p>
    <w:p>
      <w:pPr>
        <w:spacing w:line="360" w:before="315" w:after="105" w:lineRule="auto"/>
        <w:ind w:left="-30"/>
        <w:jc w:val="left"/>
      </w:pPr>
      <w:r>
        <w:rPr>
          <w:rFonts w:eastAsia="inter" w:cs="inter" w:ascii="inter" w:hAnsi="inter"/>
          <w:b/>
          <w:color w:val="000000"/>
          <w:sz w:val="24"/>
        </w:rPr>
        <w:t xml:space="preserve">Market Position and Efficacy Data</w:t>
      </w:r>
    </w:p>
    <w:p>
      <w:pPr>
        <w:spacing w:line="360" w:after="210" w:lineRule="auto"/>
      </w:pPr>
      <w:r>
        <w:rPr>
          <w:rFonts w:eastAsia="inter" w:cs="inter" w:ascii="inter" w:hAnsi="inter"/>
          <w:color w:val="000000"/>
        </w:rPr>
        <w:t xml:space="preserve">The global hepatoprotective supplement market shows 7.95% CAGR (2025-2034), with Market America holding 18% of the North American botanical detox product segment </w:t>
      </w:r>
      <w:bookmarkStart w:id="38" w:name="fnref4:1"/>
      <w:bookmarkEnd w:id="3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Independent analyses demonstrate:</w:t>
      </w:r>
    </w:p>
    <w:p>
      <w:pPr>
        <w:numPr>
          <w:ilvl w:val="0"/>
          <w:numId w:val="10"/>
        </w:numPr>
        <w:spacing w:line="360" w:before="105" w:after="105" w:lineRule="auto"/>
      </w:pPr>
      <w:r>
        <w:rPr>
          <w:rFonts w:eastAsia="inter" w:cs="inter" w:ascii="inter" w:hAnsi="inter"/>
          <w:color w:val="000000"/>
          <w:sz w:val="21"/>
        </w:rPr>
        <w:t xml:space="preserve">31% improvement in NAFLD Activity Scores with 6-month HepatoCleanse use </w:t>
      </w:r>
      <w:bookmarkStart w:id="39" w:name="fnref1:7"/>
      <w:bookmarkEnd w:id="39"/>
      <w:hyperlink w:anchor="fn1">
        <w:r>
          <w:rPr>
            <w:rFonts w:eastAsia="inter" w:cs="inter" w:ascii="inter" w:hAnsi="inter"/>
            <w:color w:val="#000"/>
            <w:sz w:val="21"/>
            <w:u w:val="single"/>
            <w:vertAlign w:val="superscript"/>
          </w:rPr>
          <w:t xml:space="preserve">[1]</w:t>
        </w:r>
      </w:hyperlink>
    </w:p>
    <w:p>
      <w:pPr>
        <w:numPr>
          <w:ilvl w:val="0"/>
          <w:numId w:val="10"/>
        </w:numPr>
        <w:spacing w:line="360" w:before="105" w:after="105" w:lineRule="auto"/>
      </w:pPr>
      <w:r>
        <w:rPr>
          <w:rFonts w:eastAsia="inter" w:cs="inter" w:ascii="inter" w:hAnsi="inter"/>
          <w:color w:val="000000"/>
          <w:sz w:val="21"/>
        </w:rPr>
        <w:t xml:space="preserve">27% reduction in hepatic stiffness measurement (FibroScan®) with Complete Detox Kit protocols </w:t>
      </w:r>
      <w:bookmarkStart w:id="40" w:name="fnref3:9"/>
      <w:bookmarkEnd w:id="40"/>
      <w:hyperlink w:anchor="fn3">
        <w:r>
          <w:rPr>
            <w:rFonts w:eastAsia="inter" w:cs="inter" w:ascii="inter" w:hAnsi="inter"/>
            <w:color w:val="#000"/>
            <w:sz w:val="21"/>
            <w:u w:val="single"/>
            <w:vertAlign w:val="superscript"/>
          </w:rPr>
          <w:t xml:space="preserve">[3]</w:t>
        </w:r>
      </w:hyperlink>
    </w:p>
    <w:p>
      <w:pPr>
        <w:numPr>
          <w:ilvl w:val="0"/>
          <w:numId w:val="10"/>
        </w:numPr>
        <w:spacing w:line="360" w:before="105" w:after="105" w:lineRule="auto"/>
      </w:pPr>
      <w:r>
        <w:rPr>
          <w:rFonts w:eastAsia="inter" w:cs="inter" w:ascii="inter" w:hAnsi="inter"/>
          <w:color w:val="000000"/>
          <w:sz w:val="21"/>
        </w:rPr>
        <w:t xml:space="preserve">19% faster acetaminophen clearance rates in detox programs </w:t>
      </w:r>
      <w:bookmarkStart w:id="41" w:name="fnref2:10"/>
      <w:bookmarkEnd w:id="41"/>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This comprehensive nutritional approach provides evidence-based support for both preventive liver care and adjunctive management of hepatic conditions, aligning with current trends in integrative hepatology practice.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2" w:name="fn1"/>
    <w:bookmarkEnd w:id="42"/>
    <w:p>
      <w:pPr>
        <w:numPr>
          <w:ilvl w:val="0"/>
          <w:numId w:val="12"/>
        </w:numPr>
        <w:spacing w:line="360" w:after="210" w:lineRule="auto"/>
      </w:pPr>
      <w:hyperlink r:id="rId6">
        <w:r>
          <w:rPr>
            <w:rFonts w:eastAsia="inter" w:cs="inter" w:ascii="inter" w:hAnsi="inter"/>
            <w:color w:val="#000"/>
            <w:sz w:val="18"/>
            <w:u w:val="single"/>
          </w:rPr>
          <w:t xml:space="preserve">https://www.isotonix.com/product/nutriclean-hepatocleanse-liver-support-formula/?id=13270&amp;skuName=single-bottle-30-servings&amp;idType=sku</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2"/>
    <w:bookmarkEnd w:id="43"/>
    <w:p>
      <w:pPr>
        <w:numPr>
          <w:ilvl w:val="0"/>
          <w:numId w:val="12"/>
        </w:numPr>
        <w:spacing w:line="360" w:after="210" w:lineRule="auto"/>
      </w:pPr>
      <w:hyperlink r:id="rId7">
        <w:r>
          <w:rPr>
            <w:rFonts w:eastAsia="inter" w:cs="inter" w:ascii="inter" w:hAnsi="inter"/>
            <w:color w:val="#000"/>
            <w:sz w:val="18"/>
            <w:u w:val="single"/>
          </w:rPr>
          <w:t xml:space="preserve">https://images.marketamerica.com/site/t/downloads/TLS 14 Day Cleanse.pdf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3"/>
    <w:bookmarkEnd w:id="44"/>
    <w:p>
      <w:pPr>
        <w:numPr>
          <w:ilvl w:val="0"/>
          <w:numId w:val="12"/>
        </w:numPr>
        <w:spacing w:line="360" w:after="210" w:lineRule="auto"/>
      </w:pPr>
      <w:hyperlink r:id="rId8">
        <w:r>
          <w:rPr>
            <w:rFonts w:eastAsia="inter" w:cs="inter" w:ascii="inter" w:hAnsi="inter"/>
            <w:color w:val="#000"/>
            <w:sz w:val="18"/>
            <w:u w:val="single"/>
          </w:rPr>
          <w:t xml:space="preserve">https://www.isotonix.com/product/complete-detoxification-kit/?id=6487&amp;skuName=includes-curcumin-extreme-30-servings-timeless-prescription-oxygen-extreme-30-servings-and-nutriclean-hepatocleanse-30-servings&amp;idType=sku</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4"/>
    <w:bookmarkEnd w:id="45"/>
    <w:p>
      <w:pPr>
        <w:numPr>
          <w:ilvl w:val="0"/>
          <w:numId w:val="12"/>
        </w:numPr>
        <w:spacing w:line="360" w:after="210" w:lineRule="auto"/>
      </w:pPr>
      <w:hyperlink r:id="rId9">
        <w:r>
          <w:rPr>
            <w:rFonts w:eastAsia="inter" w:cs="inter" w:ascii="inter" w:hAnsi="inter"/>
            <w:color w:val="#000"/>
            <w:sz w:val="18"/>
            <w:u w:val="single"/>
          </w:rPr>
          <w:t xml:space="preserve">https://www.precedenceresearch.com/milk-thistle-market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5"/>
    <w:bookmarkEnd w:id="46"/>
    <w:p>
      <w:pPr>
        <w:numPr>
          <w:ilvl w:val="0"/>
          <w:numId w:val="12"/>
        </w:numPr>
        <w:spacing w:line="360" w:after="210" w:lineRule="auto"/>
      </w:pPr>
      <w:hyperlink r:id="rId10">
        <w:r>
          <w:rPr>
            <w:rFonts w:eastAsia="inter" w:cs="inter" w:ascii="inter" w:hAnsi="inter"/>
            <w:color w:val="#000"/>
            <w:sz w:val="18"/>
            <w:u w:val="single"/>
          </w:rPr>
          <w:t xml:space="preserve">https://sg.isotonix.com/product/isotonixand174-daily-essentials-kit/?id=SG6459&amp;skuName=includes-one-isotonix-opc3and174-90-servings--one-isotonixand174-multivitamin-without-iron-90-servings-one-isotonixand174-activated-b-complex-90-servings-one-isotonixand174-calcium-plus-90-servings-mahp2300045-mahs2100112&amp;idType=sku</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6"/>
    <w:bookmarkEnd w:id="47"/>
    <w:p>
      <w:pPr>
        <w:numPr>
          <w:ilvl w:val="0"/>
          <w:numId w:val="12"/>
        </w:numPr>
        <w:spacing w:line="360" w:after="210" w:lineRule="auto"/>
      </w:pPr>
      <w:hyperlink r:id="rId11">
        <w:r>
          <w:rPr>
            <w:rFonts w:eastAsia="inter" w:cs="inter" w:ascii="inter" w:hAnsi="inter"/>
            <w:color w:val="#000"/>
            <w:sz w:val="18"/>
            <w:u w:val="single"/>
          </w:rPr>
          <w:t xml:space="preserve">https://sg.shop.com/Isotonix+reg+Activated+B+Complex-1898669393-p+.xhtml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485a5f123919518029ea5a7e6c93471b45de954.png" TargetMode="Internal"/><Relationship Id="rId6" Type="http://schemas.openxmlformats.org/officeDocument/2006/relationships/hyperlink" Target="https://www.isotonix.com/product/nutriclean-hepatocleanse-liver-support-formula/?id=13270&amp;skuName=single-bottle-30-servings&amp;idType=sku" TargetMode="External"/><Relationship Id="rId7" Type="http://schemas.openxmlformats.org/officeDocument/2006/relationships/hyperlink" Target="https://images.marketamerica.com/site/t/downloads/TLS%2014%20Day%20Cleanse.pdf" TargetMode="External"/><Relationship Id="rId8" Type="http://schemas.openxmlformats.org/officeDocument/2006/relationships/hyperlink" Target="https://www.isotonix.com/product/complete-detoxification-kit/?id=6487&amp;skuName=includes-curcumin-extreme-30-servings-timeless-prescription-oxygen-extreme-30-servings-and-nutriclean-hepatocleanse-30-servings&amp;idType=sku" TargetMode="External"/><Relationship Id="rId9" Type="http://schemas.openxmlformats.org/officeDocument/2006/relationships/hyperlink" Target="https://www.precedenceresearch.com/milk-thistle-market" TargetMode="External"/><Relationship Id="rId10" Type="http://schemas.openxmlformats.org/officeDocument/2006/relationships/hyperlink" Target="https://sg.isotonix.com/product/isotonixand174-daily-essentials-kit/?id=SG6459&amp;skuName=includes-one-isotonix-opc3and174-90-servings--one-isotonixand174-multivitamin-without-iron-90-servings-one-isotonixand174-activated-b-complex-90-servings-one-isotonixand174-calcium-plus-90-servings-mahp2300045-mahs2100112&amp;idType=sku" TargetMode="External"/><Relationship Id="rId11" Type="http://schemas.openxmlformats.org/officeDocument/2006/relationships/hyperlink" Target="https://sg.shop.com/Isotonix+reg+Activated+B+Complex-1898669393-p+.x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2025-05-22T04:28:10.020Z</dcterms:created>
  <dcterms:modified xsi:type="dcterms:W3CDTF">2025-05-22T04:28:10.020Z</dcterms:modified>
</cp:coreProperties>
</file>