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72"/>
          <w:szCs w:val="72"/>
        </w:rPr>
        <w:t xml:space="preserve">UI/UX Design Aesthetics</w:t>
      </w:r>
    </w:p>
    <w:p>
      <w:pPr>
        <w:spacing w:before="200"/>
        <w:jc w:val="center"/>
      </w:pPr>
      <w:r>
        <w:rPr>
          <w:rFonts w:ascii="Times New Roman" w:cs="Times New Roman" w:eastAsia="Times New Roman" w:hAnsi="Times New Roman"/>
          <w:color w:val="64748B"/>
          <w:sz w:val="48"/>
          <w:szCs w:val="48"/>
        </w:rPr>
        <w:t xml:space="preserve">Comparative Analysis Report</w:t>
      </w:r>
    </w:p>
    <w:p>
      <w:pPr>
        <w:spacing w:before="800"/>
      </w:pPr>
    </w:p>
    <w:p>
      <w:pPr>
        <w:jc w:val="center"/>
      </w:pPr>
      <w:r>
        <w:rPr>
          <w:rFonts w:ascii="Times New Roman" w:cs="Times New Roman" w:eastAsia="Times New Roman" w:hAnsi="Times New Roman"/>
          <w:color w:val="1E293B"/>
          <w:sz w:val="32"/>
          <w:szCs w:val="32"/>
        </w:rPr>
        <w:t xml:space="preserve">iTrust Academy  vs  AI Academy</w:t>
      </w:r>
    </w:p>
    <w:p>
      <w:pPr>
        <w:spacing w:before="1500"/>
      </w:pPr>
    </w:p>
    <w:p>
      <w:pPr>
        <w:jc w:val="center"/>
      </w:pPr>
      <w:r>
        <w:rPr>
          <w:rFonts w:ascii="Times New Roman" w:cs="Times New Roman" w:eastAsia="Times New Roman" w:hAnsi="Times New Roman"/>
          <w:i/>
          <w:iCs/>
          <w:color w:val="64748B"/>
          <w:sz w:val="24"/>
          <w:szCs w:val="24"/>
        </w:rPr>
        <w:t xml:space="preserve">A Comprehensive Design Language Study</w:t>
      </w:r>
    </w:p>
    <w:p>
      <w:pPr>
        <w:spacing w:before="200"/>
        <w:jc w:val="center"/>
      </w:pPr>
      <w:r>
        <w:rPr>
          <w:rFonts w:ascii="Times New Roman" w:cs="Times New Roman" w:eastAsia="Times New Roman" w:hAnsi="Times New Roman"/>
          <w:color w:val="94A3B8"/>
          <w:sz w:val="22"/>
          <w:szCs w:val="22"/>
        </w:rPr>
        <w:t xml:space="preserve">For Design Inspiration &amp; Project Guidance</w:t>
      </w:r>
    </w:p>
    <w:p>
      <w:pPr>
        <w:spacing w:before="2000"/>
      </w:pPr>
    </w:p>
    <w:p>
      <w:pPr>
        <w:jc w:val="center"/>
      </w:pPr>
      <w:r>
        <w:rPr>
          <w:rFonts w:ascii="Times New Roman" w:cs="Times New Roman" w:eastAsia="Times New Roman" w:hAnsi="Times New Roman"/>
          <w:color w:val="64748B"/>
          <w:sz w:val="20"/>
          <w:szCs w:val="20"/>
        </w:rPr>
        <w:t xml:space="preserve">Prepared by: Frontend Architect &amp; UI Designer</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w:t>
          </w:r>
          <w:r>
            <w:tab/>
          </w:r>
          <w:r>
            <w:t>3</w:t>
          </w:r>
        </w:p>
        <w:p>
          <w:pPr>
            <w:pStyle w:val="9"/>
            <w:tabs>
              <w:tab w:val="right" w:leader="dot" w:pos="9026"/>
            </w:tabs>
          </w:pPr>
          <w:r>
            <w:t>Section 1: iTrust Academy Design Analysis</w:t>
          </w:r>
          <w:r>
            <w:tab/>
          </w:r>
          <w:r>
            <w:t>4</w:t>
          </w:r>
        </w:p>
        <w:p>
          <w:pPr>
            <w:pStyle w:val="11"/>
            <w:ind w:left="360"/>
            <w:tabs>
              <w:tab w:val="right" w:leader="dot" w:pos="9026"/>
            </w:tabs>
          </w:pPr>
          <w:r>
            <w:t>1.1 Brand Identity &amp; Visual Language</w:t>
          </w:r>
          <w:r>
            <w:tab/>
          </w:r>
          <w:r>
            <w:t>4</w:t>
          </w:r>
        </w:p>
        <w:p>
          <w:pPr>
            <w:pStyle w:val="11"/>
            <w:ind w:left="360"/>
            <w:tabs>
              <w:tab w:val="right" w:leader="dot" w:pos="9026"/>
            </w:tabs>
          </w:pPr>
          <w:r>
            <w:t>1.2 Color System Architecture</w:t>
          </w:r>
          <w:r>
            <w:tab/>
          </w:r>
          <w:r>
            <w:t>5</w:t>
          </w:r>
        </w:p>
        <w:p>
          <w:pPr>
            <w:pStyle w:val="11"/>
            <w:ind w:left="360"/>
            <w:tabs>
              <w:tab w:val="right" w:leader="dot" w:pos="9026"/>
            </w:tabs>
          </w:pPr>
          <w:r>
            <w:t>1.3 Typography System</w:t>
          </w:r>
          <w:r>
            <w:tab/>
          </w:r>
          <w:r>
            <w:t>6</w:t>
          </w:r>
        </w:p>
        <w:p>
          <w:pPr>
            <w:pStyle w:val="11"/>
            <w:ind w:left="360"/>
            <w:tabs>
              <w:tab w:val="right" w:leader="dot" w:pos="9026"/>
            </w:tabs>
          </w:pPr>
          <w:r>
            <w:t>1.4 Layout Architecture &amp; Visual Hierarchy</w:t>
          </w:r>
          <w:r>
            <w:tab/>
          </w:r>
          <w:r>
            <w:t>7</w:t>
          </w:r>
        </w:p>
        <w:p>
          <w:pPr>
            <w:pStyle w:val="11"/>
            <w:ind w:left="360"/>
            <w:tabs>
              <w:tab w:val="right" w:leader="dot" w:pos="9026"/>
            </w:tabs>
          </w:pPr>
          <w:r>
            <w:t>1.5 Navigation &amp; Interactive Elements</w:t>
          </w:r>
          <w:r>
            <w:tab/>
          </w:r>
          <w:r>
            <w:t>8</w:t>
          </w:r>
        </w:p>
        <w:p>
          <w:pPr>
            <w:pStyle w:val="11"/>
            <w:ind w:left="360"/>
            <w:tabs>
              <w:tab w:val="right" w:leader="dot" w:pos="9026"/>
            </w:tabs>
          </w:pPr>
          <w:r>
            <w:t>1.6 Animation &amp; Micro-interactions</w:t>
          </w:r>
          <w:r>
            <w:tab/>
          </w:r>
          <w:r>
            <w:t>9</w:t>
          </w:r>
        </w:p>
        <w:p>
          <w:pPr>
            <w:pStyle w:val="9"/>
            <w:tabs>
              <w:tab w:val="right" w:leader="dot" w:pos="9026"/>
            </w:tabs>
          </w:pPr>
          <w:r>
            <w:t>Section 2: AI Academy Design Analysis</w:t>
          </w:r>
          <w:r>
            <w:tab/>
          </w:r>
          <w:r>
            <w:t>10</w:t>
          </w:r>
        </w:p>
        <w:p>
          <w:pPr>
            <w:pStyle w:val="11"/>
            <w:ind w:left="360"/>
            <w:tabs>
              <w:tab w:val="right" w:leader="dot" w:pos="9026"/>
            </w:tabs>
          </w:pPr>
          <w:r>
            <w:t>2.1 Brand Identity &amp; Visual Language</w:t>
          </w:r>
          <w:r>
            <w:tab/>
          </w:r>
          <w:r>
            <w:t>10</w:t>
          </w:r>
        </w:p>
        <w:p>
          <w:pPr>
            <w:pStyle w:val="11"/>
            <w:ind w:left="360"/>
            <w:tabs>
              <w:tab w:val="right" w:leader="dot" w:pos="9026"/>
            </w:tabs>
          </w:pPr>
          <w:r>
            <w:t>2.2 Color System Architecture</w:t>
          </w:r>
          <w:r>
            <w:tab/>
          </w:r>
          <w:r>
            <w:t>11</w:t>
          </w:r>
        </w:p>
        <w:p>
          <w:pPr>
            <w:pStyle w:val="11"/>
            <w:ind w:left="360"/>
            <w:tabs>
              <w:tab w:val="right" w:leader="dot" w:pos="9026"/>
            </w:tabs>
          </w:pPr>
          <w:r>
            <w:t>2.3 Typography System</w:t>
          </w:r>
          <w:r>
            <w:tab/>
          </w:r>
          <w:r>
            <w:t>12</w:t>
          </w:r>
        </w:p>
        <w:p>
          <w:pPr>
            <w:pStyle w:val="11"/>
            <w:ind w:left="360"/>
            <w:tabs>
              <w:tab w:val="right" w:leader="dot" w:pos="9026"/>
            </w:tabs>
          </w:pPr>
          <w:r>
            <w:t>2.4 Layout Architecture &amp; Visual Hierarchy</w:t>
          </w:r>
          <w:r>
            <w:tab/>
          </w:r>
          <w:r>
            <w:t>13</w:t>
          </w:r>
        </w:p>
        <w:p>
          <w:pPr>
            <w:pStyle w:val="11"/>
            <w:ind w:left="360"/>
            <w:tabs>
              <w:tab w:val="right" w:leader="dot" w:pos="9026"/>
            </w:tabs>
          </w:pPr>
          <w:r>
            <w:t>2.5 Component Architecture</w:t>
          </w:r>
          <w:r>
            <w:tab/>
          </w:r>
          <w:r>
            <w:t>14</w:t>
          </w:r>
        </w:p>
        <w:p>
          <w:pPr>
            <w:pStyle w:val="11"/>
            <w:ind w:left="360"/>
            <w:tabs>
              <w:tab w:val="right" w:leader="dot" w:pos="9026"/>
            </w:tabs>
          </w:pPr>
          <w:r>
            <w:t>2.6 Trust Signals &amp; Social Proof</w:t>
          </w:r>
          <w:r>
            <w:tab/>
          </w:r>
          <w:r>
            <w:t>15</w:t>
          </w:r>
        </w:p>
        <w:p>
          <w:pPr>
            <w:pStyle w:val="9"/>
            <w:tabs>
              <w:tab w:val="right" w:leader="dot" w:pos="9026"/>
            </w:tabs>
          </w:pPr>
          <w:r>
            <w:t>Section 3: Comparative Analysis</w:t>
          </w:r>
          <w:r>
            <w:tab/>
          </w:r>
          <w:r>
            <w:t>16</w:t>
          </w:r>
        </w:p>
        <w:p>
          <w:pPr>
            <w:pStyle w:val="11"/>
            <w:ind w:left="360"/>
            <w:tabs>
              <w:tab w:val="right" w:leader="dot" w:pos="9026"/>
            </w:tabs>
          </w:pPr>
          <w:r>
            <w:t>3.1 Philosophical Divergence</w:t>
          </w:r>
          <w:r>
            <w:tab/>
          </w:r>
          <w:r>
            <w:t>16</w:t>
          </w:r>
        </w:p>
        <w:p>
          <w:pPr>
            <w:pStyle w:val="11"/>
            <w:ind w:left="360"/>
            <w:tabs>
              <w:tab w:val="right" w:leader="dot" w:pos="9026"/>
            </w:tabs>
          </w:pPr>
          <w:r>
            <w:t>3.2 Visual Hierarchy Comparison</w:t>
          </w:r>
          <w:r>
            <w:tab/>
          </w:r>
          <w:r>
            <w:t>17</w:t>
          </w:r>
        </w:p>
        <w:p>
          <w:pPr>
            <w:pStyle w:val="11"/>
            <w:ind w:left="360"/>
            <w:tabs>
              <w:tab w:val="right" w:leader="dot" w:pos="9026"/>
            </w:tabs>
          </w:pPr>
          <w:r>
            <w:t>3.3 Shared Best Practices</w:t>
          </w:r>
          <w:r>
            <w:tab/>
          </w:r>
          <w:r>
            <w:t>18</w:t>
          </w:r>
        </w:p>
        <w:p>
          <w:pPr>
            <w:pStyle w:val="11"/>
            <w:ind w:left="360"/>
            <w:tabs>
              <w:tab w:val="right" w:leader="dot" w:pos="9026"/>
            </w:tabs>
          </w:pPr>
          <w:r>
            <w:t>3.4 Differentiation Strategies</w:t>
          </w:r>
          <w:r>
            <w:tab/>
          </w:r>
          <w:r>
            <w:t>19</w:t>
          </w:r>
        </w:p>
        <w:p>
          <w:pPr>
            <w:pStyle w:val="9"/>
            <w:tabs>
              <w:tab w:val="right" w:leader="dot" w:pos="9026"/>
            </w:tabs>
          </w:pPr>
          <w:r>
            <w:t>Section 4: Design Inspiration Guide for Future Projects</w:t>
          </w:r>
          <w:r>
            <w:tab/>
          </w:r>
          <w:r>
            <w:t>20</w:t>
          </w:r>
        </w:p>
        <w:p>
          <w:pPr>
            <w:pStyle w:val="11"/>
            <w:ind w:left="360"/>
            <w:tabs>
              <w:tab w:val="right" w:leader="dot" w:pos="9026"/>
            </w:tabs>
          </w:pPr>
          <w:r>
            <w:t>4.1 When to Apply iTrust Academy Patterns</w:t>
          </w:r>
          <w:r>
            <w:tab/>
          </w:r>
          <w:r>
            <w:t>20</w:t>
          </w:r>
        </w:p>
        <w:p>
          <w:pPr>
            <w:pStyle w:val="11"/>
            <w:ind w:left="360"/>
            <w:tabs>
              <w:tab w:val="right" w:leader="dot" w:pos="9026"/>
            </w:tabs>
          </w:pPr>
          <w:r>
            <w:t>4.2 When to Apply AI Academy Patterns</w:t>
          </w:r>
          <w:r>
            <w:tab/>
          </w:r>
          <w:r>
            <w:t>21</w:t>
          </w:r>
        </w:p>
        <w:p>
          <w:pPr>
            <w:pStyle w:val="11"/>
            <w:ind w:left="360"/>
            <w:tabs>
              <w:tab w:val="right" w:leader="dot" w:pos="9026"/>
            </w:tabs>
          </w:pPr>
          <w:r>
            <w:t>4.3 Hybrid Approach Recommendations</w:t>
          </w:r>
          <w:r>
            <w:tab/>
          </w:r>
          <w:r>
            <w:t>22</w:t>
          </w:r>
        </w:p>
        <w:p>
          <w:pPr>
            <w:pStyle w:val="11"/>
            <w:ind w:left="360"/>
            <w:tabs>
              <w:tab w:val="right" w:leader="dot" w:pos="9026"/>
            </w:tabs>
          </w:pPr>
          <w:r>
            <w:t>4.4 Technical Implementation Patterns</w:t>
          </w:r>
          <w:r>
            <w:tab/>
          </w:r>
          <w:r>
            <w:t>23</w:t>
          </w:r>
        </w:p>
        <w:p>
          <w:pPr>
            <w:pStyle w:val="9"/>
            <w:tabs>
              <w:tab w:val="right" w:leader="dot" w:pos="9026"/>
            </w:tabs>
          </w:pPr>
          <w:r>
            <w:t>Conclusion</w:t>
          </w:r>
          <w:r>
            <w:tab/>
          </w:r>
          <w:r>
            <w:t>24</w:t>
          </w:r>
        </w:p>
        <w:p>
          <w:r>
            <w:fldChar w:fldCharType="end"/>
          </w:r>
        </w:p>
      </w:sdtContent>
    </w:sdt>
    <w:p>
      <w:pPr>
        <w:spacing w:before="200"/>
        <w:jc w:val="center"/>
      </w:pPr>
      <w:r>
        <w:rPr>
          <w:i/>
          <w:iCs/>
          <w:color w:val="999999"/>
          <w:sz w:val="18"/>
          <w:szCs w:val="18"/>
        </w:rPr>
        <w:t xml:space="preserve">Note: This Table of Contents is generated via field codes. To ensure page number accuracy after editing, please right-click the TOC and select "Update Field."</w:t>
      </w:r>
    </w:p>
    <w:p>
      <w:r>
        <w:br w:type="page"/>
      </w:r>
    </w:p>
    <w:p>
      <w:pPr>
        <w:pStyle w:val="Heading1"/>
      </w:pPr>
      <w:r>
        <w:t xml:space="preserve">Executive Summary</w:t>
      </w:r>
    </w:p>
    <w:p>
      <w:pPr>
        <w:spacing w:after="200" w:line="312"/>
      </w:pPr>
      <w:r>
        <w:t xml:space="preserve">This comprehensive report presents a meticulous analysis of two distinct educational platform websites, each representing a different approach to modern web design aesthetics. The analysis encompasses visual hierarchy, typography systems, color theory application, spacing methodologies, interaction patterns, and brand expression strategies. This document serves as a design guide and inspiration resource for future frontend development projects, offering actionable insights into creating distinctive, memorable digital experiences.</w:t>
      </w:r>
    </w:p>
    <w:p>
      <w:pPr>
        <w:spacing w:after="200" w:line="312"/>
      </w:pPr>
      <w:r>
        <w:t xml:space="preserve">The first subject, iTrust Academy (itrust.academy), represents a corporate-professional aesthetic with an emphasis on structured information delivery, enterprise credibility, and certification-focused training. The design employs a deliberate minimalism that prioritizes clarity and trust-building through careful use of whitespace, restrained color palettes, and systematic typography. The second subject, AI Academy (hosted on kimi.link), embodies a more dynamic, technology-forward aesthetic with vibrant visual elements, modern component architecture, and a focus on engagement through animated interfaces and rich visual storytelling.</w:t>
      </w:r>
    </w:p>
    <w:p>
      <w:pPr>
        <w:spacing w:after="200" w:line="312"/>
      </w:pPr>
      <w:r>
        <w:t xml:space="preserve">Both designs demonstrate excellence in their respective categories but achieve their goals through fundamentally different philosophical approaches to user interface design. Understanding these differences provides invaluable lessons for designers seeking to craft purposeful, audience-appropriate digital experiences.</w:t>
      </w:r>
    </w:p>
    <w:p>
      <w:pPr>
        <w:pStyle w:val="Heading1"/>
      </w:pPr>
      <w:r>
        <w:t xml:space="preserve">Section 1: iTrust Academy Design Analysis</w:t>
      </w:r>
    </w:p>
    <w:p>
      <w:pPr>
        <w:pStyle w:val="Heading2"/>
      </w:pPr>
      <w:r>
        <w:t xml:space="preserve">1.1 Brand Identity &amp; Visual Language</w:t>
      </w:r>
    </w:p>
    <w:p>
      <w:pPr>
        <w:spacing w:after="200" w:line="312"/>
      </w:pPr>
      <w:r>
        <w:t xml:space="preserve">iTrust Academy establishes a sophisticated corporate-educational brand identity through calculated visual restraint. The design philosophy centers on the principle that professional credibility is communicated through visual discipline rather than decorative excess. This approach creates an environment that feels trustworthy, established, and serious about its educational mission. The brand positioning targets IT professionals seeking career advancement through certification, which necessitates a visual language that signals expertise, reliability, and institutional legitimacy.</w:t>
      </w:r>
    </w:p>
    <w:p>
      <w:pPr>
        <w:spacing w:after="200" w:line="312"/>
      </w:pPr>
      <w:r>
        <w:t xml:space="preserve">The visual identity is anchored by a distinctive orange brand color (#F27A1A), which serves as the primary accent throughout the interface. This orange hue is carefully chosen to balance energy with professionalism—it is vibrant enough to create visual interest and guide attention, yet restrained enough to maintain corporate appropriateness. The color appears strategically on interactive elements, status indicators, and key information highlights, creating a cohesive thread that ties the entire experience together without overwhelming the user with excessive chromatic stimulation.</w:t>
      </w:r>
    </w:p>
    <w:p>
      <w:pPr>
        <w:pStyle w:val="Heading2"/>
      </w:pPr>
      <w:r>
        <w:t xml:space="preserve">1.2 Color System Architecture</w:t>
      </w:r>
    </w:p>
    <w:p>
      <w:pPr>
        <w:spacing w:after="200" w:line="312"/>
      </w:pPr>
      <w:r>
        <w:t xml:space="preserve">The color system demonstrates a masterful application of color theory principles for educational and professional contexts. The palette is built around a foundation of neutral tones that provide visual calm and readability, punctuated by purposeful accent colors that guide user attention and communicate meaning.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94A3B8" w:sz="8"/>
              <w:left w:val="none"/>
              <w:bottom w:val="single" w:color="94A3B8" w:sz="8"/>
              <w:right w:val="none"/>
            </w:tcBorders>
            <w:shd w:fill="E2E8F0" w:val="clear"/>
            <w:vAlign w:val="center"/>
          </w:tcPr>
          <w:p>
            <w:pPr>
              <w:jc w:val="center"/>
            </w:pPr>
            <w:r>
              <w:rPr>
                <w:b/>
                <w:bCs/>
                <w:sz w:val="22"/>
                <w:szCs w:val="22"/>
              </w:rPr>
              <w:t xml:space="preserve">Color Role</w:t>
            </w:r>
          </w:p>
        </w:tc>
        <w:tc>
          <w:tcPr>
            <w:tcW w:type="dxa" w:w="2500"/>
            <w:tcBorders>
              <w:top w:val="single" w:color="94A3B8" w:sz="8"/>
              <w:left w:val="none"/>
              <w:bottom w:val="single" w:color="94A3B8" w:sz="8"/>
              <w:right w:val="none"/>
            </w:tcBorders>
            <w:shd w:fill="E2E8F0" w:val="clear"/>
            <w:vAlign w:val="center"/>
          </w:tcPr>
          <w:p>
            <w:pPr>
              <w:jc w:val="center"/>
            </w:pPr>
            <w:r>
              <w:rPr>
                <w:b/>
                <w:bCs/>
                <w:sz w:val="22"/>
                <w:szCs w:val="22"/>
              </w:rPr>
              <w:t xml:space="preserve">Hex Value</w:t>
            </w:r>
          </w:p>
        </w:tc>
        <w:tc>
          <w:tcPr>
            <w:tcW w:type="dxa" w:w="4360"/>
            <w:tcBorders>
              <w:top w:val="single" w:color="94A3B8" w:sz="8"/>
              <w:left w:val="none"/>
              <w:bottom w:val="single" w:color="94A3B8" w:sz="8"/>
              <w:right w:val="none"/>
            </w:tcBorders>
            <w:shd w:fill="E2E8F0" w:val="clear"/>
            <w:vAlign w:val="center"/>
          </w:tcPr>
          <w:p>
            <w:pPr>
              <w:jc w:val="center"/>
            </w:pPr>
            <w:r>
              <w:rPr>
                <w:b/>
                <w:bCs/>
                <w:sz w:val="22"/>
                <w:szCs w:val="22"/>
              </w:rPr>
              <w:t xml:space="preserve">Application Context</w:t>
            </w:r>
          </w:p>
        </w:tc>
      </w:tr>
      <w:tr>
        <w:tc>
          <w:tcPr>
            <w:tcW w:type="dxa" w:w="2500"/>
            <w:tcBorders>
              <w:top w:val="single" w:color="94A3B8" w:sz="8"/>
              <w:left w:val="none"/>
              <w:bottom w:val="single" w:color="94A3B8" w:sz="8"/>
              <w:right w:val="none"/>
            </w:tcBorders>
          </w:tcPr>
          <w:p>
            <w:pPr>
              <w:jc w:val="center"/>
            </w:pPr>
            <w:r>
              <w:rPr>
                <w:sz w:val="22"/>
                <w:szCs w:val="22"/>
              </w:rPr>
              <w:t xml:space="preserve">Primary Brand</w:t>
            </w:r>
          </w:p>
        </w:tc>
        <w:tc>
          <w:tcPr>
            <w:tcW w:type="dxa" w:w="2500"/>
            <w:tcBorders>
              <w:top w:val="single" w:color="94A3B8" w:sz="8"/>
              <w:left w:val="none"/>
              <w:bottom w:val="single" w:color="94A3B8" w:sz="8"/>
              <w:right w:val="none"/>
            </w:tcBorders>
          </w:tcPr>
          <w:p>
            <w:pPr>
              <w:jc w:val="center"/>
            </w:pPr>
            <w:r>
              <w:rPr>
                <w:color w:val="F27A1A"/>
                <w:sz w:val="22"/>
                <w:szCs w:val="22"/>
              </w:rPr>
              <w:t xml:space="preserve">#F27A1A</w:t>
            </w:r>
          </w:p>
        </w:tc>
        <w:tc>
          <w:tcPr>
            <w:tcW w:type="dxa" w:w="4360"/>
            <w:tcBorders>
              <w:top w:val="single" w:color="94A3B8" w:sz="8"/>
              <w:left w:val="none"/>
              <w:bottom w:val="single" w:color="94A3B8" w:sz="8"/>
              <w:right w:val="none"/>
            </w:tcBorders>
          </w:tcPr>
          <w:p>
            <w:pPr>
              <w:jc w:val="center"/>
            </w:pPr>
            <w:r>
              <w:rPr>
                <w:sz w:val="22"/>
                <w:szCs w:val="22"/>
              </w:rPr>
              <w:t xml:space="preserve">CTAs, links, highlights, accents</w:t>
            </w:r>
          </w:p>
        </w:tc>
      </w:tr>
      <w:tr>
        <w:tc>
          <w:tcPr>
            <w:tcW w:type="dxa" w:w="2500"/>
            <w:tcBorders>
              <w:top w:val="single" w:color="94A3B8" w:sz="8"/>
              <w:left w:val="none"/>
              <w:bottom w:val="single" w:color="94A3B8" w:sz="8"/>
              <w:right w:val="none"/>
            </w:tcBorders>
          </w:tcPr>
          <w:p>
            <w:pPr>
              <w:jc w:val="center"/>
            </w:pPr>
            <w:r>
              <w:rPr>
                <w:sz w:val="22"/>
                <w:szCs w:val="22"/>
              </w:rPr>
              <w:t xml:space="preserve">Background Primary</w:t>
            </w:r>
          </w:p>
        </w:tc>
        <w:tc>
          <w:tcPr>
            <w:tcW w:type="dxa" w:w="2500"/>
            <w:tcBorders>
              <w:top w:val="single" w:color="94A3B8" w:sz="8"/>
              <w:left w:val="none"/>
              <w:bottom w:val="single" w:color="94A3B8" w:sz="8"/>
              <w:right w:val="none"/>
            </w:tcBorders>
          </w:tcPr>
          <w:p>
            <w:pPr>
              <w:jc w:val="center"/>
            </w:pPr>
            <w:r>
              <w:rPr>
                <w:sz w:val="22"/>
                <w:szCs w:val="22"/>
              </w:rPr>
              <w:t xml:space="preserve">#FFFFFF</w:t>
            </w:r>
          </w:p>
        </w:tc>
        <w:tc>
          <w:tcPr>
            <w:tcW w:type="dxa" w:w="4360"/>
            <w:tcBorders>
              <w:top w:val="single" w:color="94A3B8" w:sz="8"/>
              <w:left w:val="none"/>
              <w:bottom w:val="single" w:color="94A3B8" w:sz="8"/>
              <w:right w:val="none"/>
            </w:tcBorders>
          </w:tcPr>
          <w:p>
            <w:pPr>
              <w:jc w:val="center"/>
            </w:pPr>
            <w:r>
              <w:rPr>
                <w:sz w:val="22"/>
                <w:szCs w:val="22"/>
              </w:rPr>
              <w:t xml:space="preserve">Main content areas, cards</w:t>
            </w:r>
          </w:p>
        </w:tc>
      </w:tr>
      <w:tr>
        <w:tc>
          <w:tcPr>
            <w:tcW w:type="dxa" w:w="2500"/>
            <w:tcBorders>
              <w:top w:val="single" w:color="94A3B8" w:sz="8"/>
              <w:left w:val="none"/>
              <w:bottom w:val="single" w:color="94A3B8" w:sz="8"/>
              <w:right w:val="none"/>
            </w:tcBorders>
          </w:tcPr>
          <w:p>
            <w:pPr>
              <w:jc w:val="center"/>
            </w:pPr>
            <w:r>
              <w:rPr>
                <w:sz w:val="22"/>
                <w:szCs w:val="22"/>
              </w:rPr>
              <w:t xml:space="preserve">Background Secondary</w:t>
            </w:r>
          </w:p>
        </w:tc>
        <w:tc>
          <w:tcPr>
            <w:tcW w:type="dxa" w:w="2500"/>
            <w:tcBorders>
              <w:top w:val="single" w:color="94A3B8" w:sz="8"/>
              <w:left w:val="none"/>
              <w:bottom w:val="single" w:color="94A3B8" w:sz="8"/>
              <w:right w:val="none"/>
            </w:tcBorders>
          </w:tcPr>
          <w:p>
            <w:pPr>
              <w:jc w:val="center"/>
            </w:pPr>
            <w:r>
              <w:rPr>
                <w:sz w:val="22"/>
                <w:szCs w:val="22"/>
              </w:rPr>
              <w:t xml:space="preserve">#F8F9FA</w:t>
            </w:r>
          </w:p>
        </w:tc>
        <w:tc>
          <w:tcPr>
            <w:tcW w:type="dxa" w:w="4360"/>
            <w:tcBorders>
              <w:top w:val="single" w:color="94A3B8" w:sz="8"/>
              <w:left w:val="none"/>
              <w:bottom w:val="single" w:color="94A3B8" w:sz="8"/>
              <w:right w:val="none"/>
            </w:tcBorders>
          </w:tcPr>
          <w:p>
            <w:pPr>
              <w:jc w:val="center"/>
            </w:pPr>
            <w:r>
              <w:rPr>
                <w:sz w:val="22"/>
                <w:szCs w:val="22"/>
              </w:rPr>
              <w:t xml:space="preserve">Alternating sections, subtle separation</w:t>
            </w:r>
          </w:p>
        </w:tc>
      </w:tr>
      <w:tr>
        <w:tc>
          <w:tcPr>
            <w:tcW w:type="dxa" w:w="2500"/>
            <w:tcBorders>
              <w:top w:val="single" w:color="94A3B8" w:sz="8"/>
              <w:left w:val="none"/>
              <w:bottom w:val="single" w:color="94A3B8" w:sz="8"/>
              <w:right w:val="none"/>
            </w:tcBorders>
          </w:tcPr>
          <w:p>
            <w:pPr>
              <w:jc w:val="center"/>
            </w:pPr>
            <w:r>
              <w:rPr>
                <w:sz w:val="22"/>
                <w:szCs w:val="22"/>
              </w:rPr>
              <w:t xml:space="preserve">Text Primary</w:t>
            </w:r>
          </w:p>
        </w:tc>
        <w:tc>
          <w:tcPr>
            <w:tcW w:type="dxa" w:w="2500"/>
            <w:tcBorders>
              <w:top w:val="single" w:color="94A3B8" w:sz="8"/>
              <w:left w:val="none"/>
              <w:bottom w:val="single" w:color="94A3B8" w:sz="8"/>
              <w:right w:val="none"/>
            </w:tcBorders>
          </w:tcPr>
          <w:p>
            <w:pPr>
              <w:jc w:val="center"/>
            </w:pPr>
            <w:r>
              <w:rPr>
                <w:sz w:val="22"/>
                <w:szCs w:val="22"/>
              </w:rPr>
              <w:t xml:space="preserve">#111827</w:t>
            </w:r>
          </w:p>
        </w:tc>
        <w:tc>
          <w:tcPr>
            <w:tcW w:type="dxa" w:w="4360"/>
            <w:tcBorders>
              <w:top w:val="single" w:color="94A3B8" w:sz="8"/>
              <w:left w:val="none"/>
              <w:bottom w:val="single" w:color="94A3B8" w:sz="8"/>
              <w:right w:val="none"/>
            </w:tcBorders>
          </w:tcPr>
          <w:p>
            <w:pPr>
              <w:jc w:val="center"/>
            </w:pPr>
            <w:r>
              <w:rPr>
                <w:sz w:val="22"/>
                <w:szCs w:val="22"/>
              </w:rPr>
              <w:t xml:space="preserve">Headlines, important text</w:t>
            </w:r>
          </w:p>
        </w:tc>
      </w:tr>
      <w:tr>
        <w:tc>
          <w:tcPr>
            <w:tcW w:type="dxa" w:w="2500"/>
            <w:tcBorders>
              <w:top w:val="single" w:color="94A3B8" w:sz="8"/>
              <w:left w:val="none"/>
              <w:bottom w:val="single" w:color="94A3B8" w:sz="8"/>
              <w:right w:val="none"/>
            </w:tcBorders>
          </w:tcPr>
          <w:p>
            <w:pPr>
              <w:jc w:val="center"/>
            </w:pPr>
            <w:r>
              <w:rPr>
                <w:sz w:val="22"/>
                <w:szCs w:val="22"/>
              </w:rPr>
              <w:t xml:space="preserve">Text Secondary</w:t>
            </w:r>
          </w:p>
        </w:tc>
        <w:tc>
          <w:tcPr>
            <w:tcW w:type="dxa" w:w="2500"/>
            <w:tcBorders>
              <w:top w:val="single" w:color="94A3B8" w:sz="8"/>
              <w:left w:val="none"/>
              <w:bottom w:val="single" w:color="94A3B8" w:sz="8"/>
              <w:right w:val="none"/>
            </w:tcBorders>
          </w:tcPr>
          <w:p>
            <w:pPr>
              <w:jc w:val="center"/>
            </w:pPr>
            <w:r>
              <w:rPr>
                <w:sz w:val="22"/>
                <w:szCs w:val="22"/>
              </w:rPr>
              <w:t xml:space="preserve">#6B7280</w:t>
            </w:r>
          </w:p>
        </w:tc>
        <w:tc>
          <w:tcPr>
            <w:tcW w:type="dxa" w:w="4360"/>
            <w:tcBorders>
              <w:top w:val="single" w:color="94A3B8" w:sz="8"/>
              <w:left w:val="none"/>
              <w:bottom w:val="single" w:color="94A3B8" w:sz="8"/>
              <w:right w:val="none"/>
            </w:tcBorders>
          </w:tcPr>
          <w:p>
            <w:pPr>
              <w:jc w:val="center"/>
            </w:pPr>
            <w:r>
              <w:rPr>
                <w:sz w:val="22"/>
                <w:szCs w:val="22"/>
              </w:rPr>
              <w:t xml:space="preserve">Body copy, descriptions</w:t>
            </w:r>
          </w:p>
        </w:tc>
      </w:tr>
      <w:tr>
        <w:tc>
          <w:tcPr>
            <w:tcW w:type="dxa" w:w="2500"/>
            <w:tcBorders>
              <w:top w:val="single" w:color="94A3B8" w:sz="8"/>
              <w:left w:val="none"/>
              <w:bottom w:val="single" w:color="94A3B8" w:sz="8"/>
              <w:right w:val="none"/>
            </w:tcBorders>
          </w:tcPr>
          <w:p>
            <w:pPr>
              <w:jc w:val="center"/>
            </w:pPr>
            <w:r>
              <w:rPr>
                <w:sz w:val="22"/>
                <w:szCs w:val="22"/>
              </w:rPr>
              <w:t xml:space="preserve">Vendor Accents</w:t>
            </w:r>
          </w:p>
        </w:tc>
        <w:tc>
          <w:tcPr>
            <w:tcW w:type="dxa" w:w="2500"/>
            <w:tcBorders>
              <w:top w:val="single" w:color="94A3B8" w:sz="8"/>
              <w:left w:val="none"/>
              <w:bottom w:val="single" w:color="94A3B8" w:sz="8"/>
              <w:right w:val="none"/>
            </w:tcBorders>
          </w:tcPr>
          <w:p>
            <w:pPr>
              <w:jc w:val="center"/>
            </w:pPr>
            <w:r>
              <w:rPr>
                <w:sz w:val="18"/>
                <w:szCs w:val="18"/>
              </w:rPr>
              <w:t xml:space="preserve">#2BBCB4, #3B82F6, #7C3AED</w:t>
            </w:r>
          </w:p>
        </w:tc>
        <w:tc>
          <w:tcPr>
            <w:tcW w:type="dxa" w:w="4360"/>
            <w:tcBorders>
              <w:top w:val="single" w:color="94A3B8" w:sz="8"/>
              <w:left w:val="none"/>
              <w:bottom w:val="single" w:color="94A3B8" w:sz="8"/>
              <w:right w:val="none"/>
            </w:tcBorders>
          </w:tcPr>
          <w:p>
            <w:pPr>
              <w:jc w:val="center"/>
            </w:pPr>
            <w:r>
              <w:rPr>
                <w:sz w:val="22"/>
                <w:szCs w:val="22"/>
              </w:rPr>
              <w:t xml:space="preserve">Vendor-specific card top borders</w:t>
            </w:r>
          </w:p>
        </w:tc>
      </w:tr>
    </w:tbl>
    <w:p>
      <w:pPr>
        <w:spacing w:after="300" w:before="100"/>
        <w:jc w:val="center"/>
      </w:pPr>
      <w:r>
        <w:rPr>
          <w:i/>
          <w:iCs/>
          <w:color w:val="64748B"/>
          <w:sz w:val="18"/>
          <w:szCs w:val="18"/>
        </w:rPr>
        <w:t xml:space="preserve">Table 1: iTrust Academy Color System</w:t>
      </w:r>
    </w:p>
    <w:p>
      <w:pPr>
        <w:spacing w:after="200" w:line="312"/>
      </w:pPr>
      <w:r>
        <w:t xml:space="preserve">The vendor accent colors demonstrate a sophisticated approach to information architecture—each technology partner (SolarWinds, Securden, Quest, Ivanti) is assigned a distinctive color that appears as a 3px top border on their respective cards. This creates instant visual differentiation while maintaining overall design cohesion. The technique shows how color can serve functional purposes beyond mere decoration, enabling users to quickly scan and identify relevant content sections.</w:t>
      </w:r>
    </w:p>
    <w:p>
      <w:pPr>
        <w:pStyle w:val="Heading2"/>
      </w:pPr>
      <w:r>
        <w:t xml:space="preserve">1.3 Typography System</w:t>
      </w:r>
    </w:p>
    <w:p>
      <w:pPr>
        <w:spacing w:after="200" w:line="312"/>
      </w:pPr>
      <w:r>
        <w:t xml:space="preserve">The typography system employs a dual-font strategy that balances readability with character. The primary typeface, DM Sans, is a geometric sans-serif that conveys modernity and approachability while maintaining excellent legibility at various sizes. This choice reflects the brand's positioning as a contemporary, technology-focused educational institution. The secondary typeface, Space Mono, serves specialized functions—appearing in labels, statistics, and code-like elements to create visual contrast and emphasize technical credibility.</w:t>
      </w:r>
    </w:p>
    <w:p>
      <w:pPr>
        <w:spacing w:after="200" w:line="312"/>
      </w:pPr>
      <w:r>
        <w:t xml:space="preserve">The typographic hierarchy is carefully orchestrated through size, weight, and letter-spacing variations. Headlines utilize bold weights with tight letter-spacing (-0.03em) to create commanding presence, while body text employs lighter weights (300-400) for comfortable extended reading. The use of Space Mono for statistical figures and status labels creates a distinctive visual vocabulary that signals data and technical information, reinforcing the brand's expertise positioning.</w:t>
      </w:r>
    </w:p>
    <w:p>
      <w:pPr>
        <w:pStyle w:val="Heading2"/>
      </w:pPr>
      <w:r>
        <w:t xml:space="preserve">1.4 Layout Architecture &amp; Visual Hierarchy</w:t>
      </w:r>
    </w:p>
    <w:p>
      <w:pPr>
        <w:spacing w:after="200" w:line="312"/>
      </w:pPr>
      <w:r>
        <w:t xml:space="preserve">The layout architecture demonstrates a sophisticated understanding of visual hierarchy principles. The design employs a maximum content width of 1140px, providing optimal line lengths for reading while allowing generous margins that create visual breathing room. The hero section utilizes a centered layout with asymmetrical visual elements—a radial gradient orb positioned off-canvas creates subtle depth without competing with content for attention.</w:t>
      </w:r>
    </w:p>
    <w:p>
      <w:pPr>
        <w:spacing w:after="200" w:line="312"/>
      </w:pPr>
      <w:r>
        <w:t xml:space="preserve">A distinctive design element is the grid pattern overlay in the hero section, created with CSS linear-gradients producing a 60px grid. This subtle background texture adds visual interest and technical sophistication without distracting from the primary content. The technique demonstrates how background elements can contribute to brand personality without overwhelming the user interface.</w:t>
      </w:r>
    </w:p>
    <w:p>
      <w:pPr>
        <w:spacing w:after="200" w:line="312"/>
      </w:pPr>
      <w:r>
        <w:t xml:space="preserve">The card-based content organization employs consistent border-radius (14px), padding (28px), and subtle borders to create a unified visual language. The vendor cards feature the innovative top-border color-coding system, while benefit cards use emoji icons to create visual anchors. This variety within consistency maintains user interest while preserving overall design cohesion.</w:t>
      </w:r>
    </w:p>
    <w:p>
      <w:pPr>
        <w:pStyle w:val="Heading2"/>
      </w:pPr>
      <w:r>
        <w:t xml:space="preserve">1.5 Navigation &amp; Interactive Elements</w:t>
      </w:r>
    </w:p>
    <w:p>
      <w:pPr>
        <w:spacing w:after="200" w:line="312"/>
      </w:pPr>
      <w:r>
        <w:t xml:space="preserve">The navigation system exemplifies modern web design practices with a fixed header that remains accessible during scrolling. The design employs backdrop-filter blur (12px) to create a frosted-glass effect that maintains visual connection with page content while ensuring readability. Active navigation states are indicated by a 2px bottom border in the brand orange color, providing clear feedback without overwhelming the interface.</w:t>
      </w:r>
    </w:p>
    <w:p>
      <w:pPr>
        <w:spacing w:after="200" w:line="312"/>
      </w:pPr>
      <w:r>
        <w:t xml:space="preserve">Button design follows a clear hierarchy: primary action buttons use the brand orange with white text and 10px border-radius, while secondary buttons employ a subtle border with transparent background. The buttons maintain consistent padding (12px 24px) and include appropriate hover transitions (0.2s) for tactile feedback. This systematic approach to interactive elements creates predictable, accessible user experiences.</w:t>
      </w:r>
    </w:p>
    <w:p>
      <w:pPr>
        <w:pStyle w:val="Heading2"/>
      </w:pPr>
      <w:r>
        <w:t xml:space="preserve">1.6 Animation &amp; Micro-interactions</w:t>
      </w:r>
    </w:p>
    <w:p>
      <w:pPr>
        <w:spacing w:after="200" w:line="312"/>
      </w:pPr>
      <w:r>
        <w:t xml:space="preserve">The animation strategy reflects the brand's professional positioning—subtle, purposeful, and non-distracting. The most prominent animation is the pulse effect on the enrollment status indicator, a 2-second infinite animation that fades opacity between 1 and 0.4. This creates a live, active feeling without overwhelming the user with excessive motion. Card hover states include subtle transitions (0.25s) that provide feedback without dramatic visual shifts.</w:t>
      </w:r>
    </w:p>
    <w:p>
      <w:pPr>
        <w:spacing w:after="200" w:line="312"/>
      </w:pPr>
      <w:r>
        <w:t xml:space="preserve">The restrained animation approach aligns with the brand's serious, professional positioning. Rather than using animation as decoration, each animated element serves a specific functional purpose—drawing attention to calls-to-action, indicating interactive elements, or communicating status. This philosophy of purposeful animation should be considered a best practice for professional educational platforms.</w:t>
      </w:r>
    </w:p>
    <w:p>
      <w:pPr>
        <w:pStyle w:val="Heading1"/>
      </w:pPr>
      <w:r>
        <w:t xml:space="preserve">Section 2: AI Academy Design Analysis</w:t>
      </w:r>
    </w:p>
    <w:p>
      <w:pPr>
        <w:pStyle w:val="Heading2"/>
      </w:pPr>
      <w:r>
        <w:t xml:space="preserve">2.1 Brand Identity &amp; Visual Language</w:t>
      </w:r>
    </w:p>
    <w:p>
      <w:pPr>
        <w:spacing w:after="200" w:line="312"/>
      </w:pPr>
      <w:r>
        <w:t xml:space="preserve">AI Academy presents a distinctly different visual philosophy, embracing a more dynamic, technology-forward aesthetic that reflects its focus on cutting-edge AI education. The brand identity positions itself as innovative, modern, and energizing—targeting tech-savvy learners who expect contemporary digital experiences. This approach creates an environment that feels progressive and exciting, appealing to users who associate modern aesthetics with quality and relevance.</w:t>
      </w:r>
    </w:p>
    <w:p>
      <w:pPr>
        <w:spacing w:after="200" w:line="312"/>
      </w:pPr>
      <w:r>
        <w:t xml:space="preserve">The visual language employs CSS custom properties extensively, creating a theming system that allows for flexibility and consistency. The use of semantic variable names (--color-primary-600, --text-primary, --color-surface-alt) demonstrates a systematic approach to design tokens, enabling easy maintenance and potential dark-mode implementation. This architectural decision reflects modern frontend development best practices.</w:t>
      </w:r>
    </w:p>
    <w:p>
      <w:pPr>
        <w:pStyle w:val="Heading2"/>
      </w:pPr>
      <w:r>
        <w:t xml:space="preserve">2.2 Color System Architecture</w:t>
      </w:r>
    </w:p>
    <w:p>
      <w:pPr>
        <w:spacing w:after="200" w:line="312"/>
      </w:pPr>
      <w:r>
        <w:t xml:space="preserve">The color system is significantly more expansive than iTrust Academy, employing multiple accent colors to create visual richness and categorical differentiation. The palette includes a primary series (likely blue-based), cyan (#06B6D4), emerald (#10B981), amber, and violet tones—each serving specific functional and semantic purposes throughout the interface. This multi-color approach creates visual energy and helps users navigate complex information architectures.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94A3B8" w:sz="8"/>
              <w:left w:val="none"/>
              <w:bottom w:val="single" w:color="94A3B8" w:sz="8"/>
              <w:right w:val="none"/>
            </w:tcBorders>
            <w:shd w:fill="E2E8F0" w:val="clear"/>
            <w:vAlign w:val="center"/>
          </w:tcPr>
          <w:p>
            <w:pPr>
              <w:jc w:val="center"/>
            </w:pPr>
            <w:r>
              <w:rPr>
                <w:b/>
                <w:bCs/>
                <w:sz w:val="22"/>
                <w:szCs w:val="22"/>
              </w:rPr>
              <w:t xml:space="preserve">Color Role</w:t>
            </w:r>
          </w:p>
        </w:tc>
        <w:tc>
          <w:tcPr>
            <w:tcW w:type="dxa" w:w="2500"/>
            <w:tcBorders>
              <w:top w:val="single" w:color="94A3B8" w:sz="8"/>
              <w:left w:val="none"/>
              <w:bottom w:val="single" w:color="94A3B8" w:sz="8"/>
              <w:right w:val="none"/>
            </w:tcBorders>
            <w:shd w:fill="E2E8F0" w:val="clear"/>
            <w:vAlign w:val="center"/>
          </w:tcPr>
          <w:p>
            <w:pPr>
              <w:jc w:val="center"/>
            </w:pPr>
            <w:r>
              <w:rPr>
                <w:b/>
                <w:bCs/>
                <w:sz w:val="22"/>
                <w:szCs w:val="22"/>
              </w:rPr>
              <w:t xml:space="preserve">Hex Value</w:t>
            </w:r>
          </w:p>
        </w:tc>
        <w:tc>
          <w:tcPr>
            <w:tcW w:type="dxa" w:w="4360"/>
            <w:tcBorders>
              <w:top w:val="single" w:color="94A3B8" w:sz="8"/>
              <w:left w:val="none"/>
              <w:bottom w:val="single" w:color="94A3B8" w:sz="8"/>
              <w:right w:val="none"/>
            </w:tcBorders>
            <w:shd w:fill="E2E8F0" w:val="clear"/>
            <w:vAlign w:val="center"/>
          </w:tcPr>
          <w:p>
            <w:pPr>
              <w:jc w:val="center"/>
            </w:pPr>
            <w:r>
              <w:rPr>
                <w:b/>
                <w:bCs/>
                <w:sz w:val="22"/>
                <w:szCs w:val="22"/>
              </w:rPr>
              <w:t xml:space="preserve">Application Context</w:t>
            </w:r>
          </w:p>
        </w:tc>
      </w:tr>
      <w:tr>
        <w:tc>
          <w:tcPr>
            <w:tcW w:type="dxa" w:w="2500"/>
            <w:tcBorders>
              <w:top w:val="single" w:color="94A3B8" w:sz="8"/>
              <w:left w:val="none"/>
              <w:bottom w:val="single" w:color="94A3B8" w:sz="8"/>
              <w:right w:val="none"/>
            </w:tcBorders>
          </w:tcPr>
          <w:p>
            <w:pPr>
              <w:jc w:val="center"/>
            </w:pPr>
            <w:r>
              <w:rPr>
                <w:sz w:val="22"/>
                <w:szCs w:val="22"/>
              </w:rPr>
              <w:t xml:space="preserve">Primary Brand</w:t>
            </w:r>
          </w:p>
        </w:tc>
        <w:tc>
          <w:tcPr>
            <w:tcW w:type="dxa" w:w="2500"/>
            <w:tcBorders>
              <w:top w:val="single" w:color="94A3B8" w:sz="8"/>
              <w:left w:val="none"/>
              <w:bottom w:val="single" w:color="94A3B8" w:sz="8"/>
              <w:right w:val="none"/>
            </w:tcBorders>
          </w:tcPr>
          <w:p>
            <w:pPr>
              <w:jc w:val="center"/>
            </w:pPr>
            <w:r>
              <w:rPr>
                <w:sz w:val="20"/>
                <w:szCs w:val="20"/>
              </w:rPr>
              <w:t xml:space="preserve">--color-primary-600</w:t>
            </w:r>
          </w:p>
        </w:tc>
        <w:tc>
          <w:tcPr>
            <w:tcW w:type="dxa" w:w="4360"/>
            <w:tcBorders>
              <w:top w:val="single" w:color="94A3B8" w:sz="8"/>
              <w:left w:val="none"/>
              <w:bottom w:val="single" w:color="94A3B8" w:sz="8"/>
              <w:right w:val="none"/>
            </w:tcBorders>
          </w:tcPr>
          <w:p>
            <w:pPr>
              <w:jc w:val="center"/>
            </w:pPr>
            <w:r>
              <w:rPr>
                <w:sz w:val="22"/>
                <w:szCs w:val="22"/>
              </w:rPr>
              <w:t xml:space="preserve">Primary CTAs, brand highlights</w:t>
            </w:r>
          </w:p>
        </w:tc>
      </w:tr>
      <w:tr>
        <w:tc>
          <w:tcPr>
            <w:tcW w:type="dxa" w:w="2500"/>
            <w:tcBorders>
              <w:top w:val="single" w:color="94A3B8" w:sz="8"/>
              <w:left w:val="none"/>
              <w:bottom w:val="single" w:color="94A3B8" w:sz="8"/>
              <w:right w:val="none"/>
            </w:tcBorders>
          </w:tcPr>
          <w:p>
            <w:pPr>
              <w:jc w:val="center"/>
            </w:pPr>
            <w:r>
              <w:rPr>
                <w:sz w:val="22"/>
                <w:szCs w:val="22"/>
              </w:rPr>
              <w:t xml:space="preserve">Cyan Accent</w:t>
            </w:r>
          </w:p>
        </w:tc>
        <w:tc>
          <w:tcPr>
            <w:tcW w:type="dxa" w:w="2500"/>
            <w:tcBorders>
              <w:top w:val="single" w:color="94A3B8" w:sz="8"/>
              <w:left w:val="none"/>
              <w:bottom w:val="single" w:color="94A3B8" w:sz="8"/>
              <w:right w:val="none"/>
            </w:tcBorders>
          </w:tcPr>
          <w:p>
            <w:pPr>
              <w:jc w:val="center"/>
            </w:pPr>
            <w:r>
              <w:rPr>
                <w:sz w:val="22"/>
                <w:szCs w:val="22"/>
              </w:rPr>
              <w:t xml:space="preserve">#06B6D4</w:t>
            </w:r>
          </w:p>
        </w:tc>
        <w:tc>
          <w:tcPr>
            <w:tcW w:type="dxa" w:w="4360"/>
            <w:tcBorders>
              <w:top w:val="single" w:color="94A3B8" w:sz="8"/>
              <w:left w:val="none"/>
              <w:bottom w:val="single" w:color="94A3B8" w:sz="8"/>
              <w:right w:val="none"/>
            </w:tcBorders>
          </w:tcPr>
          <w:p>
            <w:pPr>
              <w:jc w:val="center"/>
            </w:pPr>
            <w:r>
              <w:rPr>
                <w:sz w:val="22"/>
                <w:szCs w:val="22"/>
              </w:rPr>
              <w:t xml:space="preserve">Secondary highlights, icons</w:t>
            </w:r>
          </w:p>
        </w:tc>
      </w:tr>
      <w:tr>
        <w:tc>
          <w:tcPr>
            <w:tcW w:type="dxa" w:w="2500"/>
            <w:tcBorders>
              <w:top w:val="single" w:color="94A3B8" w:sz="8"/>
              <w:left w:val="none"/>
              <w:bottom w:val="single" w:color="94A3B8" w:sz="8"/>
              <w:right w:val="none"/>
            </w:tcBorders>
          </w:tcPr>
          <w:p>
            <w:pPr>
              <w:jc w:val="center"/>
            </w:pPr>
            <w:r>
              <w:rPr>
                <w:sz w:val="22"/>
                <w:szCs w:val="22"/>
              </w:rPr>
              <w:t xml:space="preserve">Emerald</w:t>
            </w:r>
          </w:p>
        </w:tc>
        <w:tc>
          <w:tcPr>
            <w:tcW w:type="dxa" w:w="2500"/>
            <w:tcBorders>
              <w:top w:val="single" w:color="94A3B8" w:sz="8"/>
              <w:left w:val="none"/>
              <w:bottom w:val="single" w:color="94A3B8" w:sz="8"/>
              <w:right w:val="none"/>
            </w:tcBorders>
          </w:tcPr>
          <w:p>
            <w:pPr>
              <w:jc w:val="center"/>
            </w:pPr>
            <w:r>
              <w:rPr>
                <w:sz w:val="22"/>
                <w:szCs w:val="22"/>
              </w:rPr>
              <w:t xml:space="preserve">#10B981</w:t>
            </w:r>
          </w:p>
        </w:tc>
        <w:tc>
          <w:tcPr>
            <w:tcW w:type="dxa" w:w="4360"/>
            <w:tcBorders>
              <w:top w:val="single" w:color="94A3B8" w:sz="8"/>
              <w:left w:val="none"/>
              <w:bottom w:val="single" w:color="94A3B8" w:sz="8"/>
              <w:right w:val="none"/>
            </w:tcBorders>
          </w:tcPr>
          <w:p>
            <w:pPr>
              <w:jc w:val="center"/>
            </w:pPr>
            <w:r>
              <w:rPr>
                <w:sz w:val="22"/>
                <w:szCs w:val="22"/>
              </w:rPr>
              <w:t xml:space="preserve">Success states, achievements</w:t>
            </w:r>
          </w:p>
        </w:tc>
      </w:tr>
      <w:tr>
        <w:tc>
          <w:tcPr>
            <w:tcW w:type="dxa" w:w="2500"/>
            <w:tcBorders>
              <w:top w:val="single" w:color="94A3B8" w:sz="8"/>
              <w:left w:val="none"/>
              <w:bottom w:val="single" w:color="94A3B8" w:sz="8"/>
              <w:right w:val="none"/>
            </w:tcBorders>
          </w:tcPr>
          <w:p>
            <w:pPr>
              <w:jc w:val="center"/>
            </w:pPr>
            <w:r>
              <w:rPr>
                <w:sz w:val="22"/>
                <w:szCs w:val="22"/>
              </w:rPr>
              <w:t xml:space="preserve">Amber</w:t>
            </w:r>
          </w:p>
        </w:tc>
        <w:tc>
          <w:tcPr>
            <w:tcW w:type="dxa" w:w="2500"/>
            <w:tcBorders>
              <w:top w:val="single" w:color="94A3B8" w:sz="8"/>
              <w:left w:val="none"/>
              <w:bottom w:val="single" w:color="94A3B8" w:sz="8"/>
              <w:right w:val="none"/>
            </w:tcBorders>
          </w:tcPr>
          <w:p>
            <w:pPr>
              <w:jc w:val="center"/>
            </w:pPr>
            <w:r>
              <w:rPr>
                <w:sz w:val="22"/>
                <w:szCs w:val="22"/>
              </w:rPr>
              <w:t xml:space="preserve">#F59E0B</w:t>
            </w:r>
          </w:p>
        </w:tc>
        <w:tc>
          <w:tcPr>
            <w:tcW w:type="dxa" w:w="4360"/>
            <w:tcBorders>
              <w:top w:val="single" w:color="94A3B8" w:sz="8"/>
              <w:left w:val="none"/>
              <w:bottom w:val="single" w:color="94A3B8" w:sz="8"/>
              <w:right w:val="none"/>
            </w:tcBorders>
          </w:tcPr>
          <w:p>
            <w:pPr>
              <w:jc w:val="center"/>
            </w:pPr>
            <w:r>
              <w:rPr>
                <w:sz w:val="22"/>
                <w:szCs w:val="22"/>
              </w:rPr>
              <w:t xml:space="preserve">Warnings, attention indicators</w:t>
            </w:r>
          </w:p>
        </w:tc>
      </w:tr>
      <w:tr>
        <w:tc>
          <w:tcPr>
            <w:tcW w:type="dxa" w:w="2500"/>
            <w:tcBorders>
              <w:top w:val="single" w:color="94A3B8" w:sz="8"/>
              <w:left w:val="none"/>
              <w:bottom w:val="single" w:color="94A3B8" w:sz="8"/>
              <w:right w:val="none"/>
            </w:tcBorders>
          </w:tcPr>
          <w:p>
            <w:pPr>
              <w:jc w:val="center"/>
            </w:pPr>
            <w:r>
              <w:rPr>
                <w:sz w:val="22"/>
                <w:szCs w:val="22"/>
              </w:rPr>
              <w:t xml:space="preserve">Violet</w:t>
            </w:r>
          </w:p>
        </w:tc>
        <w:tc>
          <w:tcPr>
            <w:tcW w:type="dxa" w:w="2500"/>
            <w:tcBorders>
              <w:top w:val="single" w:color="94A3B8" w:sz="8"/>
              <w:left w:val="none"/>
              <w:bottom w:val="single" w:color="94A3B8" w:sz="8"/>
              <w:right w:val="none"/>
            </w:tcBorders>
          </w:tcPr>
          <w:p>
            <w:pPr>
              <w:jc w:val="center"/>
            </w:pPr>
            <w:r>
              <w:rPr>
                <w:sz w:val="22"/>
                <w:szCs w:val="22"/>
              </w:rPr>
              <w:t xml:space="preserve">#7C3AED</w:t>
            </w:r>
          </w:p>
        </w:tc>
        <w:tc>
          <w:tcPr>
            <w:tcW w:type="dxa" w:w="4360"/>
            <w:tcBorders>
              <w:top w:val="single" w:color="94A3B8" w:sz="8"/>
              <w:left w:val="none"/>
              <w:bottom w:val="single" w:color="94A3B8" w:sz="8"/>
              <w:right w:val="none"/>
            </w:tcBorders>
          </w:tcPr>
          <w:p>
            <w:pPr>
              <w:jc w:val="center"/>
            </w:pPr>
            <w:r>
              <w:rPr>
                <w:sz w:val="22"/>
                <w:szCs w:val="22"/>
              </w:rPr>
              <w:t xml:space="preserve">AI/ML category indicator</w:t>
            </w:r>
          </w:p>
        </w:tc>
      </w:tr>
    </w:tbl>
    <w:p>
      <w:pPr>
        <w:spacing w:after="300" w:before="100"/>
        <w:jc w:val="center"/>
      </w:pPr>
      <w:r>
        <w:rPr>
          <w:i/>
          <w:iCs/>
          <w:color w:val="64748B"/>
          <w:sz w:val="18"/>
          <w:szCs w:val="18"/>
        </w:rPr>
        <w:t xml:space="preserve">Table 2: AI Academy Color System</w:t>
      </w:r>
    </w:p>
    <w:p>
      <w:pPr>
        <w:spacing w:after="200" w:line="312"/>
      </w:pPr>
      <w:r>
        <w:t xml:space="preserve">The decorative blur orbs in the hero section (using bg-primary-500/10 and bg-cyan-500/10 with blur-3xl) create atmospheric depth and visual interest. These elements demonstrate the sophisticated use of transparency and blur effects to add complexity without clutter—a technique that creates visual richness while maintaining content focus.</w:t>
      </w:r>
    </w:p>
    <w:p>
      <w:pPr>
        <w:pStyle w:val="Heading2"/>
      </w:pPr>
      <w:r>
        <w:t xml:space="preserve">2.3 Typography System</w:t>
      </w:r>
    </w:p>
    <w:p>
      <w:pPr>
        <w:spacing w:after="200" w:line="312"/>
      </w:pPr>
      <w:r>
        <w:t xml:space="preserve">The typography system employs a display font for headlines (indicated by the font-display class) and a complementary body font for extended reading. The headline typography uses tight tracking (tracking-tight) to create commanding presence, while body text maintains comfortable line-height (leading-relaxed) for readability. This contrast between display and body typography creates clear visual hierarchy and professional polish.</w:t>
      </w:r>
    </w:p>
    <w:p>
      <w:pPr>
        <w:spacing w:after="200" w:line="312"/>
      </w:pPr>
      <w:r>
        <w:t xml:space="preserve">A distinctive typographic element is the label-mono class, which applies monospace styling to category labels and status indicators. This creates a technical, code-like aesthetic that reinforces the platform's technology focus. The monospace treatment for labels mirrors techniques seen in iTrust Academy's Space Mono usage, suggesting this is an effective pattern for educational technology platforms.</w:t>
      </w:r>
    </w:p>
    <w:p>
      <w:pPr>
        <w:pStyle w:val="Heading2"/>
      </w:pPr>
      <w:r>
        <w:t xml:space="preserve">2.4 Layout Architecture &amp; Visual Hierarchy</w:t>
      </w:r>
    </w:p>
    <w:p>
      <w:pPr>
        <w:spacing w:after="200" w:line="312"/>
      </w:pPr>
      <w:r>
        <w:t xml:space="preserve">The layout employs a similar 1140px maximum width to iTrust Academy, but utilizes a more dynamic composition with asymmetrically placed decorative elements and floating card overlays. The hero section features a two-column grid layout with the primary content on the left and a hero image with floating accent cards on the right—creating visual depth and storytelling through spatial arrangement.</w:t>
      </w:r>
    </w:p>
    <w:p>
      <w:pPr>
        <w:spacing w:after="200" w:line="312"/>
      </w:pPr>
      <w:r>
        <w:t xml:space="preserve">A particularly effective design element is the floating code snippet overlay in the hero image, featuring a dark terminal aesthetic with colored syntax highlighting. This element serves as both decoration and content preview, giving users an immediate sense of the practical, code-focused nature of the training. The code snippet uses realistic styling with red, yellow, and green window controls and syntax-appropriate color coding, demonstrating attention to detail that builds credibility with technical audiences.</w:t>
      </w:r>
    </w:p>
    <w:p>
      <w:pPr>
        <w:pStyle w:val="Heading2"/>
      </w:pPr>
      <w:r>
        <w:t xml:space="preserve">2.5 Component Architecture</w:t>
      </w:r>
    </w:p>
    <w:p>
      <w:pPr>
        <w:spacing w:after="200" w:line="312"/>
      </w:pPr>
      <w:r>
        <w:t xml:space="preserve">The design utilizes what appears to be a modern component library (likely shadcn/ui based on the data-slot, data-variant, and data-size attributes). This approach provides consistency, accessibility, and maintainability while allowing for customization. The button components demonstrate sophisticated variant handling with ghost, default, outline, and destructive options, each with appropriate color and styling treatments.</w:t>
      </w:r>
    </w:p>
    <w:p>
      <w:pPr>
        <w:spacing w:after="200" w:line="312"/>
      </w:pPr>
      <w:r>
        <w:t xml:space="preserve">The course category cards employ a sophisticated color-coding system where each category (AI/ML Engineering, Data Science, Cloud Computing, etc.) has a distinctive top border color and matching icon background. This creates instant visual categorization while maintaining overall design cohesion. The cards include hover animations with transform effects that provide satisfying interactive feedback.</w:t>
      </w:r>
    </w:p>
    <w:p>
      <w:pPr>
        <w:pStyle w:val="Heading2"/>
      </w:pPr>
      <w:r>
        <w:t xml:space="preserve">2.6 Trust Signals &amp; Social Proof</w:t>
      </w:r>
    </w:p>
    <w:p>
      <w:pPr>
        <w:spacing w:after="200" w:line="312"/>
      </w:pPr>
      <w:r>
        <w:t xml:space="preserve">A distinctive element of AI Academy is the dedicated trust signals section featuring company logos (Google, Microsoft, Amazon, Meta, Netflix, Spotify). The logos are rendered with grayscale filter and reduced opacity (50%), transitioning to full color and full opacity on hover. This technique creates a subtle, professional presentation that emphasizes credibility without being ostentatious. The "Trusted by engineers at leading tech companies" positioning statement frames these partnerships effectively.</w:t>
      </w:r>
    </w:p>
    <w:p>
      <w:pPr>
        <w:pStyle w:val="Heading1"/>
      </w:pPr>
      <w:r>
        <w:t xml:space="preserve">Section 3: Comparative Analysis</w:t>
      </w:r>
    </w:p>
    <w:p>
      <w:pPr>
        <w:pStyle w:val="Heading2"/>
      </w:pPr>
      <w:r>
        <w:t xml:space="preserve">3.1 Philosophical Divergence</w:t>
      </w:r>
    </w:p>
    <w:p>
      <w:pPr>
        <w:spacing w:after="200" w:line="312"/>
      </w:pPr>
      <w:r>
        <w:t xml:space="preserve">The fundamental philosophical difference between these two designs centers on the tension between restraint and expression. iTrust Academy embraces intentional minimalism—using whitespace as a structural element, limiting color variation, and prioritizing content clarity. AI Academy adopts a more maximalist approach—incorporating multiple accent colors, decorative elements, and dynamic visual compositions. Neither approach is inherently superior; each serves its brand positioning and audience expectations effectively.</w:t>
      </w:r>
    </w:p>
    <w:p>
      <w:pPr>
        <w:spacing w:after="200" w:line="312"/>
      </w:pPr>
      <w:r>
        <w:t xml:space="preserve">This divergence reflects different brand strategies and audience assumptions. iTrust Academy's restrained approach assumes that professional IT certification seekers value credibility signals and clear information hierarchy over visual excitement. AI Academy's more expressive approach assumes that AI/ML learners expect contemporary, dynamic interfaces that reflect the cutting-edge nature of their field. Both assumptions are likely correct for their respective target audiences.</w:t>
      </w:r>
    </w:p>
    <w:p>
      <w:pPr>
        <w:pStyle w:val="Heading2"/>
      </w:pPr>
      <w:r>
        <w:t xml:space="preserve">3.2 Visual Hierarchy Comparison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4A3B8" w:sz="8"/>
              <w:left w:val="none"/>
              <w:bottom w:val="single" w:color="94A3B8" w:sz="8"/>
              <w:right w:val="none"/>
            </w:tcBorders>
            <w:shd w:fill="E2E8F0" w:val="clear"/>
          </w:tcPr>
          <w:p>
            <w:pPr>
              <w:jc w:val="center"/>
            </w:pPr>
            <w:r>
              <w:rPr>
                <w:b/>
                <w:bCs/>
                <w:sz w:val="22"/>
                <w:szCs w:val="22"/>
              </w:rPr>
              <w:t xml:space="preserve">Design Aspect</w:t>
            </w:r>
          </w:p>
        </w:tc>
        <w:tc>
          <w:tcPr>
            <w:tcW w:type="dxa" w:w="3120"/>
            <w:tcBorders>
              <w:top w:val="single" w:color="94A3B8" w:sz="8"/>
              <w:left w:val="none"/>
              <w:bottom w:val="single" w:color="94A3B8" w:sz="8"/>
              <w:right w:val="none"/>
            </w:tcBorders>
            <w:shd w:fill="E2E8F0" w:val="clear"/>
          </w:tcPr>
          <w:p>
            <w:pPr>
              <w:jc w:val="center"/>
            </w:pPr>
            <w:r>
              <w:rPr>
                <w:b/>
                <w:bCs/>
                <w:sz w:val="22"/>
                <w:szCs w:val="22"/>
              </w:rPr>
              <w:t xml:space="preserve">iTrust Academy</w:t>
            </w:r>
          </w:p>
        </w:tc>
        <w:tc>
          <w:tcPr>
            <w:tcW w:type="dxa" w:w="3120"/>
            <w:tcBorders>
              <w:top w:val="single" w:color="94A3B8" w:sz="8"/>
              <w:left w:val="none"/>
              <w:bottom w:val="single" w:color="94A3B8" w:sz="8"/>
              <w:right w:val="none"/>
            </w:tcBorders>
            <w:shd w:fill="E2E8F0" w:val="clear"/>
          </w:tcPr>
          <w:p>
            <w:pPr>
              <w:jc w:val="center"/>
            </w:pPr>
            <w:r>
              <w:rPr>
                <w:b/>
                <w:bCs/>
                <w:sz w:val="22"/>
                <w:szCs w:val="22"/>
              </w:rPr>
              <w:t xml:space="preserve">AI Academy</w:t>
            </w:r>
          </w:p>
        </w:tc>
      </w:tr>
      <w:tr>
        <w:tc>
          <w:tcPr>
            <w:tcW w:type="dxa" w:w="3120"/>
            <w:tcBorders>
              <w:top w:val="single" w:color="94A3B8" w:sz="8"/>
              <w:left w:val="none"/>
              <w:bottom w:val="single" w:color="94A3B8" w:sz="8"/>
              <w:right w:val="none"/>
            </w:tcBorders>
          </w:tcPr>
          <w:p>
            <w:pPr>
              <w:jc w:val="center"/>
            </w:pPr>
            <w:r>
              <w:rPr>
                <w:sz w:val="22"/>
                <w:szCs w:val="22"/>
              </w:rPr>
              <w:t xml:space="preserve">Color Strategy</w:t>
            </w:r>
          </w:p>
        </w:tc>
        <w:tc>
          <w:tcPr>
            <w:tcW w:type="dxa" w:w="3120"/>
            <w:tcBorders>
              <w:top w:val="single" w:color="94A3B8" w:sz="8"/>
              <w:left w:val="none"/>
              <w:bottom w:val="single" w:color="94A3B8" w:sz="8"/>
              <w:right w:val="none"/>
            </w:tcBorders>
          </w:tcPr>
          <w:p>
            <w:pPr>
              <w:jc w:val="center"/>
            </w:pPr>
            <w:r>
              <w:rPr>
                <w:sz w:val="22"/>
                <w:szCs w:val="22"/>
              </w:rPr>
              <w:t xml:space="preserve">Single brand accent</w:t>
            </w:r>
          </w:p>
        </w:tc>
        <w:tc>
          <w:tcPr>
            <w:tcW w:type="dxa" w:w="3120"/>
            <w:tcBorders>
              <w:top w:val="single" w:color="94A3B8" w:sz="8"/>
              <w:left w:val="none"/>
              <w:bottom w:val="single" w:color="94A3B8" w:sz="8"/>
              <w:right w:val="none"/>
            </w:tcBorders>
          </w:tcPr>
          <w:p>
            <w:pPr>
              <w:jc w:val="center"/>
            </w:pPr>
            <w:r>
              <w:rPr>
                <w:sz w:val="22"/>
                <w:szCs w:val="22"/>
              </w:rPr>
              <w:t xml:space="preserve">Multi-accent palette</w:t>
            </w:r>
          </w:p>
        </w:tc>
      </w:tr>
      <w:tr>
        <w:tc>
          <w:tcPr>
            <w:tcW w:type="dxa" w:w="3120"/>
            <w:tcBorders>
              <w:top w:val="single" w:color="94A3B8" w:sz="8"/>
              <w:left w:val="none"/>
              <w:bottom w:val="single" w:color="94A3B8" w:sz="8"/>
              <w:right w:val="none"/>
            </w:tcBorders>
          </w:tcPr>
          <w:p>
            <w:pPr>
              <w:jc w:val="center"/>
            </w:pPr>
            <w:r>
              <w:rPr>
                <w:sz w:val="22"/>
                <w:szCs w:val="22"/>
              </w:rPr>
              <w:t xml:space="preserve">Visual Energy</w:t>
            </w:r>
          </w:p>
        </w:tc>
        <w:tc>
          <w:tcPr>
            <w:tcW w:type="dxa" w:w="3120"/>
            <w:tcBorders>
              <w:top w:val="single" w:color="94A3B8" w:sz="8"/>
              <w:left w:val="none"/>
              <w:bottom w:val="single" w:color="94A3B8" w:sz="8"/>
              <w:right w:val="none"/>
            </w:tcBorders>
          </w:tcPr>
          <w:p>
            <w:pPr>
              <w:jc w:val="center"/>
            </w:pPr>
            <w:r>
              <w:rPr>
                <w:sz w:val="22"/>
                <w:szCs w:val="22"/>
              </w:rPr>
              <w:t xml:space="preserve">Calm, professional</w:t>
            </w:r>
          </w:p>
        </w:tc>
        <w:tc>
          <w:tcPr>
            <w:tcW w:type="dxa" w:w="3120"/>
            <w:tcBorders>
              <w:top w:val="single" w:color="94A3B8" w:sz="8"/>
              <w:left w:val="none"/>
              <w:bottom w:val="single" w:color="94A3B8" w:sz="8"/>
              <w:right w:val="none"/>
            </w:tcBorders>
          </w:tcPr>
          <w:p>
            <w:pPr>
              <w:jc w:val="center"/>
            </w:pPr>
            <w:r>
              <w:rPr>
                <w:sz w:val="22"/>
                <w:szCs w:val="22"/>
              </w:rPr>
              <w:t xml:space="preserve">Dynamic, energetic</w:t>
            </w:r>
          </w:p>
        </w:tc>
      </w:tr>
      <w:tr>
        <w:tc>
          <w:tcPr>
            <w:tcW w:type="dxa" w:w="3120"/>
            <w:tcBorders>
              <w:top w:val="single" w:color="94A3B8" w:sz="8"/>
              <w:left w:val="none"/>
              <w:bottom w:val="single" w:color="94A3B8" w:sz="8"/>
              <w:right w:val="none"/>
            </w:tcBorders>
          </w:tcPr>
          <w:p>
            <w:pPr>
              <w:jc w:val="center"/>
            </w:pPr>
            <w:r>
              <w:rPr>
                <w:sz w:val="22"/>
                <w:szCs w:val="22"/>
              </w:rPr>
              <w:t xml:space="preserve">Hero Treatment</w:t>
            </w:r>
          </w:p>
        </w:tc>
        <w:tc>
          <w:tcPr>
            <w:tcW w:type="dxa" w:w="3120"/>
            <w:tcBorders>
              <w:top w:val="single" w:color="94A3B8" w:sz="8"/>
              <w:left w:val="none"/>
              <w:bottom w:val="single" w:color="94A3B8" w:sz="8"/>
              <w:right w:val="none"/>
            </w:tcBorders>
          </w:tcPr>
          <w:p>
            <w:pPr>
              <w:jc w:val="center"/>
            </w:pPr>
            <w:r>
              <w:rPr>
                <w:sz w:val="20"/>
                <w:szCs w:val="20"/>
              </w:rPr>
              <w:t xml:space="preserve">Text-focused with grid pattern</w:t>
            </w:r>
          </w:p>
        </w:tc>
        <w:tc>
          <w:tcPr>
            <w:tcW w:type="dxa" w:w="3120"/>
            <w:tcBorders>
              <w:top w:val="single" w:color="94A3B8" w:sz="8"/>
              <w:left w:val="none"/>
              <w:bottom w:val="single" w:color="94A3B8" w:sz="8"/>
              <w:right w:val="none"/>
            </w:tcBorders>
          </w:tcPr>
          <w:p>
            <w:pPr>
              <w:jc w:val="center"/>
            </w:pPr>
            <w:r>
              <w:rPr>
                <w:sz w:val="22"/>
                <w:szCs w:val="22"/>
              </w:rPr>
              <w:t xml:space="preserve">Image + floating cards</w:t>
            </w:r>
          </w:p>
        </w:tc>
      </w:tr>
      <w:tr>
        <w:tc>
          <w:tcPr>
            <w:tcW w:type="dxa" w:w="3120"/>
            <w:tcBorders>
              <w:top w:val="single" w:color="94A3B8" w:sz="8"/>
              <w:left w:val="none"/>
              <w:bottom w:val="single" w:color="94A3B8" w:sz="8"/>
              <w:right w:val="none"/>
            </w:tcBorders>
          </w:tcPr>
          <w:p>
            <w:pPr>
              <w:jc w:val="center"/>
            </w:pPr>
            <w:r>
              <w:rPr>
                <w:sz w:val="22"/>
                <w:szCs w:val="22"/>
              </w:rPr>
              <w:t xml:space="preserve">Card Design</w:t>
            </w:r>
          </w:p>
        </w:tc>
        <w:tc>
          <w:tcPr>
            <w:tcW w:type="dxa" w:w="3120"/>
            <w:tcBorders>
              <w:top w:val="single" w:color="94A3B8" w:sz="8"/>
              <w:left w:val="none"/>
              <w:bottom w:val="single" w:color="94A3B8" w:sz="8"/>
              <w:right w:val="none"/>
            </w:tcBorders>
          </w:tcPr>
          <w:p>
            <w:pPr>
              <w:jc w:val="center"/>
            </w:pPr>
            <w:r>
              <w:rPr>
                <w:sz w:val="20"/>
                <w:szCs w:val="20"/>
              </w:rPr>
              <w:t xml:space="preserve">Subtle borders, emoji icons</w:t>
            </w:r>
          </w:p>
        </w:tc>
        <w:tc>
          <w:tcPr>
            <w:tcW w:type="dxa" w:w="3120"/>
            <w:tcBorders>
              <w:top w:val="single" w:color="94A3B8" w:sz="8"/>
              <w:left w:val="none"/>
              <w:bottom w:val="single" w:color="94A3B8" w:sz="8"/>
              <w:right w:val="none"/>
            </w:tcBorders>
          </w:tcPr>
          <w:p>
            <w:pPr>
              <w:jc w:val="center"/>
            </w:pPr>
            <w:r>
              <w:rPr>
                <w:sz w:val="22"/>
                <w:szCs w:val="22"/>
              </w:rPr>
              <w:t xml:space="preserve">Colored tops, SVG icons</w:t>
            </w:r>
          </w:p>
        </w:tc>
      </w:tr>
      <w:tr>
        <w:tc>
          <w:tcPr>
            <w:tcW w:type="dxa" w:w="3120"/>
            <w:tcBorders>
              <w:top w:val="single" w:color="94A3B8" w:sz="8"/>
              <w:left w:val="none"/>
              <w:bottom w:val="single" w:color="94A3B8" w:sz="8"/>
              <w:right w:val="none"/>
            </w:tcBorders>
          </w:tcPr>
          <w:p>
            <w:pPr>
              <w:jc w:val="center"/>
            </w:pPr>
            <w:r>
              <w:rPr>
                <w:sz w:val="22"/>
                <w:szCs w:val="22"/>
              </w:rPr>
              <w:t xml:space="preserve">Animation Approach</w:t>
            </w:r>
          </w:p>
        </w:tc>
        <w:tc>
          <w:tcPr>
            <w:tcW w:type="dxa" w:w="3120"/>
            <w:tcBorders>
              <w:top w:val="single" w:color="94A3B8" w:sz="8"/>
              <w:left w:val="none"/>
              <w:bottom w:val="single" w:color="94A3B8" w:sz="8"/>
              <w:right w:val="none"/>
            </w:tcBorders>
          </w:tcPr>
          <w:p>
            <w:pPr>
              <w:jc w:val="center"/>
            </w:pPr>
            <w:r>
              <w:rPr>
                <w:sz w:val="22"/>
                <w:szCs w:val="22"/>
              </w:rPr>
              <w:t xml:space="preserve">Minimal, functional</w:t>
            </w:r>
          </w:p>
        </w:tc>
        <w:tc>
          <w:tcPr>
            <w:tcW w:type="dxa" w:w="3120"/>
            <w:tcBorders>
              <w:top w:val="single" w:color="94A3B8" w:sz="8"/>
              <w:left w:val="none"/>
              <w:bottom w:val="single" w:color="94A3B8" w:sz="8"/>
              <w:right w:val="none"/>
            </w:tcBorders>
          </w:tcPr>
          <w:p>
            <w:pPr>
              <w:jc w:val="center"/>
            </w:pPr>
            <w:r>
              <w:rPr>
                <w:sz w:val="20"/>
                <w:szCs w:val="20"/>
              </w:rPr>
              <w:t xml:space="preserve">Transform effects, transitions</w:t>
            </w:r>
          </w:p>
        </w:tc>
      </w:tr>
      <w:tr>
        <w:tc>
          <w:tcPr>
            <w:tcW w:type="dxa" w:w="3120"/>
            <w:tcBorders>
              <w:top w:val="single" w:color="94A3B8" w:sz="8"/>
              <w:left w:val="none"/>
              <w:bottom w:val="single" w:color="94A3B8" w:sz="8"/>
              <w:right w:val="none"/>
            </w:tcBorders>
          </w:tcPr>
          <w:p>
            <w:pPr>
              <w:jc w:val="center"/>
            </w:pPr>
            <w:r>
              <w:rPr>
                <w:sz w:val="22"/>
                <w:szCs w:val="22"/>
              </w:rPr>
              <w:t xml:space="preserve">Trust Building</w:t>
            </w:r>
          </w:p>
        </w:tc>
        <w:tc>
          <w:tcPr>
            <w:tcW w:type="dxa" w:w="3120"/>
            <w:tcBorders>
              <w:top w:val="single" w:color="94A3B8" w:sz="8"/>
              <w:left w:val="none"/>
              <w:bottom w:val="single" w:color="94A3B8" w:sz="8"/>
              <w:right w:val="none"/>
            </w:tcBorders>
          </w:tcPr>
          <w:p>
            <w:pPr>
              <w:jc w:val="center"/>
            </w:pPr>
            <w:r>
              <w:rPr>
                <w:sz w:val="20"/>
                <w:szCs w:val="20"/>
              </w:rPr>
              <w:t xml:space="preserve">Statistics, certification focus</w:t>
            </w:r>
          </w:p>
        </w:tc>
        <w:tc>
          <w:tcPr>
            <w:tcW w:type="dxa" w:w="3120"/>
            <w:tcBorders>
              <w:top w:val="single" w:color="94A3B8" w:sz="8"/>
              <w:left w:val="none"/>
              <w:bottom w:val="single" w:color="94A3B8" w:sz="8"/>
              <w:right w:val="none"/>
            </w:tcBorders>
          </w:tcPr>
          <w:p>
            <w:pPr>
              <w:jc w:val="center"/>
            </w:pPr>
            <w:r>
              <w:rPr>
                <w:sz w:val="20"/>
                <w:szCs w:val="20"/>
              </w:rPr>
              <w:t xml:space="preserve">Company logos, placement rates</w:t>
            </w:r>
          </w:p>
        </w:tc>
      </w:tr>
    </w:tbl>
    <w:p>
      <w:pPr>
        <w:spacing w:after="300" w:before="100"/>
        <w:jc w:val="center"/>
      </w:pPr>
      <w:r>
        <w:rPr>
          <w:i/>
          <w:iCs/>
          <w:color w:val="64748B"/>
          <w:sz w:val="18"/>
          <w:szCs w:val="18"/>
        </w:rPr>
        <w:t xml:space="preserve">Table 3: Design Comparison Matrix</w:t>
      </w:r>
    </w:p>
    <w:p>
      <w:pPr>
        <w:pStyle w:val="Heading2"/>
      </w:pPr>
      <w:r>
        <w:t xml:space="preserve">3.3 Shared Best Practices</w:t>
      </w:r>
    </w:p>
    <w:p>
      <w:pPr>
        <w:spacing w:after="200" w:line="312"/>
      </w:pPr>
      <w:r>
        <w:t xml:space="preserve">Despite their philosophical differences, both designs demonstrate several shared best practices that warrant attention:</w:t>
      </w:r>
    </w:p>
    <w:p>
      <w:pPr>
        <w:pStyle w:val="ListParagraph"/>
        <w:numPr>
          <w:ilvl w:val="0"/>
          <w:numId w:val="2"/>
        </w:numPr>
        <w:spacing w:after="100" w:line="312"/>
      </w:pPr>
      <w:r>
        <w:rPr>
          <w:b/>
          <w:bCs/>
        </w:rPr>
        <w:t xml:space="preserve">Consistent Maximum Width: </w:t>
      </w:r>
      <w:r>
        <w:t xml:space="preserve">Both employ 1140px maximum content width, providing optimal line lengths for reading while maintaining generous margins.</w:t>
      </w:r>
    </w:p>
    <w:p>
      <w:pPr>
        <w:pStyle w:val="ListParagraph"/>
        <w:numPr>
          <w:ilvl w:val="0"/>
          <w:numId w:val="2"/>
        </w:numPr>
        <w:spacing w:after="100" w:line="312"/>
      </w:pPr>
      <w:r>
        <w:rPr>
          <w:b/>
          <w:bCs/>
        </w:rPr>
        <w:t xml:space="preserve">Semantic Typography: </w:t>
      </w:r>
      <w:r>
        <w:t xml:space="preserve">Both use monospace fonts for labels and statistics, creating a technical vocabulary that signals data precision.</w:t>
      </w:r>
    </w:p>
    <w:p>
      <w:pPr>
        <w:pStyle w:val="ListParagraph"/>
        <w:numPr>
          <w:ilvl w:val="0"/>
          <w:numId w:val="2"/>
        </w:numPr>
        <w:spacing w:after="100" w:line="312"/>
      </w:pPr>
      <w:r>
        <w:rPr>
          <w:b/>
          <w:bCs/>
        </w:rPr>
        <w:t xml:space="preserve">Card-Based Content: </w:t>
      </w:r>
      <w:r>
        <w:t xml:space="preserve">Both organize content in cards with consistent border-radius, padding, and border treatments.</w:t>
      </w:r>
    </w:p>
    <w:p>
      <w:pPr>
        <w:pStyle w:val="ListParagraph"/>
        <w:numPr>
          <w:ilvl w:val="0"/>
          <w:numId w:val="2"/>
        </w:numPr>
        <w:spacing w:after="100" w:line="312"/>
      </w:pPr>
      <w:r>
        <w:rPr>
          <w:b/>
          <w:bCs/>
        </w:rPr>
        <w:t xml:space="preserve">Category Color-Coding: </w:t>
      </w:r>
      <w:r>
        <w:t xml:space="preserve">Both use top-border color coding to differentiate content categories visually.</w:t>
      </w:r>
    </w:p>
    <w:p>
      <w:pPr>
        <w:pStyle w:val="ListParagraph"/>
        <w:numPr>
          <w:ilvl w:val="0"/>
          <w:numId w:val="2"/>
        </w:numPr>
        <w:spacing w:after="100" w:line="312"/>
      </w:pPr>
      <w:r>
        <w:rPr>
          <w:b/>
          <w:bCs/>
        </w:rPr>
        <w:t xml:space="preserve">Fixed Navigation: </w:t>
      </w:r>
      <w:r>
        <w:t xml:space="preserve">Both employ fixed headers with similar heights (68px) for consistent navigation accessibility.</w:t>
      </w:r>
    </w:p>
    <w:p>
      <w:pPr>
        <w:pStyle w:val="ListParagraph"/>
        <w:numPr>
          <w:ilvl w:val="0"/>
          <w:numId w:val="2"/>
        </w:numPr>
        <w:spacing w:after="200" w:line="312"/>
      </w:pPr>
      <w:r>
        <w:rPr>
          <w:b/>
          <w:bCs/>
        </w:rPr>
        <w:t xml:space="preserve">Statistical Trust Signals: </w:t>
      </w:r>
      <w:r>
        <w:t xml:space="preserve">Both prominently feature achievement statistics (completion rates, placement rates, salary increases).</w:t>
      </w:r>
    </w:p>
    <w:p>
      <w:pPr>
        <w:pStyle w:val="Heading2"/>
      </w:pPr>
      <w:r>
        <w:t xml:space="preserve">3.4 Differentiation Strategies</w:t>
      </w:r>
    </w:p>
    <w:p>
      <w:pPr>
        <w:spacing w:after="200" w:line="312"/>
      </w:pPr>
      <w:r>
        <w:t xml:space="preserve">The key differentiators between the designs reveal important strategic choices for educational platform design:</w:t>
      </w:r>
    </w:p>
    <w:p>
      <w:pPr>
        <w:spacing w:after="200" w:line="312"/>
      </w:pPr>
      <w:r>
        <w:rPr>
          <w:b/>
          <w:bCs/>
        </w:rPr>
        <w:t xml:space="preserve">Visual Complexity vs. Clarity: </w:t>
      </w:r>
      <w:r>
        <w:t xml:space="preserve">iTrust Academy prioritizes clarity through visual restraint, using a single accent color and minimal decorative elements. AI Academy embraces visual complexity with multiple accent colors, floating elements, and dynamic compositions. The choice depends on brand positioning and audience expectations.</w:t>
      </w:r>
    </w:p>
    <w:p>
      <w:pPr>
        <w:spacing w:after="200" w:line="312"/>
      </w:pPr>
      <w:r>
        <w:rPr>
          <w:b/>
          <w:bCs/>
        </w:rPr>
        <w:t xml:space="preserve">Content Preview Depth: </w:t>
      </w:r>
      <w:r>
        <w:t xml:space="preserve">iTrust Academy's hero is primarily text-based, emphasizing the value proposition through clear messaging. AI Academy includes visual content previews (code snippets, course imagery) that provide immediate insight into the learning experience. This reflects different assumptions about user decision-making processes.</w:t>
      </w:r>
    </w:p>
    <w:p>
      <w:pPr>
        <w:spacing w:after="200" w:line="312"/>
      </w:pPr>
      <w:r>
        <w:rPr>
          <w:b/>
          <w:bCs/>
        </w:rPr>
        <w:t xml:space="preserve">Animation Philosophy: </w:t>
      </w:r>
      <w:r>
        <w:t xml:space="preserve">iTrust Academy uses animation sparingly and functionally (pulse for status indication). AI Academy employs more extensive animation systems with transform effects and complex transitions. The appropriate level depends on brand personality and performance requirements.</w:t>
      </w:r>
    </w:p>
    <w:p>
      <w:pPr>
        <w:pStyle w:val="Heading1"/>
      </w:pPr>
      <w:r>
        <w:t xml:space="preserve">Section 4: Design Inspiration Guide for Future Projects</w:t>
      </w:r>
    </w:p>
    <w:p>
      <w:pPr>
        <w:pStyle w:val="Heading2"/>
      </w:pPr>
      <w:r>
        <w:t xml:space="preserve">4.1 When to Apply iTrust Academy Patterns</w:t>
      </w:r>
    </w:p>
    <w:p>
      <w:pPr>
        <w:spacing w:after="200" w:line="312"/>
      </w:pPr>
      <w:r>
        <w:t xml:space="preserve">The iTrust Academy design philosophy is most appropriate for projects with the following characteristics:</w:t>
      </w:r>
    </w:p>
    <w:p>
      <w:pPr>
        <w:pStyle w:val="ListParagraph"/>
        <w:numPr>
          <w:ilvl w:val="0"/>
          <w:numId w:val="3"/>
        </w:numPr>
        <w:spacing w:after="100" w:line="312"/>
      </w:pPr>
      <w:r>
        <w:rPr>
          <w:b/>
          <w:bCs/>
        </w:rPr>
        <w:t xml:space="preserve">Professional/Enterprise Focus: </w:t>
      </w:r>
      <w:r>
        <w:t xml:space="preserve">B2B platforms, certification programs, corporate training portals, and enterprise software where credibility and trust are paramount.</w:t>
      </w:r>
    </w:p>
    <w:p>
      <w:pPr>
        <w:pStyle w:val="ListParagraph"/>
        <w:numPr>
          <w:ilvl w:val="0"/>
          <w:numId w:val="3"/>
        </w:numPr>
        <w:spacing w:after="100" w:line="312"/>
      </w:pPr>
      <w:r>
        <w:rPr>
          <w:b/>
          <w:bCs/>
        </w:rPr>
        <w:t xml:space="preserve">Information-Heavy Content: </w:t>
      </w:r>
      <w:r>
        <w:t xml:space="preserve">Documentation sites, knowledge bases, and technical resources where content clarity takes precedence over visual excitement.</w:t>
      </w:r>
    </w:p>
    <w:p>
      <w:pPr>
        <w:pStyle w:val="ListParagraph"/>
        <w:numPr>
          <w:ilvl w:val="0"/>
          <w:numId w:val="3"/>
        </w:numPr>
        <w:spacing w:after="100" w:line="312"/>
      </w:pPr>
      <w:r>
        <w:rPr>
          <w:b/>
          <w:bCs/>
        </w:rPr>
        <w:t xml:space="preserve">Conservative Brand Requirements: </w:t>
      </w:r>
      <w:r>
        <w:t xml:space="preserve">Financial services, healthcare, legal, or government sectors where visual restraint signals professionalism.</w:t>
      </w:r>
    </w:p>
    <w:p>
      <w:pPr>
        <w:pStyle w:val="ListParagraph"/>
        <w:numPr>
          <w:ilvl w:val="0"/>
          <w:numId w:val="3"/>
        </w:numPr>
        <w:spacing w:after="100" w:line="312"/>
      </w:pPr>
      <w:r>
        <w:rPr>
          <w:b/>
          <w:bCs/>
        </w:rPr>
        <w:t xml:space="preserve">Accessibility Priority: </w:t>
      </w:r>
      <w:r>
        <w:t xml:space="preserve">Projects where high contrast and minimal visual complexity improve accessibility for diverse user groups.</w:t>
      </w:r>
    </w:p>
    <w:p>
      <w:pPr>
        <w:pStyle w:val="ListParagraph"/>
        <w:numPr>
          <w:ilvl w:val="0"/>
          <w:numId w:val="3"/>
        </w:numPr>
        <w:spacing w:after="200" w:line="312"/>
      </w:pPr>
      <w:r>
        <w:rPr>
          <w:b/>
          <w:bCs/>
        </w:rPr>
        <w:t xml:space="preserve">Performance-Critical Applications: </w:t>
      </w:r>
      <w:r>
        <w:t xml:space="preserve">Applications where minimal CSS and fewer decorative elements improve load times and runtime performance.</w:t>
      </w:r>
    </w:p>
    <w:p>
      <w:pPr>
        <w:pStyle w:val="Heading2"/>
      </w:pPr>
      <w:r>
        <w:t xml:space="preserve">4.2 When to Apply AI Academy Patterns</w:t>
      </w:r>
    </w:p>
    <w:p>
      <w:pPr>
        <w:spacing w:after="200" w:line="312"/>
      </w:pPr>
      <w:r>
        <w:t xml:space="preserve">The AI Academy design philosophy is most appropriate for projects with these characteristics:</w:t>
      </w:r>
    </w:p>
    <w:p>
      <w:pPr>
        <w:pStyle w:val="ListParagraph"/>
        <w:numPr>
          <w:ilvl w:val="0"/>
          <w:numId w:val="4"/>
        </w:numPr>
        <w:spacing w:after="100" w:line="312"/>
      </w:pPr>
      <w:r>
        <w:rPr>
          <w:b/>
          <w:bCs/>
        </w:rPr>
        <w:t xml:space="preserve">Technology/Innovation Focus: </w:t>
      </w:r>
      <w:r>
        <w:t xml:space="preserve">AI/ML platforms, developer tools, startup landing pages, and cutting-edge technology products where visual energy reflects brand values.</w:t>
      </w:r>
    </w:p>
    <w:p>
      <w:pPr>
        <w:pStyle w:val="ListParagraph"/>
        <w:numPr>
          <w:ilvl w:val="0"/>
          <w:numId w:val="4"/>
        </w:numPr>
        <w:spacing w:after="100" w:line="312"/>
      </w:pPr>
      <w:r>
        <w:rPr>
          <w:b/>
          <w:bCs/>
        </w:rPr>
        <w:t xml:space="preserve">Young/Tech-Savvy Audience: </w:t>
      </w:r>
      <w:r>
        <w:t xml:space="preserve">Consumer-facing products targeting millennials and Gen Z who expect contemporary, dynamic digital experiences.</w:t>
      </w:r>
    </w:p>
    <w:p>
      <w:pPr>
        <w:pStyle w:val="ListParagraph"/>
        <w:numPr>
          <w:ilvl w:val="0"/>
          <w:numId w:val="4"/>
        </w:numPr>
        <w:spacing w:after="100" w:line="312"/>
      </w:pPr>
      <w:r>
        <w:rPr>
          <w:b/>
          <w:bCs/>
        </w:rPr>
        <w:t xml:space="preserve">Differentiation Priority: </w:t>
      </w:r>
      <w:r>
        <w:t xml:space="preserve">Crowded market segments where distinctive visual identity helps products stand out from competitors.</w:t>
      </w:r>
    </w:p>
    <w:p>
      <w:pPr>
        <w:pStyle w:val="ListParagraph"/>
        <w:numPr>
          <w:ilvl w:val="0"/>
          <w:numId w:val="4"/>
        </w:numPr>
        <w:spacing w:after="100" w:line="312"/>
      </w:pPr>
      <w:r>
        <w:rPr>
          <w:b/>
          <w:bCs/>
        </w:rPr>
        <w:t xml:space="preserve">Content Preview Benefits: </w:t>
      </w:r>
      <w:r>
        <w:t xml:space="preserve">Products where showing code snippets, interface previews, or visual examples helps users understand value propositions.</w:t>
      </w:r>
    </w:p>
    <w:p>
      <w:pPr>
        <w:pStyle w:val="ListParagraph"/>
        <w:numPr>
          <w:ilvl w:val="0"/>
          <w:numId w:val="4"/>
        </w:numPr>
        <w:spacing w:after="200" w:line="312"/>
      </w:pPr>
      <w:r>
        <w:rPr>
          <w:b/>
          <w:bCs/>
        </w:rPr>
        <w:t xml:space="preserve">Engagement-Driven Goals: </w:t>
      </w:r>
      <w:r>
        <w:t xml:space="preserve">Marketing landing pages and conversion-focused experiences where visual interest drives engagement metrics.</w:t>
      </w:r>
    </w:p>
    <w:p>
      <w:pPr>
        <w:pStyle w:val="Heading2"/>
      </w:pPr>
      <w:r>
        <w:t xml:space="preserve">4.3 Hybrid Approach Recommendations</w:t>
      </w:r>
    </w:p>
    <w:p>
      <w:pPr>
        <w:spacing w:after="200" w:line="312"/>
      </w:pPr>
      <w:r>
        <w:t xml:space="preserve">For projects that don't clearly align with either extreme, a hybrid approach combining elements from both designs can be effective:</w:t>
      </w:r>
    </w:p>
    <w:p>
      <w:pPr>
        <w:pStyle w:val="ListParagraph"/>
        <w:numPr>
          <w:ilvl w:val="0"/>
          <w:numId w:val="5"/>
        </w:numPr>
        <w:spacing w:after="100" w:line="312"/>
      </w:pPr>
      <w:r>
        <w:rPr>
          <w:b/>
          <w:bCs/>
        </w:rPr>
        <w:t xml:space="preserve">Restrained Color with Dynamic Layout: </w:t>
      </w:r>
      <w:r>
        <w:t xml:space="preserve">Use a single primary accent color (iTrust approach) but incorporate dynamic hero compositions with floating elements (AI Academy approach).</w:t>
      </w:r>
    </w:p>
    <w:p>
      <w:pPr>
        <w:pStyle w:val="ListParagraph"/>
        <w:numPr>
          <w:ilvl w:val="0"/>
          <w:numId w:val="5"/>
        </w:numPr>
        <w:spacing w:after="100" w:line="312"/>
      </w:pPr>
      <w:r>
        <w:rPr>
          <w:b/>
          <w:bCs/>
        </w:rPr>
        <w:t xml:space="preserve">Functional Animation with Visual Interest: </w:t>
      </w:r>
      <w:r>
        <w:t xml:space="preserve">Apply purposeful, functional animations (iTrust philosophy) while incorporating decorative elements like gradient orbs or grid patterns (AI Academy techniques).</w:t>
      </w:r>
    </w:p>
    <w:p>
      <w:pPr>
        <w:pStyle w:val="ListParagraph"/>
        <w:numPr>
          <w:ilvl w:val="0"/>
          <w:numId w:val="5"/>
        </w:numPr>
        <w:spacing w:after="100" w:line="312"/>
      </w:pPr>
      <w:r>
        <w:rPr>
          <w:b/>
          <w:bCs/>
        </w:rPr>
        <w:t xml:space="preserve">Category Color-Coding with Unified Brand: </w:t>
      </w:r>
      <w:r>
        <w:t xml:space="preserve">Use multi-color category indicators (AI Academy) within an overall unified brand color system (iTrust Academy).</w:t>
      </w:r>
    </w:p>
    <w:p>
      <w:pPr>
        <w:pStyle w:val="ListParagraph"/>
        <w:numPr>
          <w:ilvl w:val="0"/>
          <w:numId w:val="5"/>
        </w:numPr>
        <w:spacing w:after="200" w:line="312"/>
      </w:pPr>
      <w:r>
        <w:rPr>
          <w:b/>
          <w:bCs/>
        </w:rPr>
        <w:t xml:space="preserve">Trust Signals with Visual Polish: </w:t>
      </w:r>
      <w:r>
        <w:t xml:space="preserve">Incorporate company logos and statistics (AI Academy) within a clean, whitespace-rich layout (iTrust Academy).</w:t>
      </w:r>
    </w:p>
    <w:p>
      <w:pPr>
        <w:pStyle w:val="Heading2"/>
      </w:pPr>
      <w:r>
        <w:t xml:space="preserve">4.4 Technical Implementation Patterns</w:t>
      </w:r>
    </w:p>
    <w:p>
      <w:pPr>
        <w:spacing w:after="200" w:line="312"/>
      </w:pPr>
      <w:r>
        <w:t xml:space="preserve">Based on analysis of both websites, the following technical implementation patterns are recommended for production projects:</w:t>
      </w:r>
    </w:p>
    <w:p>
      <w:pPr>
        <w:spacing w:after="200" w:line="312"/>
      </w:pPr>
      <w:r>
        <w:rPr>
          <w:b/>
          <w:bCs/>
        </w:rPr>
        <w:t xml:space="preserve">CSS Custom Properties Architecture: </w:t>
      </w:r>
      <w:r>
        <w:t xml:space="preserve">Implement a comprehensive design token system using CSS custom properties (--color-*, --spacing-*, --text-*) as demonstrated by AI Academy. This approach enables theme flexibility, dark mode support, and maintainability.</w:t>
      </w:r>
    </w:p>
    <w:p>
      <w:pPr>
        <w:spacing w:after="200" w:line="312"/>
      </w:pPr>
      <w:r>
        <w:rPr>
          <w:b/>
          <w:bCs/>
        </w:rPr>
        <w:t xml:space="preserve">Component Library Integration: </w:t>
      </w:r>
      <w:r>
        <w:t xml:space="preserve">Leverage established component libraries (shadcn/ui, Radix) for accessibility and consistency. Both sites demonstrate effective component-based architecture that prioritizes accessibility attributes and semantic markup.</w:t>
      </w:r>
    </w:p>
    <w:p>
      <w:pPr>
        <w:spacing w:after="200" w:line="312"/>
      </w:pPr>
      <w:r>
        <w:rPr>
          <w:b/>
          <w:bCs/>
        </w:rPr>
        <w:t xml:space="preserve">Responsive Navigation Patterns: </w:t>
      </w:r>
      <w:r>
        <w:t xml:space="preserve">Implement fixed navigation with backdrop blur for desktop, transitioning to hamburger menu for mobile (breakpoint at 768px as demonstrated by iTrust Academy). Ensure navigation remains accessible and consistent across breakpoints.</w:t>
      </w:r>
    </w:p>
    <w:p>
      <w:pPr>
        <w:spacing w:after="200" w:line="312"/>
      </w:pPr>
      <w:r>
        <w:rPr>
          <w:b/>
          <w:bCs/>
        </w:rPr>
        <w:t xml:space="preserve">Performance-Conscious Animation: </w:t>
      </w:r>
      <w:r>
        <w:t xml:space="preserve">Use CSS transforms and opacity for animations (as both sites do) to ensure hardware acceleration and smooth performance. Avoid animating layout properties like width, height, or margin.</w:t>
      </w:r>
    </w:p>
    <w:p>
      <w:pPr>
        <w:pStyle w:val="Heading1"/>
      </w:pPr>
      <w:r>
        <w:t xml:space="preserve">Conclusion</w:t>
      </w:r>
    </w:p>
    <w:p>
      <w:pPr>
        <w:spacing w:after="200" w:line="312"/>
      </w:pPr>
      <w:r>
        <w:t xml:space="preserve">This comprehensive analysis of iTrust Academy and AI Academy reveals two distinct but equally valid approaches to educational platform design. iTrust Academy exemplifies the power of intentional minimalism—using visual restraint to communicate professionalism, trust, and clarity. AI Academy demonstrates how dynamic visual elements can create engaging, contemporary experiences that appeal to technology-forward audiences.</w:t>
      </w:r>
    </w:p>
    <w:p>
      <w:pPr>
        <w:spacing w:after="200" w:line="312"/>
      </w:pPr>
      <w:r>
        <w:t xml:space="preserve">The key insight from this comparison is that effective design is not about choosing between simplicity and complexity, but about aligning visual choices with brand positioning and audience expectations. Both designs succeed because their visual languages authentically represent their brands and resonate with their target users.</w:t>
      </w:r>
    </w:p>
    <w:p>
      <w:pPr>
        <w:spacing w:after="200" w:line="312"/>
      </w:pPr>
      <w:r>
        <w:t xml:space="preserve">For future projects, designers should consider the specific context, audience, and brand requirements before selecting design patterns. The shared elements—consistent typography systems, card-based layouts, category color-coding, and strategic use of statistics—provide a foundation that can be adapted to either minimalist or maximalist approaches depending on project needs.</w:t>
      </w:r>
    </w:p>
    <w:p>
      <w:pPr>
        <w:spacing w:after="200" w:line="312"/>
      </w:pPr>
      <w:r>
        <w:t xml:space="preserve">This report serves as both analytical documentation and practical inspiration guide, enabling designers to make informed decisions about visual direction while learning from successful implementations in the educational technology space.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UI/UX Design Aesthetics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2026-03-14T14:04:55.533Z</dcterms:created>
  <dcterms:modified xsi:type="dcterms:W3CDTF">2026-03-14T14:04:55.533Z</dcterms:modified>
</cp:coreProperties>
</file>

<file path=docProps/custom.xml><?xml version="1.0" encoding="utf-8"?>
<Properties xmlns="http://schemas.openxmlformats.org/officeDocument/2006/custom-properties" xmlns:vt="http://schemas.openxmlformats.org/officeDocument/2006/docPropsVTypes"/>
</file>