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282"/>
            </w:pPr>
          </w:p>
          <w:p>
            <w:pPr>
              <w:pBdr>
                <w:bottom w:val="single" w:color="37DCF2" w:sz="6" w:space="8"/>
              </w:pBdr>
              <w:spacing w:after="500"/>
              <w:ind w:left="1200" w:right="800"/>
            </w:pPr>
            <w:r>
              <w:rPr>
                <w:rFonts w:ascii="Calibri" w:eastAsia="Calibri"/>
                <w:color w:val="37DCF2"/>
                <w:spacing w:val="40"/>
                <w:sz w:val="18"/>
                <w:szCs w:val="18"/>
              </w:rPr>
              <w:t xml:space="preserve">C O D E   A S S E S S M E N T</w:t>
            </w:r>
          </w:p>
          <w:p>
            <w:pPr>
              <w:spacing w:after="100" w:line="874" w:lineRule="atLeast"/>
              <w:ind w:left="1200"/>
            </w:pPr>
            <w:r>
              <w:rPr>
                <w:rFonts w:ascii="Times New Roman" w:eastAsia="Calibri"/>
                <w:b/>
                <w:bCs/>
                <w:color w:val="FFFFFF"/>
                <w:sz w:val="76"/>
                <w:szCs w:val="76"/>
              </w:rPr>
              <w:t xml:space="preserve">excel-agent-tools</w:t>
            </w:r>
          </w:p>
          <w:p>
            <w:pPr>
              <w:spacing w:after="300" w:line="874" w:lineRule="atLeast"/>
              <w:ind w:left="1200"/>
            </w:pPr>
            <w:r>
              <w:rPr>
                <w:rFonts w:ascii="Times New Roman" w:eastAsia="Calibri"/>
                <w:b/>
                <w:bCs/>
                <w:color w:val="FFFFFF"/>
                <w:sz w:val="76"/>
                <w:szCs w:val="76"/>
              </w:rPr>
              <w:t xml:space="preserve">Assessment Report</w:t>
            </w:r>
          </w:p>
          <w:p>
            <w:pPr>
              <w:spacing w:after="800"/>
              <w:ind w:left="1200"/>
            </w:pPr>
            <w:r>
              <w:rPr>
                <w:rFonts w:ascii="Calibri" w:eastAsia="Calibri"/>
                <w:color w:val="B0B8C0"/>
                <w:sz w:val="24"/>
                <w:szCs w:val="24"/>
              </w:rPr>
              <w:t xml:space="preserve">Comprehensive Validation &amp; Technical Analysis</w:t>
            </w:r>
          </w:p>
          <w:p>
            <w:pPr>
              <w:pBdr>
                <w:left w:val="single" w:color="37DCF2" w:sz="8" w:space="12"/>
              </w:pBdr>
              <w:spacing w:after="80"/>
              <w:ind w:left="1400"/>
            </w:pPr>
            <w:r>
              <w:rPr>
                <w:rFonts w:ascii="Calibri" w:eastAsia="Calibri"/>
                <w:color w:val="90989F"/>
                <w:sz w:val="24"/>
                <w:szCs w:val="24"/>
              </w:rPr>
              <w:t xml:space="preserve">Project: excel-agent-tools v1.0.0</w:t>
            </w:r>
          </w:p>
          <w:p>
            <w:pPr>
              <w:pBdr>
                <w:left w:val="single" w:color="37DCF2" w:sz="8" w:space="12"/>
              </w:pBdr>
              <w:spacing w:after="80"/>
              <w:ind w:left="1400"/>
            </w:pPr>
            <w:r>
              <w:rPr>
                <w:rFonts w:ascii="Calibri" w:eastAsia="Calibri"/>
                <w:color w:val="90989F"/>
                <w:sz w:val="24"/>
                <w:szCs w:val="24"/>
              </w:rPr>
              <w:t xml:space="preserve">Classification: Technical Assessment Report</w:t>
            </w:r>
          </w:p>
          <w:p>
            <w:pPr>
              <w:pBdr>
                <w:left w:val="single" w:color="37DCF2" w:sz="8" w:space="12"/>
              </w:pBdr>
              <w:spacing w:after="80"/>
              <w:ind w:left="1400"/>
            </w:pPr>
            <w:r>
              <w:rPr>
                <w:rFonts w:ascii="Calibri" w:eastAsia="Calibri"/>
                <w:color w:val="90989F"/>
                <w:sz w:val="24"/>
                <w:szCs w:val="24"/>
              </w:rPr>
              <w:t xml:space="preserve">Status: Production Readiness Review</w:t>
            </w:r>
          </w:p>
          <w:p>
            <w:pPr>
              <w:spacing w:before="4282"/>
            </w:pPr>
          </w:p>
          <w:p>
            <w:pPr>
              <w:pBdr>
                <w:top w:val="single" w:color="37DCF2" w:sz="2" w:space="8"/>
              </w:pBdr>
              <w:spacing w:before="200"/>
              <w:ind w:left="1200" w:right="800"/>
            </w:pPr>
            <w:r>
              <w:rPr>
                <w:rFonts w:ascii="Calibri"/>
                <w:color w:val="687078"/>
                <w:sz w:val="16"/>
                <w:szCs w:val="16"/>
              </w:rPr>
              <w:t xml:space="preserve">Confidential</w:t>
            </w:r>
            <w:r>
              <w:t xml:space="preserve">                                        </w:t>
            </w:r>
            <w:r>
              <w:rPr>
                <w:rFonts w:ascii="Calibri"/>
                <w:color w:val="687078"/>
                <w:sz w:val="16"/>
                <w:szCs w:val="16"/>
              </w:rPr>
              <w:t xml:space="preserve">June 2025</w:t>
            </w:r>
          </w:p>
        </w:tc>
      </w:tr>
    </w:tbl>
    <w:p>
      <w:pPr>
        <w:sectPr>
          <w:pgSz w:w="11906" w:h="16838" w:orient="portrait"/>
          <w:pgMar w:top="0" w:right="0" w:bottom="0" w:left="0" w:header="708" w:footer="708" w:gutter="0"/>
          <w:pgNumType/>
          <w:docGrid w:linePitch="360"/>
        </w:sectPr>
      </w:pPr>
    </w:p>
    <w:p>
      <w:pPr>
        <w:spacing w:after="360" w:before="480" w:line="312"/>
        <w:jc w:val="center"/>
      </w:pPr>
      <w:r>
        <w:rPr>
          <w:rFonts w:ascii="Times New Roman" w:eastAsia="Calibri"/>
          <w:b/>
          <w:bCs/>
          <w:color w:val="00000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Project Overview and Design Philosophy</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Architecture Assessment</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3.1 Modular Layer Structure</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3.2 Design Patterns and Conventions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3.3 Configuration and Build</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4. Core Module Validation Results</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5. Governance and Security Assessment</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5.1 Token Management</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5.2 Audit Trail</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5.3 Schema Validation</w:t>
            </w:r>
            <w:r>
              <w:tab/>
            </w:r>
            <w:r>
              <w:fldChar w:fldCharType="begin"/>
            </w:r>
            <w:r>
              <w:instrText xml:space="preserve"> PAGEREF _Toc100010 \h </w:instrText>
            </w:r>
            <w:r>
              <w:fldChar w:fldCharType="separate"/>
            </w:r>
            <w:r>
              <w:t>4</w:t>
            </w:r>
            <w:r>
              <w:fldChar w:fldCharType="end"/>
            </w:r>
          </w:hyperlink>
        </w:p>
        <w:p>
          <w:pPr>
            <w:pStyle w:val="9"/>
            <w:tabs>
              <w:tab w:val="right" w:leader="dot" w:pos="9026"/>
            </w:tabs>
            <w:spacing w:before="120" w:after="60"/>
          </w:pPr>
          <w:hyperlink w:anchor="_Toc100011" w:history="1">
            <w:r>
              <w:rPr>
                <w:rStyle w:val="Hyperlink"/>
              </w:rPr>
              <w:t>6. Calculation Engine Assessment</w:t>
            </w:r>
            <w:r>
              <w:tab/>
            </w:r>
            <w:r>
              <w:fldChar w:fldCharType="begin"/>
            </w:r>
            <w:r>
              <w:instrText xml:space="preserve"> PAGEREF _Toc100011 \h </w:instrText>
            </w:r>
            <w:r>
              <w:fldChar w:fldCharType="separate"/>
            </w:r>
            <w:r>
              <w:t>5</w:t>
            </w:r>
            <w:r>
              <w:fldChar w:fldCharType="end"/>
            </w:r>
          </w:hyperlink>
        </w:p>
        <w:p>
          <w:pPr>
            <w:pStyle w:val="9"/>
            <w:tabs>
              <w:tab w:val="right" w:leader="dot" w:pos="9026"/>
            </w:tabs>
            <w:spacing w:before="120" w:after="60"/>
          </w:pPr>
          <w:hyperlink w:anchor="_Toc100012" w:history="1">
            <w:r>
              <w:rPr>
                <w:rStyle w:val="Hyperlink"/>
              </w:rPr>
              <w:t>7. Tool Layer Validation</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7.1 Tool Implementation Inventory</w:t>
            </w:r>
            <w:r>
              <w:tab/>
            </w:r>
            <w:r>
              <w:fldChar w:fldCharType="begin"/>
            </w:r>
            <w:r>
              <w:instrText xml:space="preserve"> PAGEREF _Toc100013 \h </w:instrText>
            </w:r>
            <w:r>
              <w:fldChar w:fldCharType="separate"/>
            </w:r>
            <w:r>
              <w:t>5</w:t>
            </w:r>
            <w:r>
              <w:fldChar w:fldCharType="end"/>
            </w:r>
          </w:hyperlink>
        </w:p>
        <w:p>
          <w:pPr>
            <w:pStyle w:val="9"/>
            <w:tabs>
              <w:tab w:val="right" w:leader="dot" w:pos="9026"/>
            </w:tabs>
            <w:spacing w:before="120" w:after="60"/>
          </w:pPr>
          <w:hyperlink w:anchor="_Toc100014" w:history="1">
            <w:r>
              <w:rPr>
                <w:rStyle w:val="Hyperlink"/>
              </w:rPr>
              <w:t>8. Test Infrastructure Assessment</w:t>
            </w:r>
            <w:r>
              <w:tab/>
            </w:r>
            <w:r>
              <w:fldChar w:fldCharType="begin"/>
            </w:r>
            <w:r>
              <w:instrText xml:space="preserve"> PAGEREF _Toc100014 \h </w:instrText>
            </w:r>
            <w:r>
              <w:fldChar w:fldCharType="separate"/>
            </w:r>
            <w:r>
              <w:t>6</w:t>
            </w:r>
            <w:r>
              <w:fldChar w:fldCharType="end"/>
            </w:r>
          </w:hyperlink>
        </w:p>
        <w:p>
          <w:pPr>
            <w:pStyle w:val="9"/>
            <w:tabs>
              <w:tab w:val="right" w:leader="dot" w:pos="9026"/>
            </w:tabs>
            <w:spacing w:before="120" w:after="60"/>
          </w:pPr>
          <w:hyperlink w:anchor="_Toc100015" w:history="1">
            <w:r>
              <w:rPr>
                <w:rStyle w:val="Hyperlink"/>
              </w:rPr>
              <w:t>9. Critical Findings and Discrepancies</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9.1 Finding 1: Tool Count Discrepancy</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9.2 Finding 2: Token Format Documentation Mismatch</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9.3 Finding 3: Missing Dependency Declaration</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9.4 Finding 4: Formula Updater Dollar-Sign Bug</w:t>
            </w:r>
            <w:r>
              <w:tab/>
            </w:r>
            <w:r>
              <w:fldChar w:fldCharType="begin"/>
            </w:r>
            <w:r>
              <w:instrText xml:space="preserve"> PAGEREF _Toc100019 \h </w:instrText>
            </w:r>
            <w:r>
              <w:fldChar w:fldCharType="separate"/>
            </w:r>
            <w:r>
              <w:t>7</w:t>
            </w:r>
            <w:r>
              <w:fldChar w:fldCharType="end"/>
            </w:r>
          </w:hyperlink>
        </w:p>
        <w:p>
          <w:pPr>
            <w:pStyle w:val="9"/>
            <w:tabs>
              <w:tab w:val="right" w:leader="dot" w:pos="9026"/>
            </w:tabs>
            <w:spacing w:before="120" w:after="60"/>
          </w:pPr>
          <w:hyperlink w:anchor="_Toc100020" w:history="1">
            <w:r>
              <w:rPr>
                <w:rStyle w:val="Hyperlink"/>
              </w:rPr>
              <w:t>10. Risk Assessment Matrix</w:t>
            </w:r>
            <w:r>
              <w:tab/>
            </w:r>
            <w:r>
              <w:fldChar w:fldCharType="begin"/>
            </w:r>
            <w:r>
              <w:instrText xml:space="preserve"> PAGEREF _Toc100020 \h </w:instrText>
            </w:r>
            <w:r>
              <w:fldChar w:fldCharType="separate"/>
            </w:r>
            <w:r>
              <w:t>8</w:t>
            </w:r>
            <w:r>
              <w:fldChar w:fldCharType="end"/>
            </w:r>
          </w:hyperlink>
        </w:p>
        <w:p>
          <w:pPr>
            <w:pStyle w:val="9"/>
            <w:tabs>
              <w:tab w:val="right" w:leader="dot" w:pos="9026"/>
            </w:tabs>
            <w:spacing w:before="120" w:after="60"/>
          </w:pPr>
          <w:hyperlink w:anchor="_Toc100021" w:history="1">
            <w:r>
              <w:rPr>
                <w:rStyle w:val="Hyperlink"/>
              </w:rPr>
              <w:t>11. Strategic Recommendations</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11.1 Immediate Remediation (Sprint 1)</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11.2 Documentation Alignment (Sprint 1-2)</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11.3 Quality Infrastructure (Sprint 2-3)</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11.4 Long-Term Enhancements</w:t>
            </w:r>
            <w:r>
              <w:tab/>
            </w:r>
            <w:r>
              <w:fldChar w:fldCharType="begin"/>
            </w:r>
            <w:r>
              <w:instrText xml:space="preserve"> PAGEREF _Toc100025 \h </w:instrText>
            </w:r>
            <w:r>
              <w:fldChar w:fldCharType="separate"/>
            </w:r>
            <w:r>
              <w:t>9</w:t>
            </w:r>
            <w:r>
              <w:fldChar w:fldCharType="end"/>
            </w:r>
          </w:hyperlink>
        </w:p>
        <w:p>
          <w:pPr>
            <w:pStyle w:val="9"/>
            <w:tabs>
              <w:tab w:val="right" w:leader="dot" w:pos="9026"/>
            </w:tabs>
            <w:spacing w:before="120" w:after="60"/>
          </w:pPr>
          <w:hyperlink w:anchor="_Toc100026" w:history="1">
            <w:r>
              <w:rPr>
                <w:rStyle w:val="Hyperlink"/>
              </w:rPr>
              <w:t>12. Conclusions and Verdict</w:t>
            </w:r>
            <w:r>
              <w:tab/>
            </w:r>
            <w:r>
              <w:fldChar w:fldCharType="begin"/>
            </w:r>
            <w:r>
              <w:instrText xml:space="preserve"> PAGEREF _Toc100026 \h </w:instrText>
            </w:r>
            <w:r>
              <w:fldChar w:fldCharType="separate"/>
            </w:r>
            <w:r>
              <w:t>9</w:t>
            </w:r>
            <w:r>
              <w:fldChar w:fldCharType="end"/>
            </w:r>
          </w:hyperlink>
        </w:p>
        <w:p>
          <w:r>
            <w:fldChar w:fldCharType="end"/>
          </w:r>
        </w:p>
      </w:sdtContent>
    </w:sdt>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360" w:line="312"/>
      </w:pPr>
      <w:bookmarkStart w:id="100000" w:name="_Toc100000"/>
      <w:r>
        <w:rPr>
          <w:rFonts w:ascii="Times New Roman" w:eastAsia="Calibri"/>
          <w:b/>
          <w:bCs/>
          <w:color w:val="000000"/>
          <w:sz w:val="32"/>
          <w:szCs w:val="32"/>
        </w:rPr>
        <w:t xml:space="preserve">1. Executive Summary</w:t>
      </w:r>
      <w:bookmarkEnd w:id="100000"/>
    </w:p>
    <w:p>
      <w:pPr>
        <w:spacing w:after="120" w:line="312"/>
        <w:ind w:firstLine="480"/>
        <w:jc w:val="both"/>
      </w:pPr>
      <w:r>
        <w:rPr>
          <w:rFonts w:ascii="Times New Roman" w:eastAsia="Calibri"/>
          <w:b w:val="false"/>
          <w:bCs w:val="false"/>
          <w:color w:val="000000"/>
          <w:sz w:val="24"/>
          <w:szCs w:val="24"/>
        </w:rPr>
        <w:t xml:space="preserve">This report presents a comprehensive technical assessment of the excel-agent-tools project, a Python CLI suite designed to empower artificial intelligence agents with safe, stateless capabilities for reading, writing, calculating, and exporting Microsoft Excel workbooks. The project claims to provide 53 tools across 10 categories at version 1.0.0, targeting production deployment without requiring Microsoft Excel or COM dependencies. The assessment was conducted through systematic codebase analysis covering all core modules, governance infrastructure, calculation engines, tool implementations, test infrastructure, and build configuration.</w:t>
      </w:r>
    </w:p>
    <w:p>
      <w:pPr>
        <w:spacing w:after="120" w:line="312"/>
        <w:ind w:firstLine="480"/>
        <w:jc w:val="both"/>
      </w:pPr>
      <w:r>
        <w:rPr>
          <w:rFonts w:ascii="Times New Roman" w:eastAsia="Calibri"/>
          <w:b w:val="false"/>
          <w:bCs w:val="false"/>
          <w:color w:val="000000"/>
          <w:sz w:val="24"/>
          <w:szCs w:val="24"/>
        </w:rPr>
        <w:t xml:space="preserve">The validation confirms that the project delivers a robust and well-architected codebase spanning approximately 2,692 lines of core module code. All ten primary core modules are fully implemented, including the ExcelAgent context manager with lifecycle management, file locking with exponential backoff, range serialization supporting A1/R1C1/Named Range/Table formats, dependency tracking via iterative Tarjan's algorithm, SHA-256 version hashing, formula reference updating, chunked I/O with streaming, type coercion with ISO 8601 detection, and style serialization. The governance layer provides HMAC-SHA256 token management, multi-backend audit trail support, and JSON Schema validation using Draft 2020-12 specifications.</w:t>
      </w:r>
    </w:p>
    <w:p>
      <w:pPr>
        <w:spacing w:after="120" w:line="312"/>
        <w:ind w:firstLine="480"/>
        <w:jc w:val="both"/>
      </w:pPr>
      <w:r>
        <w:rPr>
          <w:rFonts w:ascii="Times New Roman" w:eastAsia="Calibri"/>
          <w:b w:val="false"/>
          <w:bCs w:val="false"/>
          <w:color w:val="000000"/>
          <w:sz w:val="24"/>
          <w:szCs w:val="24"/>
        </w:rPr>
        <w:t xml:space="preserve">However, the assessment identified several significant findings that warrant attention before production deployment. A critical tool count discrepancy exists: the project claims 53 tools, yet only 49 tool files are present on disk, with four formula tools declared in pyproject.toml lacking corresponding implementation files. Additionally, a documentation-code mismatch was found in the token management format, and the audit trail component has an undeclared dependency on the requests library. A potential logic bug exists in the formula updater's dollar-sign anchor handling, where both conditional branches execute identical logic. These findings suggest the project is architecturally sound but would benefit from targeted remediation of the identified gaps to meet claimed completeness.</w:t>
      </w:r>
    </w:p>
    <w:p>
      <w:pPr>
        <w:pStyle w:val="Heading1"/>
        <w:spacing w:after="200" w:before="360" w:line="312"/>
      </w:pPr>
      <w:bookmarkStart w:id="100001" w:name="_Toc100001"/>
      <w:r>
        <w:rPr>
          <w:rFonts w:ascii="Times New Roman" w:eastAsia="Calibri"/>
          <w:b/>
          <w:bCs/>
          <w:color w:val="000000"/>
          <w:sz w:val="32"/>
          <w:szCs w:val="32"/>
        </w:rPr>
        <w:t xml:space="preserve">2. Project Overview and Design Philosophy</w:t>
      </w:r>
      <w:bookmarkEnd w:id="100001"/>
    </w:p>
    <w:p>
      <w:pPr>
        <w:spacing w:after="120" w:line="312"/>
        <w:ind w:firstLine="480"/>
        <w:jc w:val="both"/>
      </w:pPr>
      <w:r>
        <w:rPr>
          <w:rFonts w:ascii="Times New Roman" w:eastAsia="Calibri"/>
          <w:b w:val="false"/>
          <w:bCs w:val="false"/>
          <w:color w:val="000000"/>
          <w:sz w:val="24"/>
          <w:szCs w:val="24"/>
        </w:rPr>
        <w:t xml:space="preserve">The excel-agent-tools project is engineered as a stateless CLI toolkit specifically designed for AI agent integration. Its fundamental design philosophy centers on providing atomic, composable operations that agents can invoke independently without maintaining session state. This stateless architecture is a deliberate choice that enables horizontal scaling, fault tolerance, and straightforward orchestration by external agent frameworks. Each tool operates as a standalone command that accepts JSON input via stdin and produces JSON output via stdout, adhering to a clean input-output contract that isolates failures and simplifies error handling.</w:t>
      </w:r>
    </w:p>
    <w:p>
      <w:pPr>
        <w:spacing w:after="120" w:line="312"/>
        <w:ind w:firstLine="480"/>
        <w:jc w:val="both"/>
      </w:pPr>
      <w:r>
        <w:rPr>
          <w:rFonts w:ascii="Times New Roman" w:eastAsia="Calibri"/>
          <w:b w:val="false"/>
          <w:bCs w:val="false"/>
          <w:color w:val="000000"/>
          <w:sz w:val="24"/>
          <w:szCs w:val="24"/>
        </w:rPr>
        <w:t xml:space="preserve">The dependency profile is intentionally minimal and lightweight. The project relies on openpyxl 3.1.5 for workbook manipulation, defusedxml 0.7.1 for safe XML parsing (mitigating XXE attack vectors), oletools 0.60.2 for macro inspection, the formulas library with Excel extensions for server-side formula evaluation, pandas 2.1.0 or later for data transformation, and jsonschema 4.23.0 or later for input validation. This selection deliberately avoids any dependency on Microsoft Excel, COM interfaces, or platform-specific libraries, ensuring cross-platform compatibility on Linux, macOS, and Windows environments where Python 3.12 or later is available.</w:t>
      </w:r>
    </w:p>
    <w:p>
      <w:pPr>
        <w:spacing w:after="120" w:line="312"/>
        <w:ind w:firstLine="480"/>
        <w:jc w:val="both"/>
      </w:pPr>
      <w:r>
        <w:rPr>
          <w:rFonts w:ascii="Times New Roman" w:eastAsia="Calibri"/>
          <w:b w:val="false"/>
          <w:bCs w:val="false"/>
          <w:color w:val="000000"/>
          <w:sz w:val="24"/>
          <w:szCs w:val="24"/>
        </w:rPr>
        <w:t xml:space="preserve">The project enforces a strict operational lifecycle through its ExcelAgent context manager: Lock, File Hash, Load, Geometry Hash, Verify, Save, and Unlock. This lifecycle ensures data integrity during concurrent access, detects external file modifications through SHA-256 hashing, and maintains consistency between the in-memory workbook state and the persisted file. The dual-hash mechanism, combining both file-level and sheet-level geometry verification, provides defense-in-depth against data corruption scenarios that could arise from agent misbehavior or external interference.</w:t>
      </w:r>
    </w:p>
    <w:p>
      <w:pPr>
        <w:pStyle w:val="Heading1"/>
        <w:spacing w:after="200" w:before="360" w:line="312"/>
      </w:pPr>
      <w:bookmarkStart w:id="100002" w:name="_Toc100002"/>
      <w:r>
        <w:rPr>
          <w:rFonts w:ascii="Times New Roman" w:eastAsia="Calibri"/>
          <w:b/>
          <w:bCs/>
          <w:color w:val="000000"/>
          <w:sz w:val="32"/>
          <w:szCs w:val="32"/>
        </w:rPr>
        <w:t xml:space="preserve">3. Architecture Assessment</w:t>
      </w:r>
      <w:bookmarkEnd w:id="100002"/>
    </w:p>
    <w:p>
      <w:pPr>
        <w:pStyle w:val="Heading2"/>
        <w:spacing w:after="160" w:before="280" w:line="312"/>
      </w:pPr>
      <w:bookmarkStart w:id="100003" w:name="_Toc100003"/>
      <w:r>
        <w:rPr>
          <w:rFonts w:ascii="Times New Roman" w:eastAsia="Calibri"/>
          <w:b/>
          <w:bCs/>
          <w:color w:val="000000"/>
          <w:sz w:val="28"/>
          <w:szCs w:val="28"/>
        </w:rPr>
        <w:t xml:space="preserve">3.1 Modular Layer Structure</w:t>
      </w:r>
      <w:bookmarkEnd w:id="100003"/>
    </w:p>
    <w:p>
      <w:pPr>
        <w:spacing w:after="120" w:line="312"/>
        <w:ind w:firstLine="480"/>
        <w:jc w:val="both"/>
      </w:pPr>
      <w:r>
        <w:rPr>
          <w:rFonts w:ascii="Times New Roman" w:eastAsia="Calibri"/>
          <w:b w:val="false"/>
          <w:bCs w:val="false"/>
          <w:color w:val="000000"/>
          <w:sz w:val="24"/>
          <w:szCs w:val="24"/>
        </w:rPr>
        <w:t xml:space="preserve">The project architecture is organized into four distinct layers that enforce clean separation of concerns. The Core Layer, comprising ten modules totaling approximately 2,692 lines, provides the foundational capabilities including agent lifecycle management, file locking, serialization, dependency tracking, version hashing, formula updating, chunked I/O, type coercion, and style handling. The Governance Layer implements security and compliance controls through HMAC-SHA256 token management with seven discrete scopes, multi-backend audit trail logging with JSONL, webhook, and composite backends, and JSON Schema validation with four Draft 2020-12 schemas covering range inputs, write data, style specifications, and token requests.</w:t>
      </w:r>
    </w:p>
    <w:p>
      <w:pPr>
        <w:spacing w:after="120" w:line="312"/>
        <w:ind w:firstLine="480"/>
        <w:jc w:val="both"/>
      </w:pPr>
      <w:r>
        <w:rPr>
          <w:rFonts w:ascii="Times New Roman" w:eastAsia="Calibri"/>
          <w:b w:val="false"/>
          <w:bCs w:val="false"/>
          <w:color w:val="000000"/>
          <w:sz w:val="24"/>
          <w:szCs w:val="24"/>
        </w:rPr>
        <w:t xml:space="preserve">The Calculation Layer provides a two-tier formula evaluation engine. Tier 1 leverages the formulas Python library for server-side computation with XlError detection and circular reference support. Tier 2 falls back to LibreOffice headless mode with per-process profile isolation and a configurable 120-second timeout, ensuring that complex calculations requiring the full Excel calculation chain can still be processed. The Tool Layer implements 49 of the claimed 53 tools across 10 categories, with each tool following a standardized run_tool() wrapper pattern that maps ExcelAgentError types to exit codes and enforces JSON-only stdout communication.</w:t>
      </w:r>
    </w:p>
    <w:p>
      <w:pPr>
        <w:pStyle w:val="Heading2"/>
        <w:spacing w:after="160" w:before="280" w:line="312"/>
      </w:pPr>
      <w:bookmarkStart w:id="100004" w:name="_Toc100004"/>
      <w:r>
        <w:rPr>
          <w:rFonts w:ascii="Times New Roman" w:eastAsia="Calibri"/>
          <w:b/>
          <w:bCs/>
          <w:color w:val="000000"/>
          <w:sz w:val="28"/>
          <w:szCs w:val="28"/>
        </w:rPr>
        <w:t xml:space="preserve">3.2 Design Patterns and Conventions</w:t>
      </w:r>
      <w:bookmarkEnd w:id="100004"/>
    </w:p>
    <w:p>
      <w:pPr>
        <w:spacing w:after="120" w:line="312"/>
        <w:ind w:firstLine="480"/>
        <w:jc w:val="both"/>
      </w:pPr>
      <w:r>
        <w:rPr>
          <w:rFonts w:ascii="Times New Roman" w:eastAsia="Calibri"/>
          <w:b w:val="false"/>
          <w:bCs w:val="false"/>
          <w:color w:val="000000"/>
          <w:sz w:val="24"/>
          <w:szCs w:val="24"/>
        </w:rPr>
        <w:t xml:space="preserve">The codebase demonstrates consistent use of several established design patterns. The Context Manager pattern is applied throughout the ExcelAgent lifecycle, ensuring proper resource cleanup even in error scenarios. The Protocol-based abstraction in the audit trail system enables flexible backend selection without modifying consumer code. The iterative Tarjan's algorithm for dependency analysis avoids recursion depth limitations on large worksheets, with a 10,000 range cap preventing unbounded computation. The serializer module uses compiled regular expressions for A1/R1C1 coordinate parsing, reflecting attention to performance in hot-path code. The chunked I/O generator pattern enables streaming processing of large worksheets without loading entire files into memory, using a default 10,000-row chunk size that balances throughput against memory pressure.</w:t>
      </w:r>
    </w:p>
    <w:p>
      <w:pPr>
        <w:pStyle w:val="Heading2"/>
        <w:spacing w:after="160" w:before="280" w:line="312"/>
      </w:pPr>
      <w:bookmarkStart w:id="100005" w:name="_Toc100005"/>
      <w:r>
        <w:rPr>
          <w:rFonts w:ascii="Times New Roman" w:eastAsia="Calibri"/>
          <w:b/>
          <w:bCs/>
          <w:color w:val="000000"/>
          <w:sz w:val="28"/>
          <w:szCs w:val="28"/>
        </w:rPr>
        <w:t xml:space="preserve">3.3 Configuration and Build</w:t>
      </w:r>
      <w:bookmarkEnd w:id="100005"/>
    </w:p>
    <w:p>
      <w:pPr>
        <w:spacing w:after="120" w:line="312"/>
        <w:ind w:firstLine="480"/>
        <w:jc w:val="both"/>
      </w:pPr>
      <w:r>
        <w:rPr>
          <w:rFonts w:ascii="Times New Roman" w:eastAsia="Calibri"/>
          <w:b w:val="false"/>
          <w:bCs w:val="false"/>
          <w:color w:val="000000"/>
          <w:sz w:val="24"/>
          <w:szCs w:val="24"/>
        </w:rPr>
        <w:t xml:space="preserve">Build configuration is centralized in pyproject.toml, which declares 53 console script entry points. The project requires Python 3.12 or later and includes standardized configurations for black (code formatting), mypy (static type checking), ruff (linting), and pytest (testing). Four of the 53 declared entry points are dangling references that point to non-existent tool modules, which represents a packaging integrity issue that should be addressed. The requirements.txt file pins exact versions for core dependencies while using minimum version constraints for secondary libraries, following a pragmatic approach that balances reproducibility with flexibility.</w:t>
      </w:r>
    </w:p>
    <w:p>
      <w:pPr>
        <w:pStyle w:val="Heading1"/>
        <w:spacing w:after="200" w:before="360" w:line="312"/>
      </w:pPr>
      <w:bookmarkStart w:id="100006" w:name="_Toc100006"/>
      <w:r>
        <w:rPr>
          <w:rFonts w:ascii="Times New Roman" w:eastAsia="Calibri"/>
          <w:b/>
          <w:bCs/>
          <w:color w:val="000000"/>
          <w:sz w:val="32"/>
          <w:szCs w:val="32"/>
        </w:rPr>
        <w:t xml:space="preserve">4. Core Module Validation Results</w:t>
      </w:r>
      <w:bookmarkEnd w:id="100006"/>
    </w:p>
    <w:p>
      <w:pPr>
        <w:spacing w:after="120" w:line="312"/>
        <w:ind w:firstLine="480"/>
        <w:jc w:val="both"/>
      </w:pPr>
      <w:r>
        <w:rPr>
          <w:rFonts w:ascii="Times New Roman" w:eastAsia="Calibri"/>
          <w:b w:val="false"/>
          <w:bCs w:val="false"/>
          <w:color w:val="000000"/>
          <w:sz w:val="24"/>
          <w:szCs w:val="24"/>
        </w:rPr>
        <w:t xml:space="preserve">All ten core modules were subjected to detailed code-level validation. The following table summarizes the validation outcomes for each module, confirming functional completeness and identifying specific characteristics that influence production readiness.</w:t>
      </w:r>
    </w:p>
    <w:p>
      <w:pPr>
        <w:spacing w:after="160" w:before="200" w:line="312"/>
        <w:jc w:val="center"/>
      </w:pPr>
      <w:r>
        <w:rPr>
          <w:rFonts w:ascii="Times New Roman" w:eastAsia="Calibri"/>
          <w:i/>
          <w:iCs/>
          <w:color w:val="555555"/>
          <w:sz w:val="21"/>
          <w:szCs w:val="21"/>
        </w:rPr>
        <w:t xml:space="preserve">Table 1: Core Module Validation Summary</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Layout w:type="fixed"/>
      </w:tblPr>
      <w:tblGrid>
        <w:gridCol w:w="100"/>
        <w:gridCol w:w="100"/>
        <w:gridCol w:w="100"/>
        <w:gridCol w:w="100"/>
      </w:tblGrid>
      <w:tr>
        <w:trPr>
          <w:tblHeader/>
        </w:trPr>
        <w:tc>
          <w:tcPr>
            <w:tcW w:type="pct" w:w="25%"/>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spacing w:line="312"/>
            </w:pPr>
            <w:r>
              <w:rPr>
                <w:rFonts w:ascii="Times New Roman" w:eastAsia="Calibri"/>
                <w:b/>
                <w:bCs/>
                <w:color w:val="FFFFFF"/>
                <w:sz w:val="21"/>
                <w:szCs w:val="21"/>
              </w:rPr>
              <w:t xml:space="preserve">Module</w:t>
            </w:r>
          </w:p>
        </w:tc>
        <w:tc>
          <w:tcPr>
            <w:tcW w:type="pct" w:w="10%"/>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spacing w:line="312"/>
            </w:pPr>
            <w:r>
              <w:rPr>
                <w:rFonts w:ascii="Times New Roman" w:eastAsia="Calibri"/>
                <w:b/>
                <w:bCs/>
                <w:color w:val="FFFFFF"/>
                <w:sz w:val="21"/>
                <w:szCs w:val="21"/>
              </w:rPr>
              <w:t xml:space="preserve">Lines</w:t>
            </w:r>
          </w:p>
        </w:tc>
        <w:tc>
          <w:tcPr>
            <w:tcW w:type="pct" w:w="15%"/>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spacing w:line="312"/>
            </w:pPr>
            <w:r>
              <w:rPr>
                <w:rFonts w:ascii="Times New Roman" w:eastAsia="Calibri"/>
                <w:b/>
                <w:bCs/>
                <w:color w:val="FFFFFF"/>
                <w:sz w:val="21"/>
                <w:szCs w:val="21"/>
              </w:rPr>
              <w:t xml:space="preserve">Status</w:t>
            </w:r>
          </w:p>
        </w:tc>
        <w:tc>
          <w:tcPr>
            <w:tcW w:type="pct" w:w="50%"/>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spacing w:line="312"/>
            </w:pPr>
            <w:r>
              <w:rPr>
                <w:rFonts w:ascii="Times New Roman" w:eastAsia="Calibri"/>
                <w:b/>
                <w:bCs/>
                <w:color w:val="FFFFFF"/>
                <w:sz w:val="21"/>
                <w:szCs w:val="21"/>
              </w:rPr>
              <w:t xml:space="preserve">Key Observation</w:t>
            </w:r>
          </w:p>
        </w:tc>
      </w:tr>
      <w:tr>
        <w:trPr>
          <w:cantSplit/>
        </w:trPr>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agent.py</w:t>
            </w:r>
          </w:p>
        </w:tc>
        <w:tc>
          <w:tcPr>
            <w:tcW w:type="pct" w:w="1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230</w:t>
            </w:r>
          </w:p>
        </w:tc>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Complete</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Context manager lifecycle fully implemented</w:t>
            </w:r>
          </w:p>
        </w:tc>
      </w:tr>
      <w:tr>
        <w:trPr>
          <w:cantSplit/>
        </w:trPr>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locking.py</w:t>
            </w:r>
          </w:p>
        </w:tc>
        <w:tc>
          <w:tcPr>
            <w:tcW w:type="pct" w:w="1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241</w:t>
            </w:r>
          </w:p>
        </w:tc>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Complete</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Exponential backoff, fcntl/msvcrt cross-platform</w:t>
            </w:r>
          </w:p>
        </w:tc>
      </w:tr>
      <w:tr>
        <w:trPr>
          <w:cantSplit/>
        </w:trPr>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serializers.py</w:t>
            </w:r>
          </w:p>
        </w:tc>
        <w:tc>
          <w:tcPr>
            <w:tcW w:type="pct" w:w="1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289</w:t>
            </w:r>
          </w:p>
        </w:tc>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Complete</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A1/R1C1/Named Range/Table, compiled regex</w:t>
            </w:r>
          </w:p>
        </w:tc>
      </w:tr>
      <w:tr>
        <w:trPr>
          <w:cantSplit/>
        </w:trPr>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dependency.py</w:t>
            </w:r>
          </w:p>
        </w:tc>
        <w:tc>
          <w:tcPr>
            <w:tcW w:type="pct" w:w="1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584</w:t>
            </w:r>
          </w:p>
        </w:tc>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Complete</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Iterative Tarjan's SCC, 10k range cap</w:t>
            </w:r>
          </w:p>
        </w:tc>
      </w:tr>
      <w:tr>
        <w:trPr>
          <w:cantSplit/>
        </w:trPr>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version_hash.py</w:t>
            </w:r>
          </w:p>
        </w:tc>
        <w:tc>
          <w:tcPr>
            <w:tcW w:type="pct" w:w="1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113</w:t>
            </w:r>
          </w:p>
        </w:tc>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Complete</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SHA-256 with file/sheet/workbook hashing</w:t>
            </w:r>
          </w:p>
        </w:tc>
      </w:tr>
      <w:tr>
        <w:trPr>
          <w:cantSplit/>
        </w:trPr>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formula_updater.py</w:t>
            </w:r>
          </w:p>
        </w:tc>
        <w:tc>
          <w:tcPr>
            <w:tcW w:type="pct" w:w="1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344</w:t>
            </w:r>
          </w:p>
        </w:tc>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Bug Found</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$-anchor logic identical in both branches</w:t>
            </w:r>
          </w:p>
        </w:tc>
      </w:tr>
      <w:tr>
        <w:trPr>
          <w:cantSplit/>
        </w:trPr>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chunked_io.py</w:t>
            </w:r>
          </w:p>
        </w:tc>
        <w:tc>
          <w:tcPr>
            <w:tcW w:type="pct" w:w="1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124</w:t>
            </w:r>
          </w:p>
        </w:tc>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Complete</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Generator-based streaming, 10k row default</w:t>
            </w:r>
          </w:p>
        </w:tc>
      </w:tr>
      <w:tr>
        <w:trPr>
          <w:cantSplit/>
        </w:trPr>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type_coercion.py</w:t>
            </w:r>
          </w:p>
        </w:tc>
        <w:tc>
          <w:tcPr>
            <w:tcW w:type="pct" w:w="1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155</w:t>
            </w:r>
          </w:p>
        </w:tc>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Complete</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ISO 8601 detection, bool-before-int ordering</w:t>
            </w:r>
          </w:p>
        </w:tc>
      </w:tr>
      <w:tr>
        <w:trPr>
          <w:cantSplit/>
        </w:trPr>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style_serializer.py</w:t>
            </w:r>
          </w:p>
        </w:tc>
        <w:tc>
          <w:tcPr>
            <w:tcW w:type="pct" w:w="1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119</w:t>
            </w:r>
          </w:p>
        </w:tc>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Complete</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Font/fill/border/alignment normalization</w:t>
            </w:r>
          </w:p>
        </w:tc>
      </w:tr>
      <w:tr>
        <w:trPr>
          <w:cantSplit/>
        </w:trPr>
        <w:tc>
          <w:tcPr>
            <w:tcW w:type="pct" w:w="25%"/>
            <w:tcBorders>
              <w:top w:val="none" w:color="FFFFFF" w:sz="0"/>
              <w:left w:val="none" w:color="FFFFFF" w:sz="0"/>
              <w:bottom w:val="single" w:color="1B6B7A" w:sz="2"/>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__init__.py</w:t>
            </w:r>
          </w:p>
        </w:tc>
        <w:tc>
          <w:tcPr>
            <w:tcW w:type="pct" w:w="10%"/>
            <w:tcBorders>
              <w:top w:val="none" w:color="FFFFFF" w:sz="0"/>
              <w:left w:val="none" w:color="FFFFFF" w:sz="0"/>
              <w:bottom w:val="single" w:color="1B6B7A" w:sz="2"/>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41</w:t>
            </w:r>
          </w:p>
        </w:tc>
        <w:tc>
          <w:tcPr>
            <w:tcW w:type="pct" w:w="15%"/>
            <w:tcBorders>
              <w:top w:val="none" w:color="FFFFFF" w:sz="0"/>
              <w:left w:val="none" w:color="FFFFFF" w:sz="0"/>
              <w:bottom w:val="single" w:color="1B6B7A" w:sz="2"/>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Complete</w:t>
            </w:r>
          </w:p>
        </w:tc>
        <w:tc>
          <w:tcPr>
            <w:tcW w:type="pct" w:w="50%"/>
            <w:tcBorders>
              <w:top w:val="none" w:color="FFFFFF" w:sz="0"/>
              <w:left w:val="none" w:color="FFFFFF" w:sz="0"/>
              <w:bottom w:val="single" w:color="1B6B7A" w:sz="2"/>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v1.0.0, lazy imports, __all__ exports 5 items</w:t>
            </w:r>
          </w:p>
        </w:tc>
      </w:tr>
    </w:tbl>
    <w:p>
      <w:pPr>
        <w:spacing w:after="120" w:line="312"/>
        <w:ind w:firstLine="480"/>
        <w:jc w:val="both"/>
      </w:pPr>
      <w:r>
        <w:rPr>
          <w:rFonts w:ascii="Times New Roman" w:eastAsia="Calibri"/>
          <w:b w:val="false"/>
          <w:bCs w:val="false"/>
          <w:color w:val="000000"/>
          <w:sz w:val="24"/>
          <w:szCs w:val="24"/>
        </w:rPr>
        <w:t xml:space="preserve">The core modules collectively demonstrate strong engineering practices. The dependency tracker's use of iterative Tarjan's algorithm is a noteworthy implementation choice that avoids Python's recursion limit on large dependency graphs. The locking module's cross-platform support through fcntl on Unix and msvcrt on Windows ensures consistent behavior across deployment environments. The type coercion module's decision to evaluate boolean values before integers (bool-before-int ordering) prevents the common pitfall where True/False are silently converted to 1/0, preserving semantic intent. The version hash module's use of SHA-256 with a sha256: prefix provides both collision resistance and unambiguous identification. However, the formula updater's dollar-sign anchor bug, where both the absolute and relative reference branches execute identical logic, represents a correctness issue that would cause incorrect formula adjustment during row or column insertion operations.</w:t>
      </w:r>
    </w:p>
    <w:p>
      <w:pPr>
        <w:pStyle w:val="Heading1"/>
        <w:spacing w:after="200" w:before="360" w:line="312"/>
      </w:pPr>
      <w:bookmarkStart w:id="100007" w:name="_Toc100007"/>
      <w:r>
        <w:rPr>
          <w:rFonts w:ascii="Times New Roman" w:eastAsia="Calibri"/>
          <w:b/>
          <w:bCs/>
          <w:color w:val="000000"/>
          <w:sz w:val="32"/>
          <w:szCs w:val="32"/>
        </w:rPr>
        <w:t xml:space="preserve">5. Governance and Security Assessment</w:t>
      </w:r>
      <w:bookmarkEnd w:id="100007"/>
    </w:p>
    <w:p>
      <w:pPr>
        <w:pStyle w:val="Heading2"/>
        <w:spacing w:after="160" w:before="280" w:line="312"/>
      </w:pPr>
      <w:bookmarkStart w:id="100008" w:name="_Toc100008"/>
      <w:r>
        <w:rPr>
          <w:rFonts w:ascii="Times New Roman" w:eastAsia="Calibri"/>
          <w:b/>
          <w:bCs/>
          <w:color w:val="000000"/>
          <w:sz w:val="28"/>
          <w:szCs w:val="28"/>
        </w:rPr>
        <w:t xml:space="preserve">5.1 Token Management</w:t>
      </w:r>
      <w:bookmarkEnd w:id="100008"/>
    </w:p>
    <w:p>
      <w:pPr>
        <w:spacing w:after="120" w:line="312"/>
        <w:ind w:firstLine="480"/>
        <w:jc w:val="both"/>
      </w:pPr>
      <w:r>
        <w:rPr>
          <w:rFonts w:ascii="Times New Roman" w:eastAsia="Calibri"/>
          <w:b w:val="false"/>
          <w:bCs w:val="false"/>
          <w:color w:val="000000"/>
          <w:sz w:val="24"/>
          <w:szCs w:val="24"/>
        </w:rPr>
        <w:t xml:space="preserve">The token_manager.py module implements HMAC-SHA256 token generation with seven discrete permission scopes, supporting both 300-second and 3,600-second TTL configurations. Tokens include nonce values generated via secrets.token_hex(16), providing replay attack protection through cryptographic randomness. Token comparison uses hmac.compare_digest(), a constant-time comparison function that prevents timing-based side-channel attacks. The implementation appears cryptographically sound for its intended purpose of API access control in agent orchestration scenarios.</w:t>
      </w:r>
    </w:p>
    <w:p>
      <w:pPr>
        <w:spacing w:after="120" w:line="312"/>
        <w:ind w:firstLine="480"/>
        <w:jc w:val="both"/>
      </w:pPr>
      <w:r>
        <w:rPr>
          <w:rFonts w:ascii="Times New Roman" w:eastAsia="Calibri"/>
          <w:b w:val="false"/>
          <w:bCs w:val="false"/>
          <w:color w:val="000000"/>
          <w:sz w:val="24"/>
          <w:szCs w:val="24"/>
        </w:rPr>
        <w:t xml:space="preserve">A significant documentation-code discrepancy was identified in this module. The GOVERNANCE.md documentation describes the token format as a JSON structure, but the actual implementation uses a pipe-delimited string format. This inconsistency between documented specification and implementation behavior creates a reliability risk for consumers who develop against the documentation. Teams integrating with this API may implement parsers expecting JSON tokens, leading to integration failures when they encounter the pipe-delimited format. This finding warrants either a documentation update or a code change to align the implementation with the documented specification.</w:t>
      </w:r>
    </w:p>
    <w:p>
      <w:pPr>
        <w:pStyle w:val="Heading2"/>
        <w:spacing w:after="160" w:before="280" w:line="312"/>
      </w:pPr>
      <w:bookmarkStart w:id="100009" w:name="_Toc100009"/>
      <w:r>
        <w:rPr>
          <w:rFonts w:ascii="Times New Roman" w:eastAsia="Calibri"/>
          <w:b/>
          <w:bCs/>
          <w:color w:val="000000"/>
          <w:sz w:val="28"/>
          <w:szCs w:val="28"/>
        </w:rPr>
        <w:t xml:space="preserve">5.2 Audit Trail</w:t>
      </w:r>
      <w:bookmarkEnd w:id="100009"/>
    </w:p>
    <w:p>
      <w:pPr>
        <w:spacing w:after="120" w:line="312"/>
        <w:ind w:firstLine="480"/>
        <w:jc w:val="both"/>
      </w:pPr>
      <w:r>
        <w:rPr>
          <w:rFonts w:ascii="Times New Roman" w:eastAsia="Calibri"/>
          <w:b w:val="false"/>
          <w:bCs w:val="false"/>
          <w:color w:val="000000"/>
          <w:sz w:val="24"/>
          <w:szCs w:val="24"/>
        </w:rPr>
        <w:t xml:space="preserve">The audit_trail.py module implements a Protocol-based abstraction supporting three backend types: JSONL file-based logging, webhook delivery for external SIEM integration, and a composite backend that fans out events to multiple destinations simultaneously. The Protocol-based design allows additional backends to be implemented without modifying existing code, following the Open/Closed Principle. Each audit event captures sufficient context for forensic analysis, including operation type, target resource, outcome status, and timestamp.</w:t>
      </w:r>
    </w:p>
    <w:p>
      <w:pPr>
        <w:spacing w:after="120" w:line="312"/>
        <w:ind w:firstLine="480"/>
        <w:jc w:val="both"/>
      </w:pPr>
      <w:r>
        <w:rPr>
          <w:rFonts w:ascii="Times New Roman" w:eastAsia="Calibri"/>
          <w:b w:val="false"/>
          <w:bCs w:val="false"/>
          <w:color w:val="000000"/>
          <w:sz w:val="24"/>
          <w:szCs w:val="24"/>
        </w:rPr>
        <w:t xml:space="preserve">A dependency gap was identified: the WebhookAuditBackend implementation imports the requests library, which is not declared in requirements.txt. This means that any deployment attempting to use webhook-based audit logging will encounter an ImportError at runtime. While the JSONL backend functions independently, the missing dependency represents a latent failure mode that could disrupt production audit capabilities. Adding requests to requirements.txt with an appropriate version constraint would resolve this issue.</w:t>
      </w:r>
    </w:p>
    <w:p>
      <w:pPr>
        <w:pStyle w:val="Heading2"/>
        <w:spacing w:after="160" w:before="280" w:line="312"/>
      </w:pPr>
      <w:bookmarkStart w:id="100010" w:name="_Toc100010"/>
      <w:r>
        <w:rPr>
          <w:rFonts w:ascii="Times New Roman" w:eastAsia="Calibri"/>
          <w:b/>
          <w:bCs/>
          <w:color w:val="000000"/>
          <w:sz w:val="28"/>
          <w:szCs w:val="28"/>
        </w:rPr>
        <w:t xml:space="preserve">5.3 Schema Validation</w:t>
      </w:r>
      <w:bookmarkEnd w:id="100010"/>
    </w:p>
    <w:p>
      <w:pPr>
        <w:spacing w:after="120" w:line="312"/>
        <w:ind w:firstLine="480"/>
        <w:jc w:val="both"/>
      </w:pPr>
      <w:r>
        <w:rPr>
          <w:rFonts w:ascii="Times New Roman" w:eastAsia="Calibri"/>
          <w:b w:val="false"/>
          <w:bCs w:val="false"/>
          <w:color w:val="000000"/>
          <w:sz w:val="24"/>
          <w:szCs w:val="24"/>
        </w:rPr>
        <w:t xml:space="preserve">The project includes four JSON Schema files using the Draft 2020-12 specification, covering range_input, write_data, style_spec, and token_request validation. These schemas provide a formal, machine-verifiable contract for tool input validation. The use of JSON Schema enables automated validation pipelines and generates clear, standardized error messages when inputs violate structural or type constraints. The schema coverage encompasses the primary input surfaces of the tool API, though not all tool-specific parameters are covered by these four schemas.</w:t>
      </w:r>
    </w:p>
    <w:p>
      <w:pPr>
        <w:pStyle w:val="Heading1"/>
        <w:spacing w:after="200" w:before="360" w:line="312"/>
      </w:pPr>
      <w:bookmarkStart w:id="100011" w:name="_Toc100011"/>
      <w:r>
        <w:rPr>
          <w:rFonts w:ascii="Times New Roman" w:eastAsia="Calibri"/>
          <w:b/>
          <w:bCs/>
          <w:color w:val="000000"/>
          <w:sz w:val="32"/>
          <w:szCs w:val="32"/>
        </w:rPr>
        <w:t xml:space="preserve">6. Calculation Engine Assessment</w:t>
      </w:r>
      <w:bookmarkEnd w:id="100011"/>
    </w:p>
    <w:p>
      <w:pPr>
        <w:spacing w:after="120" w:line="312"/>
        <w:ind w:firstLine="480"/>
        <w:jc w:val="both"/>
      </w:pPr>
      <w:r>
        <w:rPr>
          <w:rFonts w:ascii="Times New Roman" w:eastAsia="Calibri"/>
          <w:b w:val="false"/>
          <w:bCs w:val="false"/>
          <w:color w:val="000000"/>
          <w:sz w:val="24"/>
          <w:szCs w:val="24"/>
        </w:rPr>
        <w:t xml:space="preserve">The calculation engine implements a two-tier evaluation strategy that balances speed and accuracy. Tier 1, implemented in tier1_engine.py (174 lines), wraps the formulas Python library with XlError detection and circular reference handling. This tier provides fast, in-process formula evaluation suitable for the majority of spreadsheet operations. The integration includes detection of seven Excel error types (DIV/0!, N/A, NAME?, NULL!, NUM!, REF!, VALUE!) through the error_detector.py module, ensuring that calculation failures are properly surfaced rather than silently producing incorrect results.</w:t>
      </w:r>
    </w:p>
    <w:p>
      <w:pPr>
        <w:spacing w:after="120" w:line="312"/>
        <w:ind w:firstLine="480"/>
        <w:jc w:val="both"/>
      </w:pPr>
      <w:r>
        <w:rPr>
          <w:rFonts w:ascii="Times New Roman" w:eastAsia="Calibri"/>
          <w:b w:val="false"/>
          <w:bCs w:val="false"/>
          <w:color w:val="000000"/>
          <w:sz w:val="24"/>
          <w:szCs w:val="24"/>
        </w:rPr>
        <w:t xml:space="preserve">Tier 2, implemented in tier2_libreoffice.py (186 lines), provides a fallback to LibreOffice headless mode for calculations that require the full Excel-compatible calculation chain. This tier creates per-process profiles to avoid profile locking conflicts between concurrent tool invocations and enforces a 120-second timeout to prevent runaway processes. The dual-tier approach is a pragmatic design decision: it avoids the performance overhead of LibreOffice startup for routine calculations while still providing a comprehensive fallback for complex scenarios involving financial functions, array formulas, or cross-worksheet references that the formulas library may not fully support.</w:t>
      </w:r>
    </w:p>
    <w:p>
      <w:pPr>
        <w:spacing w:after="160" w:before="200" w:line="312"/>
        <w:jc w:val="center"/>
      </w:pPr>
      <w:r>
        <w:rPr>
          <w:rFonts w:ascii="Times New Roman" w:eastAsia="Calibri"/>
          <w:i/>
          <w:iCs/>
          <w:color w:val="555555"/>
          <w:sz w:val="21"/>
          <w:szCs w:val="21"/>
        </w:rPr>
        <w:t xml:space="preserve">Table 2: Calculation Engine Tier Comparison</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Layout w:type="fixed"/>
      </w:tblPr>
      <w:tblGrid>
        <w:gridCol w:w="100"/>
        <w:gridCol w:w="100"/>
        <w:gridCol w:w="100"/>
      </w:tblGrid>
      <w:tr>
        <w:trPr>
          <w:tblHeader/>
        </w:trPr>
        <w:tc>
          <w:tcPr>
            <w:tcW w:type="pct" w:w="25%"/>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spacing w:line="312"/>
            </w:pPr>
            <w:r>
              <w:rPr>
                <w:rFonts w:ascii="Times New Roman" w:eastAsia="Calibri"/>
                <w:b/>
                <w:bCs/>
                <w:color w:val="FFFFFF"/>
                <w:sz w:val="21"/>
                <w:szCs w:val="21"/>
              </w:rPr>
              <w:t xml:space="preserve">Characteristic</w:t>
            </w:r>
          </w:p>
        </w:tc>
        <w:tc>
          <w:tcPr>
            <w:tcW w:type="pct" w:w="37%"/>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spacing w:line="312"/>
            </w:pPr>
            <w:r>
              <w:rPr>
                <w:rFonts w:ascii="Times New Roman" w:eastAsia="Calibri"/>
                <w:b/>
                <w:bCs/>
                <w:color w:val="FFFFFF"/>
                <w:sz w:val="21"/>
                <w:szCs w:val="21"/>
              </w:rPr>
              <w:t xml:space="preserve">Tier 1 (formulas)</w:t>
            </w:r>
          </w:p>
        </w:tc>
        <w:tc>
          <w:tcPr>
            <w:tcW w:type="pct" w:w="38%"/>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spacing w:line="312"/>
            </w:pPr>
            <w:r>
              <w:rPr>
                <w:rFonts w:ascii="Times New Roman" w:eastAsia="Calibri"/>
                <w:b/>
                <w:bCs/>
                <w:color w:val="FFFFFF"/>
                <w:sz w:val="21"/>
                <w:szCs w:val="21"/>
              </w:rPr>
              <w:t xml:space="preserve">Tier 2 (LibreOffice)</w:t>
            </w:r>
          </w:p>
        </w:tc>
      </w:tr>
      <w:tr>
        <w:trPr>
          <w:cantSplit/>
        </w:trPr>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Processing</w:t>
            </w:r>
          </w:p>
        </w:tc>
        <w:tc>
          <w:tcPr>
            <w:tcW w:type="pct" w:w="3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In-process Python</w:t>
            </w:r>
          </w:p>
        </w:tc>
        <w:tc>
          <w:tcPr>
            <w:tcW w:type="pct" w:w="3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External process, headless</w:t>
            </w:r>
          </w:p>
        </w:tc>
      </w:tr>
      <w:tr>
        <w:trPr>
          <w:cantSplit/>
        </w:trPr>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Speed</w:t>
            </w:r>
          </w:p>
        </w:tc>
        <w:tc>
          <w:tcPr>
            <w:tcW w:type="pct" w:w="3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Fast (no startup cost)</w:t>
            </w:r>
          </w:p>
        </w:tc>
        <w:tc>
          <w:tcPr>
            <w:tcW w:type="pct" w:w="3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Slow (process spawn + LO startup)</w:t>
            </w:r>
          </w:p>
        </w:tc>
      </w:tr>
      <w:tr>
        <w:trPr>
          <w:cantSplit/>
        </w:trPr>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Formula Coverage</w:t>
            </w:r>
          </w:p>
        </w:tc>
        <w:tc>
          <w:tcPr>
            <w:tcW w:type="pct" w:w="3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Standard formulas library</w:t>
            </w:r>
          </w:p>
        </w:tc>
        <w:tc>
          <w:tcPr>
            <w:tcW w:type="pct" w:w="3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Full Excel-compatible chain</w:t>
            </w:r>
          </w:p>
        </w:tc>
      </w:tr>
      <w:tr>
        <w:trPr>
          <w:cantSplit/>
        </w:trPr>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Error Detection</w:t>
            </w:r>
          </w:p>
        </w:tc>
        <w:tc>
          <w:tcPr>
            <w:tcW w:type="pct" w:w="3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7 Excel error types</w:t>
            </w:r>
          </w:p>
        </w:tc>
        <w:tc>
          <w:tcPr>
            <w:tcW w:type="pct" w:w="3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LibreOffice native handling</w:t>
            </w:r>
          </w:p>
        </w:tc>
      </w:tr>
      <w:tr>
        <w:trPr>
          <w:cantSplit/>
        </w:trPr>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Concurrency</w:t>
            </w:r>
          </w:p>
        </w:tc>
        <w:tc>
          <w:tcPr>
            <w:tcW w:type="pct" w:w="3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Thread-safe (stateless)</w:t>
            </w:r>
          </w:p>
        </w:tc>
        <w:tc>
          <w:tcPr>
            <w:tcW w:type="pct" w:w="3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Per-process profiles required</w:t>
            </w:r>
          </w:p>
        </w:tc>
      </w:tr>
      <w:tr>
        <w:trPr>
          <w:cantSplit/>
        </w:trPr>
        <w:tc>
          <w:tcPr>
            <w:tcW w:type="pct" w:w="2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Timeout</w:t>
            </w:r>
          </w:p>
        </w:tc>
        <w:tc>
          <w:tcPr>
            <w:tcW w:type="pct" w:w="3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None</w:t>
            </w:r>
          </w:p>
        </w:tc>
        <w:tc>
          <w:tcPr>
            <w:tcW w:type="pct" w:w="3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120 seconds configurable</w:t>
            </w:r>
          </w:p>
        </w:tc>
      </w:tr>
      <w:tr>
        <w:trPr>
          <w:cantSplit/>
        </w:trPr>
        <w:tc>
          <w:tcPr>
            <w:tcW w:type="pct" w:w="25%"/>
            <w:tcBorders>
              <w:top w:val="none" w:color="FFFFFF" w:sz="0"/>
              <w:left w:val="none" w:color="FFFFFF" w:sz="0"/>
              <w:bottom w:val="single" w:color="1B6B7A" w:sz="2"/>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External Dependency</w:t>
            </w:r>
          </w:p>
        </w:tc>
        <w:tc>
          <w:tcPr>
            <w:tcW w:type="pct" w:w="37%"/>
            <w:tcBorders>
              <w:top w:val="none" w:color="FFFFFF" w:sz="0"/>
              <w:left w:val="none" w:color="FFFFFF" w:sz="0"/>
              <w:bottom w:val="single" w:color="1B6B7A" w:sz="2"/>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formulas[excel]</w:t>
            </w:r>
          </w:p>
        </w:tc>
        <w:tc>
          <w:tcPr>
            <w:tcW w:type="pct" w:w="38%"/>
            <w:tcBorders>
              <w:top w:val="none" w:color="FFFFFF" w:sz="0"/>
              <w:left w:val="none" w:color="FFFFFF" w:sz="0"/>
              <w:bottom w:val="single" w:color="1B6B7A" w:sz="2"/>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LibreOffice installation</w:t>
            </w:r>
          </w:p>
        </w:tc>
      </w:tr>
    </w:tbl>
    <w:p>
      <w:pPr>
        <w:pStyle w:val="Heading1"/>
        <w:spacing w:after="200" w:before="360" w:line="312"/>
      </w:pPr>
      <w:bookmarkStart w:id="100012" w:name="_Toc100012"/>
      <w:r>
        <w:rPr>
          <w:rFonts w:ascii="Times New Roman" w:eastAsia="Calibri"/>
          <w:b/>
          <w:bCs/>
          <w:color w:val="000000"/>
          <w:sz w:val="32"/>
          <w:szCs w:val="32"/>
        </w:rPr>
        <w:t xml:space="preserve">7. Tool Layer Validation</w:t>
      </w:r>
      <w:bookmarkEnd w:id="100012"/>
    </w:p>
    <w:p>
      <w:pPr>
        <w:pStyle w:val="Heading2"/>
        <w:spacing w:after="160" w:before="280" w:line="312"/>
      </w:pPr>
      <w:bookmarkStart w:id="100013" w:name="_Toc100013"/>
      <w:r>
        <w:rPr>
          <w:rFonts w:ascii="Times New Roman" w:eastAsia="Calibri"/>
          <w:b/>
          <w:bCs/>
          <w:color w:val="000000"/>
          <w:sz w:val="28"/>
          <w:szCs w:val="28"/>
        </w:rPr>
        <w:t xml:space="preserve">7.1 Tool Implementation Inventory</w:t>
      </w:r>
      <w:bookmarkEnd w:id="100013"/>
    </w:p>
    <w:p>
      <w:pPr>
        <w:spacing w:after="120" w:line="312"/>
        <w:ind w:firstLine="480"/>
        <w:jc w:val="both"/>
      </w:pPr>
      <w:r>
        <w:rPr>
          <w:rFonts w:ascii="Times New Roman" w:eastAsia="Calibri"/>
          <w:b w:val="false"/>
          <w:bCs w:val="false"/>
          <w:color w:val="000000"/>
          <w:sz w:val="24"/>
          <w:szCs w:val="24"/>
        </w:rPr>
        <w:t xml:space="preserve">The tool layer consists of individual CLI entry points, each wrapped by the _tool_base.py run_tool() function that provides standardized error handling, JSON-only output, and ExcelAgentError-to-exit-code mapping. Each tool is designed to be invoked independently by an AI agent, accepting parameters via JSON stdin and returning results via JSON stdout. This architecture enables agents to compose complex operations through sequential tool invocations, with each tool maintaining no state between calls.</w:t>
      </w:r>
    </w:p>
    <w:p>
      <w:pPr>
        <w:spacing w:after="120" w:line="312"/>
        <w:ind w:firstLine="480"/>
        <w:jc w:val="both"/>
      </w:pPr>
      <w:r>
        <w:rPr>
          <w:rFonts w:ascii="Times New Roman" w:eastAsia="Calibri"/>
          <w:b w:val="false"/>
          <w:bCs w:val="false"/>
          <w:color w:val="000000"/>
          <w:sz w:val="24"/>
          <w:szCs w:val="24"/>
        </w:rPr>
        <w:t xml:space="preserve">The critical finding in the tool layer is a discrepancy between the claimed and actual tool count. The pyproject.toml declares 53 console script entry points, and project documentation references 53 tools across 10 categories. However, filesystem validation confirms that only 49 tool files exist on disk. Four entry points declared in pyproject.toml reference modules that do not exist: xls_detect_errors, xls_convert_to_values, xls_copy_formula_down, and xls_define_name. These four tools appear in the build configuration as dangling references, meaning that a pip installation would create console scripts that immediately fail with ModuleNotFoundError when invoked.</w:t>
      </w:r>
    </w:p>
    <w:p>
      <w:pPr>
        <w:spacing w:after="160" w:before="200" w:line="312"/>
        <w:jc w:val="center"/>
      </w:pPr>
      <w:r>
        <w:rPr>
          <w:rFonts w:ascii="Times New Roman" w:eastAsia="Calibri"/>
          <w:i/>
          <w:iCs/>
          <w:color w:val="555555"/>
          <w:sz w:val="21"/>
          <w:szCs w:val="21"/>
        </w:rPr>
        <w:t xml:space="preserve">Table 3: Missing Tool Files vs. Declared Entry Points</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Layout w:type="fixed"/>
      </w:tblPr>
      <w:tblGrid>
        <w:gridCol w:w="100"/>
        <w:gridCol w:w="100"/>
        <w:gridCol w:w="100"/>
        <w:gridCol w:w="100"/>
      </w:tblGrid>
      <w:tr>
        <w:trPr>
          <w:tblHeader/>
        </w:trPr>
        <w:tc>
          <w:tcPr>
            <w:tcW w:type="pct" w:w="22%"/>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spacing w:line="312"/>
            </w:pPr>
            <w:r>
              <w:rPr>
                <w:rFonts w:ascii="Times New Roman" w:eastAsia="Calibri"/>
                <w:b/>
                <w:bCs/>
                <w:color w:val="FFFFFF"/>
                <w:sz w:val="21"/>
                <w:szCs w:val="21"/>
              </w:rPr>
              <w:t xml:space="preserve">Declared Tool</w:t>
            </w:r>
          </w:p>
        </w:tc>
        <w:tc>
          <w:tcPr>
            <w:tcW w:type="pct" w:w="40%"/>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spacing w:line="312"/>
            </w:pPr>
            <w:r>
              <w:rPr>
                <w:rFonts w:ascii="Times New Roman" w:eastAsia="Calibri"/>
                <w:b/>
                <w:bCs/>
                <w:color w:val="FFFFFF"/>
                <w:sz w:val="21"/>
                <w:szCs w:val="21"/>
              </w:rPr>
              <w:t xml:space="preserve">Entry Point in pyproject.toml</w:t>
            </w:r>
          </w:p>
        </w:tc>
        <w:tc>
          <w:tcPr>
            <w:tcW w:type="pct" w:w="12%"/>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spacing w:line="312"/>
            </w:pPr>
            <w:r>
              <w:rPr>
                <w:rFonts w:ascii="Times New Roman" w:eastAsia="Calibri"/>
                <w:b/>
                <w:bCs/>
                <w:color w:val="FFFFFF"/>
                <w:sz w:val="21"/>
                <w:szCs w:val="21"/>
              </w:rPr>
              <w:t xml:space="preserve">File Exists</w:t>
            </w:r>
          </w:p>
        </w:tc>
        <w:tc>
          <w:tcPr>
            <w:tcW w:type="pct" w:w="26%"/>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spacing w:line="312"/>
            </w:pPr>
            <w:r>
              <w:rPr>
                <w:rFonts w:ascii="Times New Roman" w:eastAsia="Calibri"/>
                <w:b/>
                <w:bCs/>
                <w:color w:val="FFFFFF"/>
                <w:sz w:val="21"/>
                <w:szCs w:val="21"/>
              </w:rPr>
              <w:t xml:space="preserve">Impact</w:t>
            </w:r>
          </w:p>
        </w:tc>
      </w:tr>
      <w:tr>
        <w:trPr>
          <w:cantSplit/>
        </w:trPr>
        <w:tc>
          <w:tcPr>
            <w:tcW w:type="pct" w:w="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xls_detect_errors</w:t>
            </w:r>
          </w:p>
        </w:tc>
        <w:tc>
          <w:tcPr>
            <w:tcW w:type="pct" w:w="4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xls_detect_errors = excel_agent_tools.formula_tools.xls_detect_errors:main</w:t>
            </w:r>
          </w:p>
        </w:tc>
        <w:tc>
          <w:tcPr>
            <w:tcW w:type="pct" w:w="1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No</w:t>
            </w:r>
          </w:p>
        </w:tc>
        <w:tc>
          <w:tcPr>
            <w:tcW w:type="pct" w:w="26%"/>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Runtime ModuleNotFoundError</w:t>
            </w:r>
          </w:p>
        </w:tc>
      </w:tr>
      <w:tr>
        <w:trPr>
          <w:cantSplit/>
        </w:trPr>
        <w:tc>
          <w:tcPr>
            <w:tcW w:type="pct" w:w="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xls_convert_to_values</w:t>
            </w:r>
          </w:p>
        </w:tc>
        <w:tc>
          <w:tcPr>
            <w:tcW w:type="pct" w:w="4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xls_convert_to_values = excel_agent_tools.formula_tools.xls_convert_to_values:main</w:t>
            </w:r>
          </w:p>
        </w:tc>
        <w:tc>
          <w:tcPr>
            <w:tcW w:type="pct" w:w="1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No</w:t>
            </w:r>
          </w:p>
        </w:tc>
        <w:tc>
          <w:tcPr>
            <w:tcW w:type="pct" w:w="26%"/>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Runtime ModuleNotFoundError</w:t>
            </w:r>
          </w:p>
        </w:tc>
      </w:tr>
      <w:tr>
        <w:trPr>
          <w:cantSplit/>
        </w:trPr>
        <w:tc>
          <w:tcPr>
            <w:tcW w:type="pct" w:w="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xls_copy_formula_down</w:t>
            </w:r>
          </w:p>
        </w:tc>
        <w:tc>
          <w:tcPr>
            <w:tcW w:type="pct" w:w="4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xls_copy_formula_down = excel_agent_tools.formula_tools.xls_copy_formula_down:main</w:t>
            </w:r>
          </w:p>
        </w:tc>
        <w:tc>
          <w:tcPr>
            <w:tcW w:type="pct" w:w="1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No</w:t>
            </w:r>
          </w:p>
        </w:tc>
        <w:tc>
          <w:tcPr>
            <w:tcW w:type="pct" w:w="26%"/>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Runtime ModuleNotFoundError</w:t>
            </w:r>
          </w:p>
        </w:tc>
      </w:tr>
      <w:tr>
        <w:trPr>
          <w:cantSplit/>
        </w:trPr>
        <w:tc>
          <w:tcPr>
            <w:tcW w:type="pct" w:w="22%"/>
            <w:tcBorders>
              <w:top w:val="none" w:color="FFFFFF" w:sz="0"/>
              <w:left w:val="none" w:color="FFFFFF" w:sz="0"/>
              <w:bottom w:val="single" w:color="1B6B7A" w:sz="2"/>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xls_define_name</w:t>
            </w:r>
          </w:p>
        </w:tc>
        <w:tc>
          <w:tcPr>
            <w:tcW w:type="pct" w:w="40%"/>
            <w:tcBorders>
              <w:top w:val="none" w:color="FFFFFF" w:sz="0"/>
              <w:left w:val="none" w:color="FFFFFF" w:sz="0"/>
              <w:bottom w:val="single" w:color="1B6B7A" w:sz="2"/>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xls_define_name = excel_agent_tools.formula_tools.xls_define_name:main</w:t>
            </w:r>
          </w:p>
        </w:tc>
        <w:tc>
          <w:tcPr>
            <w:tcW w:type="pct" w:w="12%"/>
            <w:tcBorders>
              <w:top w:val="none" w:color="FFFFFF" w:sz="0"/>
              <w:left w:val="none" w:color="FFFFFF" w:sz="0"/>
              <w:bottom w:val="single" w:color="1B6B7A" w:sz="2"/>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No</w:t>
            </w:r>
          </w:p>
        </w:tc>
        <w:tc>
          <w:tcPr>
            <w:tcW w:type="pct" w:w="26%"/>
            <w:tcBorders>
              <w:top w:val="none" w:color="FFFFFF" w:sz="0"/>
              <w:left w:val="none" w:color="FFFFFF" w:sz="0"/>
              <w:bottom w:val="single" w:color="1B6B7A" w:sz="2"/>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Runtime ModuleNotFoundError</w:t>
            </w:r>
          </w:p>
        </w:tc>
      </w:tr>
    </w:tbl>
    <w:p>
      <w:pPr>
        <w:spacing w:after="120" w:line="312"/>
        <w:ind w:firstLine="480"/>
        <w:jc w:val="both"/>
      </w:pPr>
      <w:r>
        <w:rPr>
          <w:rFonts w:ascii="Times New Roman" w:eastAsia="Calibri"/>
          <w:b w:val="false"/>
          <w:bCs w:val="false"/>
          <w:color w:val="000000"/>
          <w:sz w:val="24"/>
          <w:szCs w:val="24"/>
        </w:rPr>
        <w:t xml:space="preserve">These four missing tools are all classified under the formula tools category, which suggests they may have been planned but not yet implemented, or their implementation files may have been accidentally excluded from the source distribution. The consistency of their absence within a single category points toward a development workflow gap rather than random file loss. Regardless of cause, the presence of dangling entry points in the build configuration undermines the project's v1.0.0 stability claims and would cause immediate failures in any automated tool discovery process.</w:t>
      </w:r>
    </w:p>
    <w:p>
      <w:pPr>
        <w:pStyle w:val="Heading1"/>
        <w:spacing w:after="200" w:before="360" w:line="312"/>
      </w:pPr>
      <w:bookmarkStart w:id="100014" w:name="_Toc100014"/>
      <w:r>
        <w:rPr>
          <w:rFonts w:ascii="Times New Roman" w:eastAsia="Calibri"/>
          <w:b/>
          <w:bCs/>
          <w:color w:val="000000"/>
          <w:sz w:val="32"/>
          <w:szCs w:val="32"/>
        </w:rPr>
        <w:t xml:space="preserve">8. Test Infrastructure Assessment</w:t>
      </w:r>
      <w:bookmarkEnd w:id="100014"/>
    </w:p>
    <w:p>
      <w:pPr>
        <w:spacing w:after="120" w:line="312"/>
        <w:ind w:firstLine="480"/>
        <w:jc w:val="both"/>
      </w:pPr>
      <w:r>
        <w:rPr>
          <w:rFonts w:ascii="Times New Roman" w:eastAsia="Calibri"/>
          <w:b w:val="false"/>
          <w:bCs w:val="false"/>
          <w:color w:val="000000"/>
          <w:sz w:val="24"/>
          <w:szCs w:val="24"/>
        </w:rPr>
        <w:t xml:space="preserve">The test infrastructure comprises 20 unit test files, 9 integration test files, 1 property-based test file, and 1 performance test directory. This distribution indicates a strong emphasis on unit testing, with integration tests providing end-to-end validation of tool workflows. The property-based test file suggests the use of hypothesis or a similar framework for fuzz testing input validation, which is a valuable practice for detecting edge cases that manual test case design may miss. The performance test directory, while present, is noted as empty, indicating that performance benchmarking has not yet been established.</w:t>
      </w:r>
    </w:p>
    <w:p>
      <w:pPr>
        <w:spacing w:after="120" w:line="312"/>
        <w:ind w:firstLine="480"/>
        <w:jc w:val="both"/>
      </w:pPr>
      <w:r>
        <w:rPr>
          <w:rFonts w:ascii="Times New Roman" w:eastAsia="Calibri"/>
          <w:b w:val="false"/>
          <w:bCs w:val="false"/>
          <w:color w:val="000000"/>
          <w:sz w:val="24"/>
          <w:szCs w:val="24"/>
        </w:rPr>
        <w:t xml:space="preserve">The conftest.py fixture infrastructure defines 10 reusable test fixtures: sample_workbook, empty_workbook, formula_workbook, circular_ref_workbook, large_workbook, styled_workbook, work_dir, output_dir, macro_workbook, and clean_workbook. These fixtures cover a comprehensive range of workbook scenarios including formulas, circular references, large datasets, styled cells, and macro-enabled files. The fixture design suggests thorough test isolation through per-test directory management (work_dir, output_dir, clean_workbook), which prevents test interdependency and enables parallel test execution.</w:t>
      </w:r>
    </w:p>
    <w:p>
      <w:pPr>
        <w:spacing w:after="120" w:line="312"/>
        <w:ind w:firstLine="480"/>
        <w:jc w:val="both"/>
      </w:pPr>
      <w:r>
        <w:rPr>
          <w:rFonts w:ascii="Times New Roman" w:eastAsia="Calibri"/>
          <w:b w:val="false"/>
          <w:bCs w:val="false"/>
          <w:color w:val="000000"/>
          <w:sz w:val="24"/>
          <w:szCs w:val="24"/>
        </w:rPr>
        <w:t xml:space="preserve">While the test infrastructure appears well-structured, several observations are worth noting. The ratio of 20 unit tests to 49 tools suggests that some tools may lack direct unit test coverage, relying instead on integration tests for validation. The empty performance test directory represents a gap in non-functional testing that should be addressed for production readiness, particularly given the 10,000-row chunk size in the I/O layer and the 10,000-range cap in the dependency tracker. The absence of explicit code coverage metrics makes it difficult to assess the true test coverage percentage.</w:t>
      </w:r>
    </w:p>
    <w:p>
      <w:pPr>
        <w:pStyle w:val="Heading1"/>
        <w:spacing w:after="200" w:before="360" w:line="312"/>
      </w:pPr>
      <w:bookmarkStart w:id="100015" w:name="_Toc100015"/>
      <w:r>
        <w:rPr>
          <w:rFonts w:ascii="Times New Roman" w:eastAsia="Calibri"/>
          <w:b/>
          <w:bCs/>
          <w:color w:val="000000"/>
          <w:sz w:val="32"/>
          <w:szCs w:val="32"/>
        </w:rPr>
        <w:t xml:space="preserve">9. Critical Findings and Discrepancies</w:t>
      </w:r>
      <w:bookmarkEnd w:id="100015"/>
    </w:p>
    <w:p>
      <w:pPr>
        <w:pStyle w:val="Heading2"/>
        <w:spacing w:after="160" w:before="280" w:line="312"/>
      </w:pPr>
      <w:bookmarkStart w:id="100016" w:name="_Toc100016"/>
      <w:r>
        <w:rPr>
          <w:rFonts w:ascii="Times New Roman" w:eastAsia="Calibri"/>
          <w:b/>
          <w:bCs/>
          <w:color w:val="000000"/>
          <w:sz w:val="28"/>
          <w:szCs w:val="28"/>
        </w:rPr>
        <w:t xml:space="preserve">9.1 Finding 1: Tool Count Discrepancy</w:t>
      </w:r>
      <w:bookmarkEnd w:id="100016"/>
    </w:p>
    <w:p>
      <w:pPr>
        <w:spacing w:after="120" w:line="312"/>
        <w:ind w:firstLine="480"/>
        <w:jc w:val="both"/>
      </w:pPr>
      <w:r>
        <w:rPr>
          <w:rFonts w:ascii="Times New Roman" w:eastAsia="Calibri"/>
          <w:b w:val="false"/>
          <w:bCs w:val="false"/>
          <w:color w:val="000000"/>
          <w:sz w:val="24"/>
          <w:szCs w:val="24"/>
        </w:rPr>
        <w:t xml:space="preserve">The most significant finding is the quantitative gap between claimed and actual tool availability. The project documentation and pyproject.toml consistently reference 53 tools, but only 49 are implementable. This 7.5% shortfall affects the formula tools category specifically and creates a trust deficit in the project's completeness claims. For AI agent consumers that dynamically discover available tools by enumerating entry points, the four dangling scripts represent a reliability hazard: agents that attempt to use these tools will receive opaque ModuleNotFoundError exceptions rather than meaningful feedback about tool unavailability.</w:t>
      </w:r>
    </w:p>
    <w:p>
      <w:pPr>
        <w:pStyle w:val="Heading2"/>
        <w:spacing w:after="160" w:before="280" w:line="312"/>
      </w:pPr>
      <w:bookmarkStart w:id="100017" w:name="_Toc100017"/>
      <w:r>
        <w:rPr>
          <w:rFonts w:ascii="Times New Roman" w:eastAsia="Calibri"/>
          <w:b/>
          <w:bCs/>
          <w:color w:val="000000"/>
          <w:sz w:val="28"/>
          <w:szCs w:val="28"/>
        </w:rPr>
        <w:t xml:space="preserve">9.2 Finding 2: Token Format Documentation Mismatch</w:t>
      </w:r>
      <w:bookmarkEnd w:id="100017"/>
    </w:p>
    <w:p>
      <w:pPr>
        <w:spacing w:after="120" w:line="312"/>
        <w:ind w:firstLine="480"/>
        <w:jc w:val="both"/>
      </w:pPr>
      <w:r>
        <w:rPr>
          <w:rFonts w:ascii="Times New Roman" w:eastAsia="Calibri"/>
          <w:b w:val="false"/>
          <w:bCs w:val="false"/>
          <w:color w:val="000000"/>
          <w:sz w:val="24"/>
          <w:szCs w:val="24"/>
        </w:rPr>
        <w:t xml:space="preserve">The governance documentation (GOVERNANCE.md) describes the authentication token format as JSON, but the token_manager.py implementation produces pipe-delimited strings. This type mismatch is a documentation fidelity issue that can cause integration failures. Consumer systems that parse tokens according to the documented JSON format will fail to extract scope, expiry, and nonce fields from the actual pipe-delimited format. This finding does not represent a security vulnerability, as the underlying HMAC-SHA256 cryptographic operations remain sound regardless of token serialization format, but it does represent a significant operational risk for teams developing against the published API documentation.</w:t>
      </w:r>
    </w:p>
    <w:p>
      <w:pPr>
        <w:pStyle w:val="Heading2"/>
        <w:spacing w:after="160" w:before="280" w:line="312"/>
      </w:pPr>
      <w:bookmarkStart w:id="100018" w:name="_Toc100018"/>
      <w:r>
        <w:rPr>
          <w:rFonts w:ascii="Times New Roman" w:eastAsia="Calibri"/>
          <w:b/>
          <w:bCs/>
          <w:color w:val="000000"/>
          <w:sz w:val="28"/>
          <w:szCs w:val="28"/>
        </w:rPr>
        <w:t xml:space="preserve">9.3 Finding 3: Missing Dependency Declaration</w:t>
      </w:r>
      <w:bookmarkEnd w:id="100018"/>
    </w:p>
    <w:p>
      <w:pPr>
        <w:spacing w:after="120" w:line="312"/>
        <w:ind w:firstLine="480"/>
        <w:jc w:val="both"/>
      </w:pPr>
      <w:r>
        <w:rPr>
          <w:rFonts w:ascii="Times New Roman" w:eastAsia="Calibri"/>
          <w:b w:val="false"/>
          <w:bCs w:val="false"/>
          <w:color w:val="000000"/>
          <w:sz w:val="24"/>
          <w:szCs w:val="24"/>
        </w:rPr>
        <w:t xml:space="preserve">The audit_trail.py WebhookAuditBackend imports the requests library, which is absent from requirements.txt. This omission means that webhook-based audit logging will fail at runtime with an ImportError. While the JSONL and composite backends remain functional, any deployment configuration that enables webhook audit delivery will be broken. The root cause is likely an oversight during development when the webhook backend was added after the initial requirements.txt was finalized. This type of dependency gap is particularly insidious because it only manifests at runtime when the specific code path is exercised, potentially escaping detection during testing if webhook audit is not part of the standard test suite.</w:t>
      </w:r>
    </w:p>
    <w:p>
      <w:pPr>
        <w:pStyle w:val="Heading2"/>
        <w:spacing w:after="160" w:before="280" w:line="312"/>
      </w:pPr>
      <w:bookmarkStart w:id="100019" w:name="_Toc100019"/>
      <w:r>
        <w:rPr>
          <w:rFonts w:ascii="Times New Roman" w:eastAsia="Calibri"/>
          <w:b/>
          <w:bCs/>
          <w:color w:val="000000"/>
          <w:sz w:val="28"/>
          <w:szCs w:val="28"/>
        </w:rPr>
        <w:t xml:space="preserve">9.4 Finding 4: Formula Updater Dollar-Sign Bug</w:t>
      </w:r>
      <w:bookmarkEnd w:id="100019"/>
    </w:p>
    <w:p>
      <w:pPr>
        <w:spacing w:after="120" w:line="312"/>
        <w:ind w:firstLine="480"/>
        <w:jc w:val="both"/>
      </w:pPr>
      <w:r>
        <w:rPr>
          <w:rFonts w:ascii="Times New Roman" w:eastAsia="Calibri"/>
          <w:b w:val="false"/>
          <w:bCs w:val="false"/>
          <w:color w:val="000000"/>
          <w:sz w:val="24"/>
          <w:szCs w:val="24"/>
        </w:rPr>
        <w:t xml:space="preserve">The formula_updater.py module contains a logic bug in its dollar-sign anchor handling. During row and column reference shifting operations (such as those triggered by insertions or deletions), the code is intended to differentiate between absolute references (with $ anchors) and relative references. However, both conditional branches execute identical logic, meaning that absolute references are incorrectly modified as if they were relative. This bug would cause formulas containing $A$1, $A1, or A$1 references to be corrupted when rows or columns are inserted or deleted above or to the left of those references. The impact severity depends on usage patterns: workbooks that heavily use mixed absolute-relative references in formulas would be most affected.</w:t>
      </w:r>
    </w:p>
    <w:p>
      <w:pPr>
        <w:pStyle w:val="Heading1"/>
        <w:spacing w:after="200" w:before="360" w:line="312"/>
      </w:pPr>
      <w:bookmarkStart w:id="100020" w:name="_Toc100020"/>
      <w:r>
        <w:rPr>
          <w:rFonts w:ascii="Times New Roman" w:eastAsia="Calibri"/>
          <w:b/>
          <w:bCs/>
          <w:color w:val="000000"/>
          <w:sz w:val="32"/>
          <w:szCs w:val="32"/>
        </w:rPr>
        <w:t xml:space="preserve">10. Risk Assessment Matrix</w:t>
      </w:r>
      <w:bookmarkEnd w:id="100020"/>
    </w:p>
    <w:p>
      <w:pPr>
        <w:spacing w:after="120" w:line="312"/>
        <w:ind w:firstLine="480"/>
        <w:jc w:val="both"/>
      </w:pPr>
      <w:r>
        <w:rPr>
          <w:rFonts w:ascii="Times New Roman" w:eastAsia="Calibri"/>
          <w:b w:val="false"/>
          <w:bCs w:val="false"/>
          <w:color w:val="000000"/>
          <w:sz w:val="24"/>
          <w:szCs w:val="24"/>
        </w:rPr>
        <w:t xml:space="preserve">The following risk matrix categorizes each identified finding by severity and likelihood, providing a structured basis for prioritizing remediation efforts. Severity reflects the potential impact on system reliability, data integrity, or operational continuity. Likelihood estimates the probability of the issue manifesting in a production environment based on typical usage patterns.</w:t>
      </w:r>
    </w:p>
    <w:p>
      <w:pPr>
        <w:spacing w:after="160" w:before="200" w:line="312"/>
        <w:jc w:val="center"/>
      </w:pPr>
      <w:r>
        <w:rPr>
          <w:rFonts w:ascii="Times New Roman" w:eastAsia="Calibri"/>
          <w:i/>
          <w:iCs/>
          <w:color w:val="555555"/>
          <w:sz w:val="21"/>
          <w:szCs w:val="21"/>
        </w:rPr>
        <w:t xml:space="preserve">Table 4: Risk Assessment Matrix</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Layout w:type="fixed"/>
      </w:tblPr>
      <w:tblGrid>
        <w:gridCol w:w="100"/>
        <w:gridCol w:w="100"/>
        <w:gridCol w:w="100"/>
        <w:gridCol w:w="100"/>
        <w:gridCol w:w="100"/>
      </w:tblGrid>
      <w:tr>
        <w:trPr>
          <w:tblHeader/>
        </w:trPr>
        <w:tc>
          <w:tcPr>
            <w:tcW w:type="pct" w:w="24%"/>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spacing w:line="312"/>
            </w:pPr>
            <w:r>
              <w:rPr>
                <w:rFonts w:ascii="Times New Roman" w:eastAsia="Calibri"/>
                <w:b/>
                <w:bCs/>
                <w:color w:val="FFFFFF"/>
                <w:sz w:val="21"/>
                <w:szCs w:val="21"/>
              </w:rPr>
              <w:t xml:space="preserve">Finding</w:t>
            </w:r>
          </w:p>
        </w:tc>
        <w:tc>
          <w:tcPr>
            <w:tcW w:type="pct" w:w="12%"/>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spacing w:line="312"/>
            </w:pPr>
            <w:r>
              <w:rPr>
                <w:rFonts w:ascii="Times New Roman" w:eastAsia="Calibri"/>
                <w:b/>
                <w:bCs/>
                <w:color w:val="FFFFFF"/>
                <w:sz w:val="21"/>
                <w:szCs w:val="21"/>
              </w:rPr>
              <w:t xml:space="preserve">Severity</w:t>
            </w:r>
          </w:p>
        </w:tc>
        <w:tc>
          <w:tcPr>
            <w:tcW w:type="pct" w:w="12%"/>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spacing w:line="312"/>
            </w:pPr>
            <w:r>
              <w:rPr>
                <w:rFonts w:ascii="Times New Roman" w:eastAsia="Calibri"/>
                <w:b/>
                <w:bCs/>
                <w:color w:val="FFFFFF"/>
                <w:sz w:val="21"/>
                <w:szCs w:val="21"/>
              </w:rPr>
              <w:t xml:space="preserve">Likelihood</w:t>
            </w:r>
          </w:p>
        </w:tc>
        <w:tc>
          <w:tcPr>
            <w:tcW w:type="pct" w:w="14%"/>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spacing w:line="312"/>
            </w:pPr>
            <w:r>
              <w:rPr>
                <w:rFonts w:ascii="Times New Roman" w:eastAsia="Calibri"/>
                <w:b/>
                <w:bCs/>
                <w:color w:val="FFFFFF"/>
                <w:sz w:val="21"/>
                <w:szCs w:val="21"/>
              </w:rPr>
              <w:t xml:space="preserve">Risk Level</w:t>
            </w:r>
          </w:p>
        </w:tc>
        <w:tc>
          <w:tcPr>
            <w:tcW w:type="pct" w:w="38%"/>
            <w:tcBorders>
              <w:top w:val="single" w:color="1B6B7A" w:sz="2"/>
              <w:left w:val="none" w:color="FFFFFF" w:sz="0"/>
              <w:bottom w:val="single" w:color="1B6B7A" w:sz="2"/>
              <w:right w:val="none" w:color="FFFFFF" w:sz="0"/>
            </w:tcBorders>
            <w:shd w:fill="1B6B7A" w:val="clear"/>
            <w:tcMar>
              <w:top w:type="dxa" w:w="60"/>
              <w:left w:type="dxa" w:w="120"/>
              <w:bottom w:type="dxa" w:w="60"/>
              <w:right w:type="dxa" w:w="120"/>
            </w:tcMar>
          </w:tcPr>
          <w:p>
            <w:pPr>
              <w:spacing w:line="312"/>
            </w:pPr>
            <w:r>
              <w:rPr>
                <w:rFonts w:ascii="Times New Roman" w:eastAsia="Calibri"/>
                <w:b/>
                <w:bCs/>
                <w:color w:val="FFFFFF"/>
                <w:sz w:val="21"/>
                <w:szCs w:val="21"/>
              </w:rPr>
              <w:t xml:space="preserve">Recommended Action</w:t>
            </w:r>
          </w:p>
        </w:tc>
      </w:tr>
      <w:tr>
        <w:trPr>
          <w:cantSplit/>
        </w:trPr>
        <w:tc>
          <w:tcPr>
            <w:tcW w:type="pct" w:w="2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Tool count discrepancy (4 missing)</w:t>
            </w:r>
          </w:p>
        </w:tc>
        <w:tc>
          <w:tcPr>
            <w:tcW w:type="pct" w:w="1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Medium</w:t>
            </w:r>
          </w:p>
        </w:tc>
        <w:tc>
          <w:tcPr>
            <w:tcW w:type="pct" w:w="1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High</w:t>
            </w:r>
          </w:p>
        </w:tc>
        <w:tc>
          <w:tcPr>
            <w:tcW w:type="pct" w:w="1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High</w:t>
            </w:r>
          </w:p>
        </w:tc>
        <w:tc>
          <w:tcPr>
            <w:tcW w:type="pct" w:w="3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Implement or remove dangling entry points</w:t>
            </w:r>
          </w:p>
        </w:tc>
      </w:tr>
      <w:tr>
        <w:trPr>
          <w:cantSplit/>
        </w:trPr>
        <w:tc>
          <w:tcPr>
            <w:tcW w:type="pct" w:w="2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$-anchor logic bug in formula_updater</w:t>
            </w:r>
          </w:p>
        </w:tc>
        <w:tc>
          <w:tcPr>
            <w:tcW w:type="pct" w:w="1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High</w:t>
            </w:r>
          </w:p>
        </w:tc>
        <w:tc>
          <w:tcPr>
            <w:tcW w:type="pct" w:w="1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Medium</w:t>
            </w:r>
          </w:p>
        </w:tc>
        <w:tc>
          <w:tcPr>
            <w:tcW w:type="pct" w:w="1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High</w:t>
            </w:r>
          </w:p>
        </w:tc>
        <w:tc>
          <w:tcPr>
            <w:tcW w:type="pct" w:w="3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Fix conditional branch differentiation</w:t>
            </w:r>
          </w:p>
        </w:tc>
      </w:tr>
      <w:tr>
        <w:trPr>
          <w:cantSplit/>
        </w:trPr>
        <w:tc>
          <w:tcPr>
            <w:tcW w:type="pct" w:w="2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Token format doc mismatch</w:t>
            </w:r>
          </w:p>
        </w:tc>
        <w:tc>
          <w:tcPr>
            <w:tcW w:type="pct" w:w="1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Medium</w:t>
            </w:r>
          </w:p>
        </w:tc>
        <w:tc>
          <w:tcPr>
            <w:tcW w:type="pct" w:w="1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High</w:t>
            </w:r>
          </w:p>
        </w:tc>
        <w:tc>
          <w:tcPr>
            <w:tcW w:type="pct" w:w="1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High</w:t>
            </w:r>
          </w:p>
        </w:tc>
        <w:tc>
          <w:tcPr>
            <w:tcW w:type="pct" w:w="3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Update docs or align code to spec</w:t>
            </w:r>
          </w:p>
        </w:tc>
      </w:tr>
      <w:tr>
        <w:trPr>
          <w:cantSplit/>
        </w:trPr>
        <w:tc>
          <w:tcPr>
            <w:tcW w:type="pct" w:w="2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Missing requests dependency</w:t>
            </w:r>
          </w:p>
        </w:tc>
        <w:tc>
          <w:tcPr>
            <w:tcW w:type="pct" w:w="1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Medium</w:t>
            </w:r>
          </w:p>
        </w:tc>
        <w:tc>
          <w:tcPr>
            <w:tcW w:type="pct" w:w="1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Medium</w:t>
            </w:r>
          </w:p>
        </w:tc>
        <w:tc>
          <w:tcPr>
            <w:tcW w:type="pct" w:w="1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Medium</w:t>
            </w:r>
          </w:p>
        </w:tc>
        <w:tc>
          <w:tcPr>
            <w:tcW w:type="pct" w:w="3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Add requests to requirements.txt</w:t>
            </w:r>
          </w:p>
        </w:tc>
      </w:tr>
      <w:tr>
        <w:trPr>
          <w:cantSplit/>
        </w:trPr>
        <w:tc>
          <w:tcPr>
            <w:tcW w:type="pct" w:w="24%"/>
            <w:tcBorders>
              <w:top w:val="none" w:color="FFFFFF" w:sz="0"/>
              <w:left w:val="none" w:color="FFFFFF" w:sz="0"/>
              <w:bottom w:val="single" w:color="1B6B7A" w:sz="2"/>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Empty performance test dir</w:t>
            </w:r>
          </w:p>
        </w:tc>
        <w:tc>
          <w:tcPr>
            <w:tcW w:type="pct" w:w="12%"/>
            <w:tcBorders>
              <w:top w:val="none" w:color="FFFFFF" w:sz="0"/>
              <w:left w:val="none" w:color="FFFFFF" w:sz="0"/>
              <w:bottom w:val="single" w:color="1B6B7A" w:sz="2"/>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Low</w:t>
            </w:r>
          </w:p>
        </w:tc>
        <w:tc>
          <w:tcPr>
            <w:tcW w:type="pct" w:w="12%"/>
            <w:tcBorders>
              <w:top w:val="none" w:color="FFFFFF" w:sz="0"/>
              <w:left w:val="none" w:color="FFFFFF" w:sz="0"/>
              <w:bottom w:val="single" w:color="1B6B7A" w:sz="2"/>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Low</w:t>
            </w:r>
          </w:p>
        </w:tc>
        <w:tc>
          <w:tcPr>
            <w:tcW w:type="pct" w:w="14%"/>
            <w:tcBorders>
              <w:top w:val="none" w:color="FFFFFF" w:sz="0"/>
              <w:left w:val="none" w:color="FFFFFF" w:sz="0"/>
              <w:bottom w:val="single" w:color="1B6B7A" w:sz="2"/>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Low</w:t>
            </w:r>
          </w:p>
        </w:tc>
        <w:tc>
          <w:tcPr>
            <w:tcW w:type="pct" w:w="38%"/>
            <w:tcBorders>
              <w:top w:val="none" w:color="FFFFFF" w:sz="0"/>
              <w:left w:val="none" w:color="FFFFFF" w:sz="0"/>
              <w:bottom w:val="single" w:color="1B6B7A" w:sz="2"/>
              <w:right w:val="none" w:color="FFFFFF" w:sz="0"/>
            </w:tcBorders>
            <w:tcMar>
              <w:top w:type="dxa" w:w="60"/>
              <w:left w:type="dxa" w:w="120"/>
              <w:bottom w:type="dxa" w:w="60"/>
              <w:right w:type="dxa" w:w="120"/>
            </w:tcMar>
          </w:tcPr>
          <w:p>
            <w:pPr>
              <w:spacing w:line="312"/>
            </w:pPr>
            <w:r>
              <w:rPr>
                <w:rFonts w:ascii="Times New Roman" w:eastAsia="Calibri"/>
                <w:color w:val="000000"/>
                <w:sz w:val="21"/>
                <w:szCs w:val="21"/>
              </w:rPr>
              <w:t xml:space="preserve">Establish performance benchmarks</w:t>
            </w:r>
          </w:p>
        </w:tc>
      </w:tr>
    </w:tbl>
    <w:p>
      <w:pPr>
        <w:spacing w:after="120" w:line="312"/>
        <w:ind w:firstLine="480"/>
        <w:jc w:val="both"/>
      </w:pPr>
      <w:r>
        <w:rPr>
          <w:rFonts w:ascii="Times New Roman" w:eastAsia="Calibri"/>
          <w:b w:val="false"/>
          <w:bCs w:val="false"/>
          <w:color w:val="000000"/>
          <w:sz w:val="24"/>
          <w:szCs w:val="24"/>
        </w:rPr>
        <w:t xml:space="preserve">Two findings are classified as High risk: the dollar-sign anchor bug and the tool count discrepancy. The anchor bug poses a direct data integrity risk because it silently corrupts formulas, and the corruption may not be immediately visible to users. The tool count discrepancy carries high likelihood because any standard installation will expose the dangling entry points, and the resulting ModuleNotFoundError provides poor diagnostic information. The token format mismatch is classified as High due to its high likelihood of causing integration failures for teams following the documentation. The missing dependency is Medium risk because it only affects webhook audit deployments. The empty performance directory is Low risk, representing a gap in observability rather than a functional defect.</w:t>
      </w:r>
    </w:p>
    <w:p>
      <w:pPr>
        <w:pStyle w:val="Heading1"/>
        <w:spacing w:after="200" w:before="360" w:line="312"/>
      </w:pPr>
      <w:bookmarkStart w:id="100021" w:name="_Toc100021"/>
      <w:r>
        <w:rPr>
          <w:rFonts w:ascii="Times New Roman" w:eastAsia="Calibri"/>
          <w:b/>
          <w:bCs/>
          <w:color w:val="000000"/>
          <w:sz w:val="32"/>
          <w:szCs w:val="32"/>
        </w:rPr>
        <w:t xml:space="preserve">11. Strategic Recommendations</w:t>
      </w:r>
      <w:bookmarkEnd w:id="100021"/>
    </w:p>
    <w:p>
      <w:pPr>
        <w:pStyle w:val="Heading2"/>
        <w:spacing w:after="160" w:before="280" w:line="312"/>
      </w:pPr>
      <w:bookmarkStart w:id="100022" w:name="_Toc100022"/>
      <w:r>
        <w:rPr>
          <w:rFonts w:ascii="Times New Roman" w:eastAsia="Calibri"/>
          <w:b/>
          <w:bCs/>
          <w:color w:val="000000"/>
          <w:sz w:val="28"/>
          <w:szCs w:val="28"/>
        </w:rPr>
        <w:t xml:space="preserve">11.1 Immediate Remediation (Sprint 1)</w:t>
      </w:r>
      <w:bookmarkEnd w:id="100022"/>
    </w:p>
    <w:p>
      <w:pPr>
        <w:spacing w:after="120" w:line="312"/>
        <w:ind w:firstLine="480"/>
        <w:jc w:val="both"/>
      </w:pPr>
      <w:r>
        <w:rPr>
          <w:rFonts w:ascii="Times New Roman" w:eastAsia="Calibri"/>
          <w:b w:val="false"/>
          <w:bCs w:val="false"/>
          <w:color w:val="000000"/>
          <w:sz w:val="24"/>
          <w:szCs w:val="24"/>
        </w:rPr>
        <w:t xml:space="preserve">The highest-priority action is to resolve the formula_updater.py dollar-sign anchor bug. This requires correcting the conditional logic so that absolute references (containing $ prefixes on row or column components) are preserved during reference shifting while relative references are correctly adjusted. The fix should be validated with comprehensive test cases covering all four reference modes: fully relative (A1), fully absolute ($A$1), row-absolute (A$1), and column-absolute ($A1). Additionally, the four dangling entry points in pyproject.toml should be removed immediately to prevent runtime failures, with a parallel decision on whether to implement the missing formula tools in a subsequent sprint.</w:t>
      </w:r>
    </w:p>
    <w:p>
      <w:pPr>
        <w:pStyle w:val="Heading2"/>
        <w:spacing w:after="160" w:before="280" w:line="312"/>
      </w:pPr>
      <w:bookmarkStart w:id="100023" w:name="_Toc100023"/>
      <w:r>
        <w:rPr>
          <w:rFonts w:ascii="Times New Roman" w:eastAsia="Calibri"/>
          <w:b/>
          <w:bCs/>
          <w:color w:val="000000"/>
          <w:sz w:val="28"/>
          <w:szCs w:val="28"/>
        </w:rPr>
        <w:t xml:space="preserve">11.2 Documentation Alignment (Sprint 1-2)</w:t>
      </w:r>
      <w:bookmarkEnd w:id="100023"/>
    </w:p>
    <w:p>
      <w:pPr>
        <w:spacing w:after="120" w:line="312"/>
        <w:ind w:firstLine="480"/>
        <w:jc w:val="both"/>
      </w:pPr>
      <w:r>
        <w:rPr>
          <w:rFonts w:ascii="Times New Roman" w:eastAsia="Calibri"/>
          <w:b w:val="false"/>
          <w:bCs w:val="false"/>
          <w:color w:val="000000"/>
          <w:sz w:val="24"/>
          <w:szCs w:val="24"/>
        </w:rPr>
        <w:t xml:space="preserve">The GOVERNANCE.md token format documentation should be updated to accurately reflect the pipe-delimited implementation, or alternatively, the token_manager.py implementation should be refactored to produce JSON-formatted tokens as documented. The recommended approach is to update the documentation to match the implementation, since the pipe-delimited format is functionally correct and changing the token format would constitute a breaking change for any existing consumers. The requests library should be added to requirements.txt with a minimum version constraint, and the project documentation should clearly indicate which audit backends require additional dependencies.</w:t>
      </w:r>
    </w:p>
    <w:p>
      <w:pPr>
        <w:pStyle w:val="Heading2"/>
        <w:spacing w:after="160" w:before="280" w:line="312"/>
      </w:pPr>
      <w:bookmarkStart w:id="100024" w:name="_Toc100024"/>
      <w:r>
        <w:rPr>
          <w:rFonts w:ascii="Times New Roman" w:eastAsia="Calibri"/>
          <w:b/>
          <w:bCs/>
          <w:color w:val="000000"/>
          <w:sz w:val="28"/>
          <w:szCs w:val="28"/>
        </w:rPr>
        <w:t xml:space="preserve">11.3 Quality Infrastructure (Sprint 2-3)</w:t>
      </w:r>
      <w:bookmarkEnd w:id="100024"/>
    </w:p>
    <w:p>
      <w:pPr>
        <w:spacing w:after="120" w:line="312"/>
        <w:ind w:firstLine="480"/>
        <w:jc w:val="both"/>
      </w:pPr>
      <w:r>
        <w:rPr>
          <w:rFonts w:ascii="Times New Roman" w:eastAsia="Calibri"/>
          <w:b w:val="false"/>
          <w:bCs w:val="false"/>
          <w:color w:val="000000"/>
          <w:sz w:val="24"/>
          <w:szCs w:val="24"/>
        </w:rPr>
        <w:t xml:space="preserve">The empty performance test directory should be populated with benchmarks for key operations, particularly the chunked I/O streaming, dependency tracking on large worksheets, and formula evaluation latency for both Tier 1 and Tier 2 engines. Establishing performance baselines would enable regression detection and provide capacity planning data for production deployments. Code coverage measurement should be integrated into the CI pipeline, with a minimum coverage threshold of 80% for core modules and 60% for tool implementations. The property-based test file should be expanded to cover additional input surfaces beyond its current scope.</w:t>
      </w:r>
    </w:p>
    <w:p>
      <w:pPr>
        <w:pStyle w:val="Heading2"/>
        <w:spacing w:after="160" w:before="280" w:line="312"/>
      </w:pPr>
      <w:bookmarkStart w:id="100025" w:name="_Toc100025"/>
      <w:r>
        <w:rPr>
          <w:rFonts w:ascii="Times New Roman" w:eastAsia="Calibri"/>
          <w:b/>
          <w:bCs/>
          <w:color w:val="000000"/>
          <w:sz w:val="28"/>
          <w:szCs w:val="28"/>
        </w:rPr>
        <w:t xml:space="preserve">11.4 Long-Term Enhancements</w:t>
      </w:r>
      <w:bookmarkEnd w:id="100025"/>
    </w:p>
    <w:p>
      <w:pPr>
        <w:spacing w:after="120" w:line="312"/>
        <w:ind w:firstLine="480"/>
        <w:jc w:val="both"/>
      </w:pPr>
      <w:r>
        <w:rPr>
          <w:rFonts w:ascii="Times New Roman" w:eastAsia="Calibri"/>
          <w:b w:val="false"/>
          <w:bCs w:val="false"/>
          <w:color w:val="000000"/>
          <w:sz w:val="24"/>
          <w:szCs w:val="24"/>
        </w:rPr>
        <w:t xml:space="preserve">Looking beyond immediate remediation, the project would benefit from implementing the four missing formula tools (detect_errors, convert_to_values, copy_formula_down, define_name) to fulfill the v1.0.0 completeness claim. A tool versioning mechanism could be introduced to support backward-compatible API evolution. The calculation engine could be extended with a caching layer for frequently evaluated formulas, and the governance layer could support OAuth 2.0 token exchange for enterprise integration scenarios. Finally, an OpenAPI specification or equivalent machine-readable API description would complement the JSON Schema validation layer and provide a complete contract for agent integration.</w:t>
      </w:r>
    </w:p>
    <w:p>
      <w:pPr>
        <w:pStyle w:val="Heading1"/>
        <w:spacing w:after="200" w:before="360" w:line="312"/>
      </w:pPr>
      <w:bookmarkStart w:id="100026" w:name="_Toc100026"/>
      <w:r>
        <w:rPr>
          <w:rFonts w:ascii="Times New Roman" w:eastAsia="Calibri"/>
          <w:b/>
          <w:bCs/>
          <w:color w:val="000000"/>
          <w:sz w:val="32"/>
          <w:szCs w:val="32"/>
        </w:rPr>
        <w:t xml:space="preserve">12. Conclusions and Verdict</w:t>
      </w:r>
      <w:bookmarkEnd w:id="100026"/>
    </w:p>
    <w:p>
      <w:pPr>
        <w:spacing w:after="120" w:line="312"/>
        <w:ind w:firstLine="480"/>
        <w:jc w:val="both"/>
      </w:pPr>
      <w:r>
        <w:rPr>
          <w:rFonts w:ascii="Times New Roman" w:eastAsia="Calibri"/>
          <w:b w:val="false"/>
          <w:bCs w:val="false"/>
          <w:color w:val="000000"/>
          <w:sz w:val="24"/>
          <w:szCs w:val="24"/>
        </w:rPr>
        <w:t xml:space="preserve">The excel-agent-tools project demonstrates strong architectural foundations and sound engineering practices across its core modules. The stateless, CLI-oriented design is well-suited for AI agent integration, and the choice of lightweight dependencies ensures broad platform compatibility without external runtime requirements. The core module implementations, particularly the iterative Tarjan's dependency tracker, the dual-hash integrity verification system, and the cross-platform file locking mechanism, reflect thoughtful design decisions that prioritize reliability and correctness.</w:t>
      </w:r>
    </w:p>
    <w:p>
      <w:pPr>
        <w:spacing w:after="120" w:line="312"/>
        <w:ind w:firstLine="480"/>
        <w:jc w:val="both"/>
      </w:pPr>
      <w:r>
        <w:rPr>
          <w:rFonts w:ascii="Times New Roman" w:eastAsia="Calibri"/>
          <w:b w:val="false"/>
          <w:bCs w:val="false"/>
          <w:color w:val="000000"/>
          <w:sz w:val="24"/>
          <w:szCs w:val="24"/>
        </w:rPr>
        <w:t xml:space="preserve">The identified issues, while significant, are localized and addressable. The dollar-sign anchor bug in the formula updater is the most technically serious finding, but it is confined to a single module and can be resolved with a focused fix. The tool count discrepancy is a packaging integrity issue rather than an architectural flaw. The documentation mismatch and missing dependency are standard maturity gaps that commonly appear in v1.0.0 releases and can be resolved through targeted documentation and configuration updates.</w:t>
      </w:r>
    </w:p>
    <w:p>
      <w:pPr>
        <w:spacing w:after="120" w:line="312"/>
        <w:ind w:firstLine="480"/>
        <w:jc w:val="both"/>
      </w:pPr>
      <w:r>
        <w:rPr>
          <w:rFonts w:ascii="Times New Roman" w:eastAsia="Calibri"/>
          <w:b w:val="false"/>
          <w:bCs w:val="false"/>
          <w:color w:val="000000"/>
          <w:sz w:val="24"/>
          <w:szCs w:val="24"/>
        </w:rPr>
        <w:t xml:space="preserve">Based on this assessment, the project receives a Conditional Pass verdict. The core architecture is production-ready, and the existing 49 tools provide substantial capability for AI agent Excel manipulation. However, the four identified findings must be remediated before the project can be considered fully production-ready at its claimed v1.0.0 scope. Specifically, the dollar-sign anchor bug must be fixed, the dangling entry points must be resolved, the documentation must be aligned with the implementation, and the missing dependency must be declared. Upon completion of these remediation items, the project would meet the quality bar expected of a production-grade agent tool suite.</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Calibri"/>
        <w:i/>
        <w:iCs/>
        <w:color w:val="808080"/>
        <w:sz w:val="18"/>
        <w:szCs w:val="18"/>
      </w:rPr>
      <w:t xml:space="preserve">excel-agent-tools Assessment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Calibri"/>
        <w:i/>
        <w:iCs/>
        <w:color w:val="808080"/>
        <w:sz w:val="18"/>
        <w:szCs w:val="18"/>
      </w:rPr>
      <w:t xml:space="preserve">excel-agent-tools Assessment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line="312"/>
      <w:outlineLvl w:val="0"/>
    </w:pPr>
    <w:rPr>
      <w:rFonts w:ascii="Times New Roman" w:eastAsia="Calibri"/>
      <w:b/>
      <w:bCs/>
      <w:color w:val="000000"/>
      <w:sz w:val="32"/>
      <w:szCs w:val="32"/>
    </w:rPr>
  </w:style>
  <w:style w:type="paragraph" w:styleId="Heading2">
    <w:name w:val="Heading 2"/>
    <w:basedOn w:val="Normal"/>
    <w:next w:val="Normal"/>
    <w:qFormat/>
    <w:pPr>
      <w:spacing w:line="312"/>
      <w:outlineLvl w:val="1"/>
    </w:pPr>
    <w:rPr>
      <w:rFonts w:ascii="Times New Roman" w:eastAsia="Calibri"/>
      <w:b/>
      <w:bCs/>
      <w:color w:val="000000"/>
      <w:sz w:val="28"/>
      <w:szCs w:val="28"/>
    </w:rPr>
  </w:style>
  <w:style w:type="paragraph" w:styleId="Heading3">
    <w:name w:val="Heading 3"/>
    <w:basedOn w:val="Normal"/>
    <w:next w:val="Normal"/>
    <w:qFormat/>
    <w:pPr>
      <w:spacing w:line="312"/>
      <w:outlineLvl w:val="2"/>
    </w:pPr>
    <w:rPr>
      <w:rFonts w:ascii="Times New Roman" w:eastAsia="Calibri"/>
      <w:b/>
      <w:bCs/>
      <w:color w:val="000000"/>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2026-04-10T00:31:40.005Z</dcterms:created>
  <dcterms:modified xsi:type="dcterms:W3CDTF">2026-04-10T00:31:40.005Z</dcterms:modified>
</cp:coreProperties>
</file>

<file path=docProps/custom.xml><?xml version="1.0" encoding="utf-8"?>
<Properties xmlns="http://schemas.openxmlformats.org/officeDocument/2006/custom-properties" xmlns:vt="http://schemas.openxmlformats.org/officeDocument/2006/docPropsVTypes"/>
</file>