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W w:type="pct" w:w="100%"/>
            <w:tcBorders>
              <w:top w:val="none" w:color="FFFFFF" w:sz="0"/>
              <w:left w:val="none" w:color="FFFFFF" w:sz="0"/>
              <w:bottom w:val="none" w:color="FFFFFF" w:sz="0"/>
              <w:right w:val="none" w:color="FFFFFF" w:sz="0"/>
            </w:tcBorders>
            <w:shd w:fill="0A1628" w:val="clear"/>
          </w:tcPr>
          <w:p>
            <w:pPr>
              <w:spacing w:before="4500"/>
            </w:pPr>
          </w:p>
          <w:p>
            <w:pPr>
              <w:spacing w:after="200" w:line="920" w:lineRule="atLeast"/>
            </w:pPr>
            <w:r>
              <w:rPr>
                <w:rFonts w:ascii="Calibri" w:eastAsia="SimHei"/>
                <w:b/>
                <w:bCs/>
                <w:color w:val="FFFFFF"/>
                <w:sz w:val="72"/>
                <w:szCs w:val="72"/>
              </w:rPr>
              <w:t xml:space="preserve">LedgerSG Code Review &amp; Audit Report</w:t>
            </w:r>
          </w:p>
          <w:p>
            <w:pPr>
              <w:spacing w:after="300" w:before="200"/>
            </w:pPr>
            <w:r>
              <w:rPr>
                <w:rFonts w:ascii="Calibri" w:eastAsia="Microsoft YaHei"/>
                <w:color w:val="B0B8C0"/>
                <w:sz w:val="28"/>
                <w:szCs w:val="28"/>
              </w:rPr>
              <w:t xml:space="preserve">Comprehensive Critical Analysis of Architecture, Security, and Code Quality</w:t>
            </w:r>
          </w:p>
          <w:p>
            <w:pPr>
              <w:pBdr>
                <w:bottom w:val="single" w:color="D4875A" w:sz="12" w:space="8"/>
              </w:pBdr>
              <w:spacing w:after="400"/>
              <w:ind w:left="0" w:right="6000"/>
            </w:pPr>
          </w:p>
          <w:p>
            <w:pPr>
              <w:spacing w:after="80" w:before="80"/>
            </w:pPr>
            <w:r>
              <w:rPr>
                <w:rFonts w:ascii="Calibri" w:eastAsia="Microsoft YaHei"/>
                <w:color w:val="90989F"/>
                <w:sz w:val="22"/>
                <w:szCs w:val="22"/>
              </w:rPr>
              <w:t xml:space="preserve">Repository: github.com/nordeim/ledgersg</w:t>
            </w:r>
          </w:p>
          <w:p>
            <w:pPr>
              <w:spacing w:after="80" w:before="80"/>
            </w:pPr>
            <w:r>
              <w:rPr>
                <w:rFonts w:ascii="Calibri" w:eastAsia="Microsoft YaHei"/>
                <w:color w:val="90989F"/>
                <w:sz w:val="22"/>
                <w:szCs w:val="22"/>
              </w:rPr>
              <w:t xml:space="preserve">Date: 2026-05-24</w:t>
            </w:r>
          </w:p>
          <w:p>
            <w:pPr>
              <w:spacing w:after="80" w:before="80"/>
            </w:pPr>
            <w:r>
              <w:rPr>
                <w:rFonts w:ascii="Calibri" w:eastAsia="Microsoft YaHei"/>
                <w:color w:val="90989F"/>
                <w:sz w:val="22"/>
                <w:szCs w:val="22"/>
              </w:rPr>
              <w:t xml:space="preserve">Auditor: Independent Code Review Agent</w:t>
            </w:r>
          </w:p>
          <w:p>
            <w:pPr>
              <w:spacing w:after="80" w:before="80"/>
            </w:pPr>
            <w:r>
              <w:rPr>
                <w:rFonts w:ascii="Calibri" w:eastAsia="Microsoft YaHei"/>
                <w:color w:val="90989F"/>
                <w:sz w:val="22"/>
                <w:szCs w:val="22"/>
              </w:rPr>
              <w:t xml:space="preserve">Classification: Confidential</w:t>
            </w:r>
          </w:p>
          <w:p>
            <w:pPr>
              <w:spacing w:before="2000"/>
            </w:pPr>
            <w:r>
              <w:rPr>
                <w:rFonts w:ascii="Calibri" w:eastAsia="Microsoft YaHei"/>
                <w:color w:val="687078"/>
                <w:sz w:val="20"/>
                <w:szCs w:val="20"/>
              </w:rPr>
              <w:t xml:space="preserve">LedgerSG Audit Report v1.0</w:t>
            </w:r>
          </w:p>
        </w:tc>
      </w:tr>
    </w:tbl>
    <w:p>
      <w:pPr>
        <w:sectPr>
          <w:pgSz w:w="11906" w:h="16838" w:orient="portrait"/>
          <w:pgMar w:top="0" w:right="0" w:bottom="0" w:left="0" w:header="708" w:footer="708" w:gutter="0"/>
          <w:pgNumType/>
          <w:docGrid w:linePitch="360"/>
        </w:sectPr>
      </w:pPr>
    </w:p>
    <w:p>
      <w:pPr>
        <w:spacing w:after="300"/>
      </w:pPr>
      <w:r>
        <w:rPr>
          <w:rFonts w:ascii="Calibri" w:eastAsia="SimHei"/>
          <w:b/>
          <w:bCs/>
          <w:color w:val="0A1628"/>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1.1 Severity Distribution</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2. Critical Findings</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2.1 C-01: Dead Superadmin Authorization Check</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2.2 C-02: Missing JWT Token Blacklist</w:t>
            </w:r>
            <w:r>
              <w:tab/>
            </w:r>
            <w:r>
              <w:fldChar w:fldCharType="begin"/>
            </w:r>
            <w:r>
              <w:instrText xml:space="preserve"> PAGEREF _Toc100004 \h </w:instrText>
            </w:r>
            <w:r>
              <w:fldChar w:fldCharType="separate"/>
            </w:r>
            <w:r>
              <w:t>2</w:t>
            </w:r>
            <w:r>
              <w:fldChar w:fldCharType="end"/>
            </w:r>
          </w:hyperlink>
        </w:p>
        <w:p>
          <w:pPr>
            <w:pStyle w:val="11"/>
            <w:ind w:left="360"/>
            <w:tabs>
              <w:tab w:val="right" w:leader="dot" w:pos="9026"/>
            </w:tabs>
            <w:spacing w:before="120" w:after="60"/>
          </w:pPr>
          <w:hyperlink w:anchor="_Toc100005" w:history="1">
            <w:r>
              <w:rPr>
                <w:rStyle w:val="Hyperlink"/>
              </w:rPr>
              <w:t>2.3 I-01: Journal Reversal Stub Silently Skips Entries</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2.4 G-01: Hardcoded Null UUID Breaks GST Calculation</w:t>
            </w:r>
            <w:r>
              <w:tab/>
            </w:r>
            <w:r>
              <w:fldChar w:fldCharType="begin"/>
            </w:r>
            <w:r>
              <w:instrText xml:space="preserve"> PAGEREF _Toc100006 \h </w:instrText>
            </w:r>
            <w:r>
              <w:fldChar w:fldCharType="separate"/>
            </w:r>
            <w:r>
              <w:t>3</w:t>
            </w:r>
            <w:r>
              <w:fldChar w:fldCharType="end"/>
            </w:r>
          </w:hyperlink>
        </w:p>
        <w:p>
          <w:pPr>
            <w:pStyle w:val="9"/>
            <w:tabs>
              <w:tab w:val="right" w:leader="dot" w:pos="9026"/>
            </w:tabs>
            <w:spacing w:before="120" w:after="60"/>
          </w:pPr>
          <w:hyperlink w:anchor="_Toc100007" w:history="1">
            <w:r>
              <w:rPr>
                <w:rStyle w:val="Hyperlink"/>
              </w:rPr>
              <w:t>3. High Severity Findings</w:t>
            </w:r>
            <w:r>
              <w:tab/>
            </w:r>
            <w:r>
              <w:fldChar w:fldCharType="begin"/>
            </w:r>
            <w:r>
              <w:instrText xml:space="preserve"> PAGEREF _Toc100007 \h </w:instrText>
            </w:r>
            <w:r>
              <w:fldChar w:fldCharType="separate"/>
            </w:r>
            <w:r>
              <w:t>3</w:t>
            </w:r>
            <w:r>
              <w:fldChar w:fldCharType="end"/>
            </w:r>
          </w:hyperlink>
        </w:p>
        <w:p>
          <w:pPr>
            <w:pStyle w:val="11"/>
            <w:ind w:left="360"/>
            <w:tabs>
              <w:tab w:val="right" w:leader="dot" w:pos="9026"/>
            </w:tabs>
            <w:spacing w:before="120" w:after="60"/>
          </w:pPr>
          <w:hyperlink w:anchor="_Toc100008" w:history="1">
            <w:r>
              <w:rPr>
                <w:rStyle w:val="Hyperlink"/>
              </w:rPr>
              <w:t>3.1 C-03: Race Condition in Set Default Organisation</w:t>
            </w:r>
            <w:r>
              <w:tab/>
            </w:r>
            <w:r>
              <w:fldChar w:fldCharType="begin"/>
            </w:r>
            <w:r>
              <w:instrText xml:space="preserve"> PAGEREF _Toc100008 \h </w:instrText>
            </w:r>
            <w:r>
              <w:fldChar w:fldCharType="separate"/>
            </w:r>
            <w:r>
              <w:t>3</w:t>
            </w:r>
            <w:r>
              <w:fldChar w:fldCharType="end"/>
            </w:r>
          </w:hyperlink>
        </w:p>
        <w:p>
          <w:pPr>
            <w:pStyle w:val="11"/>
            <w:ind w:left="360"/>
            <w:tabs>
              <w:tab w:val="right" w:leader="dot" w:pos="9026"/>
            </w:tabs>
            <w:spacing w:before="120" w:after="60"/>
          </w:pPr>
          <w:hyperlink w:anchor="_Toc100009" w:history="1">
            <w:r>
              <w:rPr>
                <w:rStyle w:val="Hyperlink"/>
              </w:rPr>
              <w:t>3.2 C-04: Pending Users Get RLS Permissions</w:t>
            </w:r>
            <w:r>
              <w:tab/>
            </w:r>
            <w:r>
              <w:fldChar w:fldCharType="begin"/>
            </w:r>
            <w:r>
              <w:instrText xml:space="preserve"> PAGEREF _Toc100009 \h </w:instrText>
            </w:r>
            <w:r>
              <w:fldChar w:fldCharType="separate"/>
            </w:r>
            <w:r>
              <w:t>3</w:t>
            </w:r>
            <w:r>
              <w:fldChar w:fldCharType="end"/>
            </w:r>
          </w:hyperlink>
        </w:p>
        <w:p>
          <w:pPr>
            <w:pStyle w:val="11"/>
            <w:ind w:left="360"/>
            <w:tabs>
              <w:tab w:val="right" w:leader="dot" w:pos="9026"/>
            </w:tabs>
            <w:spacing w:before="120" w:after="60"/>
          </w:pPr>
          <w:hyperlink w:anchor="_Toc100010" w:history="1">
            <w:r>
              <w:rPr>
                <w:rStyle w:val="Hyperlink"/>
              </w:rPr>
              <w:t>3.3 I-02: Journal Posting Outside Atomic Block</w:t>
            </w:r>
            <w:r>
              <w:tab/>
            </w:r>
            <w:r>
              <w:fldChar w:fldCharType="begin"/>
            </w:r>
            <w:r>
              <w:instrText xml:space="preserve"> PAGEREF _Toc100010 \h </w:instrText>
            </w:r>
            <w:r>
              <w:fldChar w:fldCharType="separate"/>
            </w:r>
            <w:r>
              <w:t>4</w:t>
            </w:r>
            <w:r>
              <w:fldChar w:fldCharType="end"/>
            </w:r>
          </w:hyperlink>
        </w:p>
        <w:p>
          <w:pPr>
            <w:pStyle w:val="11"/>
            <w:ind w:left="360"/>
            <w:tabs>
              <w:tab w:val="right" w:leader="dot" w:pos="9026"/>
            </w:tabs>
            <w:spacing w:before="120" w:after="60"/>
          </w:pPr>
          <w:hyperlink w:anchor="_Toc100011" w:history="1">
            <w:r>
              <w:rPr>
                <w:rStyle w:val="Hyperlink"/>
              </w:rPr>
              <w:t>3.4 FE-002: PDF Downloads Completely Broken</w:t>
            </w:r>
            <w:r>
              <w:tab/>
            </w:r>
            <w:r>
              <w:fldChar w:fldCharType="begin"/>
            </w:r>
            <w:r>
              <w:instrText xml:space="preserve"> PAGEREF _Toc100011 \h </w:instrText>
            </w:r>
            <w:r>
              <w:fldChar w:fldCharType="separate"/>
            </w:r>
            <w:r>
              <w:t>4</w:t>
            </w:r>
            <w:r>
              <w:fldChar w:fldCharType="end"/>
            </w:r>
          </w:hyperlink>
        </w:p>
        <w:p>
          <w:pPr>
            <w:pStyle w:val="11"/>
            <w:ind w:left="360"/>
            <w:tabs>
              <w:tab w:val="right" w:leader="dot" w:pos="9026"/>
            </w:tabs>
            <w:spacing w:before="120" w:after="60"/>
          </w:pPr>
          <w:hyperlink w:anchor="_Toc100012" w:history="1">
            <w:r>
              <w:rPr>
                <w:rStyle w:val="Hyperlink"/>
              </w:rPr>
              <w:t>3.5 DB-001: RLS Missing on Core Tables</w:t>
            </w:r>
            <w:r>
              <w:tab/>
            </w:r>
            <w:r>
              <w:fldChar w:fldCharType="begin"/>
            </w:r>
            <w:r>
              <w:instrText xml:space="preserve"> PAGEREF _Toc100012 \h </w:instrText>
            </w:r>
            <w:r>
              <w:fldChar w:fldCharType="separate"/>
            </w:r>
            <w:r>
              <w:t>4</w:t>
            </w:r>
            <w:r>
              <w:fldChar w:fldCharType="end"/>
            </w:r>
          </w:hyperlink>
        </w:p>
        <w:p>
          <w:pPr>
            <w:pStyle w:val="9"/>
            <w:tabs>
              <w:tab w:val="right" w:leader="dot" w:pos="9026"/>
            </w:tabs>
            <w:spacing w:before="120" w:after="60"/>
          </w:pPr>
          <w:hyperlink w:anchor="_Toc100013" w:history="1">
            <w:r>
              <w:rPr>
                <w:rStyle w:val="Hyperlink"/>
              </w:rPr>
              <w:t>4. Medium Severity Findings</w:t>
            </w:r>
            <w:r>
              <w:tab/>
            </w:r>
            <w:r>
              <w:fldChar w:fldCharType="begin"/>
            </w:r>
            <w:r>
              <w:instrText xml:space="preserve"> PAGEREF _Toc100013 \h </w:instrText>
            </w:r>
            <w:r>
              <w:fldChar w:fldCharType="separate"/>
            </w:r>
            <w:r>
              <w:t>4</w:t>
            </w:r>
            <w:r>
              <w:fldChar w:fldCharType="end"/>
            </w:r>
          </w:hyperlink>
        </w:p>
        <w:p>
          <w:pPr>
            <w:pStyle w:val="11"/>
            <w:ind w:left="360"/>
            <w:tabs>
              <w:tab w:val="right" w:leader="dot" w:pos="9026"/>
            </w:tabs>
            <w:spacing w:before="120" w:after="60"/>
          </w:pPr>
          <w:hyperlink w:anchor="_Toc100014" w:history="1">
            <w:r>
              <w:rPr>
                <w:rStyle w:val="Hyperlink"/>
              </w:rPr>
              <w:t>4.1 Service Layer Violations</w:t>
            </w:r>
            <w:r>
              <w:tab/>
            </w:r>
            <w:r>
              <w:fldChar w:fldCharType="begin"/>
            </w:r>
            <w:r>
              <w:instrText xml:space="preserve"> PAGEREF _Toc100014 \h </w:instrText>
            </w:r>
            <w:r>
              <w:fldChar w:fldCharType="separate"/>
            </w:r>
            <w:r>
              <w:t>4</w:t>
            </w:r>
            <w:r>
              <w:fldChar w:fldCharType="end"/>
            </w:r>
          </w:hyperlink>
        </w:p>
        <w:p>
          <w:pPr>
            <w:pStyle w:val="11"/>
            <w:ind w:left="360"/>
            <w:tabs>
              <w:tab w:val="right" w:leader="dot" w:pos="9026"/>
            </w:tabs>
            <w:spacing w:before="120" w:after="60"/>
          </w:pPr>
          <w:hyperlink w:anchor="_Toc100015" w:history="1">
            <w:r>
              <w:rPr>
                <w:rStyle w:val="Hyperlink"/>
              </w:rPr>
              <w:t>4.2 FE-003: Hardcoded GST Rate</w:t>
            </w:r>
            <w:r>
              <w:tab/>
            </w:r>
            <w:r>
              <w:fldChar w:fldCharType="begin"/>
            </w:r>
            <w:r>
              <w:instrText xml:space="preserve"> PAGEREF _Toc100015 \h </w:instrText>
            </w:r>
            <w:r>
              <w:fldChar w:fldCharType="separate"/>
            </w:r>
            <w:r>
              <w:t>5</w:t>
            </w:r>
            <w:r>
              <w:fldChar w:fldCharType="end"/>
            </w:r>
          </w:hyperlink>
        </w:p>
        <w:p>
          <w:pPr>
            <w:pStyle w:val="11"/>
            <w:ind w:left="360"/>
            <w:tabs>
              <w:tab w:val="right" w:leader="dot" w:pos="9026"/>
            </w:tabs>
            <w:spacing w:before="120" w:after="60"/>
          </w:pPr>
          <w:hyperlink w:anchor="_Toc100016" w:history="1">
            <w:r>
              <w:rPr>
                <w:rStyle w:val="Hyperlink"/>
              </w:rPr>
              <w:t>4.3 FE-005: Invoices Page Uses Mock Data</w:t>
            </w:r>
            <w:r>
              <w:tab/>
            </w:r>
            <w:r>
              <w:fldChar w:fldCharType="begin"/>
            </w:r>
            <w:r>
              <w:instrText xml:space="preserve"> PAGEREF _Toc100016 \h </w:instrText>
            </w:r>
            <w:r>
              <w:fldChar w:fldCharType="separate"/>
            </w:r>
            <w:r>
              <w:t>5</w:t>
            </w:r>
            <w:r>
              <w:fldChar w:fldCharType="end"/>
            </w:r>
          </w:hyperlink>
        </w:p>
        <w:p>
          <w:pPr>
            <w:pStyle w:val="11"/>
            <w:ind w:left="360"/>
            <w:tabs>
              <w:tab w:val="right" w:leader="dot" w:pos="9026"/>
            </w:tabs>
            <w:spacing w:before="120" w:after="60"/>
          </w:pPr>
          <w:hyperlink w:anchor="_Toc100017" w:history="1">
            <w:r>
              <w:rPr>
                <w:rStyle w:val="Hyperlink"/>
              </w:rPr>
              <w:t>4.4 FE-011: FormData Sent via JSON Client</w:t>
            </w:r>
            <w:r>
              <w:tab/>
            </w:r>
            <w:r>
              <w:fldChar w:fldCharType="begin"/>
            </w:r>
            <w:r>
              <w:instrText xml:space="preserve"> PAGEREF _Toc100017 \h </w:instrText>
            </w:r>
            <w:r>
              <w:fldChar w:fldCharType="separate"/>
            </w:r>
            <w:r>
              <w:t>5</w:t>
            </w:r>
            <w:r>
              <w:fldChar w:fldCharType="end"/>
            </w:r>
          </w:hyperlink>
        </w:p>
        <w:p>
          <w:pPr>
            <w:pStyle w:val="11"/>
            <w:ind w:left="360"/>
            <w:tabs>
              <w:tab w:val="right" w:leader="dot" w:pos="9026"/>
            </w:tabs>
            <w:spacing w:before="120" w:after="60"/>
          </w:pPr>
          <w:hyperlink w:anchor="_Toc100018" w:history="1">
            <w:r>
              <w:rPr>
                <w:rStyle w:val="Hyperlink"/>
              </w:rPr>
              <w:t>4.5 J-03: Race Condition in Journal Entry Numbering</w:t>
            </w:r>
            <w:r>
              <w:tab/>
            </w:r>
            <w:r>
              <w:fldChar w:fldCharType="begin"/>
            </w:r>
            <w:r>
              <w:instrText xml:space="preserve"> PAGEREF _Toc100018 \h </w:instrText>
            </w:r>
            <w:r>
              <w:fldChar w:fldCharType="separate"/>
            </w:r>
            <w:r>
              <w:t>5</w:t>
            </w:r>
            <w:r>
              <w:fldChar w:fldCharType="end"/>
            </w:r>
          </w:hyperlink>
        </w:p>
        <w:p>
          <w:pPr>
            <w:pStyle w:val="11"/>
            <w:ind w:left="360"/>
            <w:tabs>
              <w:tab w:val="right" w:leader="dot" w:pos="9026"/>
            </w:tabs>
            <w:spacing w:before="120" w:after="60"/>
          </w:pPr>
          <w:hyperlink w:anchor="_Toc100019" w:history="1">
            <w:r>
              <w:rPr>
                <w:rStyle w:val="Hyperlink"/>
              </w:rPr>
              <w:t>4.6 H-01: SET LOCAL RLS Depends on ATOMIC_REQUESTS</w:t>
            </w:r>
            <w:r>
              <w:tab/>
            </w:r>
            <w:r>
              <w:fldChar w:fldCharType="begin"/>
            </w:r>
            <w:r>
              <w:instrText xml:space="preserve"> PAGEREF _Toc100019 \h </w:instrText>
            </w:r>
            <w:r>
              <w:fldChar w:fldCharType="separate"/>
            </w:r>
            <w:r>
              <w:t>6</w:t>
            </w:r>
            <w:r>
              <w:fldChar w:fldCharType="end"/>
            </w:r>
          </w:hyperlink>
        </w:p>
        <w:p>
          <w:pPr>
            <w:pStyle w:val="11"/>
            <w:ind w:left="360"/>
            <w:tabs>
              <w:tab w:val="right" w:leader="dot" w:pos="9026"/>
            </w:tabs>
            <w:spacing w:before="120" w:after="60"/>
          </w:pPr>
          <w:hyperlink w:anchor="_Toc100020" w:history="1">
            <w:r>
              <w:rPr>
                <w:rStyle w:val="Hyperlink"/>
              </w:rPr>
              <w:t>4.7 H-02: Service Settings Drops RLS Middleware</w:t>
            </w:r>
            <w:r>
              <w:tab/>
            </w:r>
            <w:r>
              <w:fldChar w:fldCharType="begin"/>
            </w:r>
            <w:r>
              <w:instrText xml:space="preserve"> PAGEREF _Toc100020 \h </w:instrText>
            </w:r>
            <w:r>
              <w:fldChar w:fldCharType="separate"/>
            </w:r>
            <w:r>
              <w:t>6</w:t>
            </w:r>
            <w:r>
              <w:fldChar w:fldCharType="end"/>
            </w:r>
          </w:hyperlink>
        </w:p>
        <w:p>
          <w:pPr>
            <w:pStyle w:val="11"/>
            <w:ind w:left="360"/>
            <w:tabs>
              <w:tab w:val="right" w:leader="dot" w:pos="9026"/>
            </w:tabs>
            <w:spacing w:before="120" w:after="60"/>
          </w:pPr>
          <w:hyperlink w:anchor="_Toc100021" w:history="1">
            <w:r>
              <w:rPr>
                <w:rStyle w:val="Hyperlink"/>
              </w:rPr>
              <w:t>4.8 Remaining Medium Findings</w:t>
            </w:r>
            <w:r>
              <w:tab/>
            </w:r>
            <w:r>
              <w:fldChar w:fldCharType="begin"/>
            </w:r>
            <w:r>
              <w:instrText xml:space="preserve"> PAGEREF _Toc100021 \h </w:instrText>
            </w:r>
            <w:r>
              <w:fldChar w:fldCharType="separate"/>
            </w:r>
            <w:r>
              <w:t>6</w:t>
            </w:r>
            <w:r>
              <w:fldChar w:fldCharType="end"/>
            </w:r>
          </w:hyperlink>
        </w:p>
        <w:p>
          <w:pPr>
            <w:pStyle w:val="9"/>
            <w:tabs>
              <w:tab w:val="right" w:leader="dot" w:pos="9026"/>
            </w:tabs>
            <w:spacing w:before="120" w:after="60"/>
          </w:pPr>
          <w:hyperlink w:anchor="_Toc100022" w:history="1">
            <w:r>
              <w:rPr>
                <w:rStyle w:val="Hyperlink"/>
              </w:rPr>
              <w:t>5. Low &amp; Informational Findings</w:t>
            </w:r>
            <w:r>
              <w:tab/>
            </w:r>
            <w:r>
              <w:fldChar w:fldCharType="begin"/>
            </w:r>
            <w:r>
              <w:instrText xml:space="preserve"> PAGEREF _Toc100022 \h </w:instrText>
            </w:r>
            <w:r>
              <w:fldChar w:fldCharType="separate"/>
            </w:r>
            <w:r>
              <w:t>7</w:t>
            </w:r>
            <w:r>
              <w:fldChar w:fldCharType="end"/>
            </w:r>
          </w:hyperlink>
        </w:p>
        <w:p>
          <w:pPr>
            <w:pStyle w:val="11"/>
            <w:ind w:left="360"/>
            <w:tabs>
              <w:tab w:val="right" w:leader="dot" w:pos="9026"/>
            </w:tabs>
            <w:spacing w:before="120" w:after="60"/>
          </w:pPr>
          <w:hyperlink w:anchor="_Toc100023" w:history="1">
            <w:r>
              <w:rPr>
                <w:rStyle w:val="Hyperlink"/>
              </w:rPr>
              <w:t>5.1 Low Severity</w:t>
            </w:r>
            <w:r>
              <w:tab/>
            </w:r>
            <w:r>
              <w:fldChar w:fldCharType="begin"/>
            </w:r>
            <w:r>
              <w:instrText xml:space="preserve"> PAGEREF _Toc100023 \h </w:instrText>
            </w:r>
            <w:r>
              <w:fldChar w:fldCharType="separate"/>
            </w:r>
            <w:r>
              <w:t>7</w:t>
            </w:r>
            <w:r>
              <w:fldChar w:fldCharType="end"/>
            </w:r>
          </w:hyperlink>
        </w:p>
        <w:p>
          <w:pPr>
            <w:pStyle w:val="11"/>
            <w:ind w:left="360"/>
            <w:tabs>
              <w:tab w:val="right" w:leader="dot" w:pos="9026"/>
            </w:tabs>
            <w:spacing w:before="120" w:after="60"/>
          </w:pPr>
          <w:hyperlink w:anchor="_Toc100024" w:history="1">
            <w:r>
              <w:rPr>
                <w:rStyle w:val="Hyperlink"/>
              </w:rPr>
              <w:t>5.2 Informational</w:t>
            </w:r>
            <w:r>
              <w:tab/>
            </w:r>
            <w:r>
              <w:fldChar w:fldCharType="begin"/>
            </w:r>
            <w:r>
              <w:instrText xml:space="preserve"> PAGEREF _Toc100024 \h </w:instrText>
            </w:r>
            <w:r>
              <w:fldChar w:fldCharType="separate"/>
            </w:r>
            <w:r>
              <w:t>8</w:t>
            </w:r>
            <w:r>
              <w:fldChar w:fldCharType="end"/>
            </w:r>
          </w:hyperlink>
        </w:p>
        <w:p>
          <w:pPr>
            <w:pStyle w:val="9"/>
            <w:tabs>
              <w:tab w:val="right" w:leader="dot" w:pos="9026"/>
            </w:tabs>
            <w:spacing w:before="120" w:after="60"/>
          </w:pPr>
          <w:hyperlink w:anchor="_Toc100025" w:history="1">
            <w:r>
              <w:rPr>
                <w:rStyle w:val="Hyperlink"/>
              </w:rPr>
              <w:t>6. Documentation-Code Alignment Audit</w:t>
            </w:r>
            <w:r>
              <w:tab/>
            </w:r>
            <w:r>
              <w:fldChar w:fldCharType="begin"/>
            </w:r>
            <w:r>
              <w:instrText xml:space="preserve"> PAGEREF _Toc100025 \h </w:instrText>
            </w:r>
            <w:r>
              <w:fldChar w:fldCharType="separate"/>
            </w:r>
            <w:r>
              <w:t>8</w:t>
            </w:r>
            <w:r>
              <w:fldChar w:fldCharType="end"/>
            </w:r>
          </w:hyperlink>
        </w:p>
        <w:p>
          <w:pPr>
            <w:pStyle w:val="11"/>
            <w:ind w:left="360"/>
            <w:tabs>
              <w:tab w:val="right" w:leader="dot" w:pos="9026"/>
            </w:tabs>
            <w:spacing w:before="120" w:after="60"/>
          </w:pPr>
          <w:hyperlink w:anchor="_Toc100026" w:history="1">
            <w:r>
              <w:rPr>
                <w:rStyle w:val="Hyperlink"/>
              </w:rPr>
              <w:t>6.1 Alignment Summary</w:t>
            </w:r>
            <w:r>
              <w:tab/>
            </w:r>
            <w:r>
              <w:fldChar w:fldCharType="begin"/>
            </w:r>
            <w:r>
              <w:instrText xml:space="preserve"> PAGEREF _Toc100026 \h </w:instrText>
            </w:r>
            <w:r>
              <w:fldChar w:fldCharType="separate"/>
            </w:r>
            <w:r>
              <w:t>9</w:t>
            </w:r>
            <w:r>
              <w:fldChar w:fldCharType="end"/>
            </w:r>
          </w:hyperlink>
        </w:p>
        <w:p>
          <w:pPr>
            <w:pStyle w:val="11"/>
            <w:ind w:left="360"/>
            <w:tabs>
              <w:tab w:val="right" w:leader="dot" w:pos="9026"/>
            </w:tabs>
            <w:spacing w:before="120" w:after="60"/>
          </w:pPr>
          <w:hyperlink w:anchor="_Toc100027" w:history="1">
            <w:r>
              <w:rPr>
                <w:rStyle w:val="Hyperlink"/>
              </w:rPr>
              <w:t>6.2 Key Discrepancies</w:t>
            </w:r>
            <w:r>
              <w:tab/>
            </w:r>
            <w:r>
              <w:fldChar w:fldCharType="begin"/>
            </w:r>
            <w:r>
              <w:instrText xml:space="preserve"> PAGEREF _Toc100027 \h </w:instrText>
            </w:r>
            <w:r>
              <w:fldChar w:fldCharType="separate"/>
            </w:r>
            <w:r>
              <w:t>9</w:t>
            </w:r>
            <w:r>
              <w:fldChar w:fldCharType="end"/>
            </w:r>
          </w:hyperlink>
        </w:p>
        <w:p>
          <w:pPr>
            <w:pStyle w:val="9"/>
            <w:tabs>
              <w:tab w:val="right" w:leader="dot" w:pos="9026"/>
            </w:tabs>
            <w:spacing w:before="120" w:after="60"/>
          </w:pPr>
          <w:hyperlink w:anchor="_Toc100028" w:history="1">
            <w:r>
              <w:rPr>
                <w:rStyle w:val="Hyperlink"/>
              </w:rPr>
              <w:t>7. Architectural Strengths</w:t>
            </w:r>
            <w:r>
              <w:tab/>
            </w:r>
            <w:r>
              <w:fldChar w:fldCharType="begin"/>
            </w:r>
            <w:r>
              <w:instrText xml:space="preserve"> PAGEREF _Toc100028 \h </w:instrText>
            </w:r>
            <w:r>
              <w:fldChar w:fldCharType="separate"/>
            </w:r>
            <w:r>
              <w:t>9</w:t>
            </w:r>
            <w:r>
              <w:fldChar w:fldCharType="end"/>
            </w:r>
          </w:hyperlink>
        </w:p>
        <w:p>
          <w:pPr>
            <w:pStyle w:val="11"/>
            <w:ind w:left="360"/>
            <w:tabs>
              <w:tab w:val="right" w:leader="dot" w:pos="9026"/>
            </w:tabs>
            <w:spacing w:before="120" w:after="60"/>
          </w:pPr>
          <w:hyperlink w:anchor="_Toc100029" w:history="1">
            <w:r>
              <w:rPr>
                <w:rStyle w:val="Hyperlink"/>
              </w:rPr>
              <w:t>7.1 Consistent Service Layer Pattern</w:t>
            </w:r>
            <w:r>
              <w:tab/>
            </w:r>
            <w:r>
              <w:fldChar w:fldCharType="begin"/>
            </w:r>
            <w:r>
              <w:instrText xml:space="preserve"> PAGEREF _Toc100029 \h </w:instrText>
            </w:r>
            <w:r>
              <w:fldChar w:fldCharType="separate"/>
            </w:r>
            <w:r>
              <w:t>10</w:t>
            </w:r>
            <w:r>
              <w:fldChar w:fldCharType="end"/>
            </w:r>
          </w:hyperlink>
        </w:p>
        <w:p>
          <w:pPr>
            <w:pStyle w:val="11"/>
            <w:ind w:left="360"/>
            <w:tabs>
              <w:tab w:val="right" w:leader="dot" w:pos="9026"/>
            </w:tabs>
            <w:spacing w:before="120" w:after="60"/>
          </w:pPr>
          <w:hyperlink w:anchor="_Toc100030" w:history="1">
            <w:r>
              <w:rPr>
                <w:rStyle w:val="Hyperlink"/>
              </w:rPr>
              <w:t>7.2 SQL-First Design with Unmanaged Models</w:t>
            </w:r>
            <w:r>
              <w:tab/>
            </w:r>
            <w:r>
              <w:fldChar w:fldCharType="begin"/>
            </w:r>
            <w:r>
              <w:instrText xml:space="preserve"> PAGEREF _Toc100030 \h </w:instrText>
            </w:r>
            <w:r>
              <w:fldChar w:fldCharType="separate"/>
            </w:r>
            <w:r>
              <w:t>10</w:t>
            </w:r>
            <w:r>
              <w:fldChar w:fldCharType="end"/>
            </w:r>
          </w:hyperlink>
        </w:p>
        <w:p>
          <w:pPr>
            <w:pStyle w:val="11"/>
            <w:ind w:left="360"/>
            <w:tabs>
              <w:tab w:val="right" w:leader="dot" w:pos="9026"/>
            </w:tabs>
            <w:spacing w:before="120" w:after="60"/>
          </w:pPr>
          <w:hyperlink w:anchor="_Toc100031" w:history="1">
            <w:r>
              <w:rPr>
                <w:rStyle w:val="Hyperlink"/>
              </w:rPr>
              <w:t>7.3 Defense-in-Depth Authentication</w:t>
            </w:r>
            <w:r>
              <w:tab/>
            </w:r>
            <w:r>
              <w:fldChar w:fldCharType="begin"/>
            </w:r>
            <w:r>
              <w:instrText xml:space="preserve"> PAGEREF _Toc100031 \h </w:instrText>
            </w:r>
            <w:r>
              <w:fldChar w:fldCharType="separate"/>
            </w:r>
            <w:r>
              <w:t>10</w:t>
            </w:r>
            <w:r>
              <w:fldChar w:fldCharType="end"/>
            </w:r>
          </w:hyperlink>
        </w:p>
        <w:p>
          <w:pPr>
            <w:pStyle w:val="11"/>
            <w:ind w:left="360"/>
            <w:tabs>
              <w:tab w:val="right" w:leader="dot" w:pos="9026"/>
            </w:tabs>
            <w:spacing w:before="120" w:after="60"/>
          </w:pPr>
          <w:hyperlink w:anchor="_Toc100032" w:history="1">
            <w:r>
              <w:rPr>
                <w:rStyle w:val="Hyperlink"/>
              </w:rPr>
              <w:t>7.4 Comprehensive RLS Implementation</w:t>
            </w:r>
            <w:r>
              <w:tab/>
            </w:r>
            <w:r>
              <w:fldChar w:fldCharType="begin"/>
            </w:r>
            <w:r>
              <w:instrText xml:space="preserve"> PAGEREF _Toc100032 \h </w:instrText>
            </w:r>
            <w:r>
              <w:fldChar w:fldCharType="separate"/>
            </w:r>
            <w:r>
              <w:t>10</w:t>
            </w:r>
            <w:r>
              <w:fldChar w:fldCharType="end"/>
            </w:r>
          </w:hyperlink>
        </w:p>
        <w:p>
          <w:pPr>
            <w:pStyle w:val="11"/>
            <w:ind w:left="360"/>
            <w:tabs>
              <w:tab w:val="right" w:leader="dot" w:pos="9026"/>
            </w:tabs>
            <w:spacing w:before="120" w:after="60"/>
          </w:pPr>
          <w:hyperlink w:anchor="_Toc100033" w:history="1">
            <w:r>
              <w:rPr>
                <w:rStyle w:val="Hyperlink"/>
              </w:rPr>
              <w:t>7.5 Test Infrastructure</w:t>
            </w:r>
            <w:r>
              <w:tab/>
            </w:r>
            <w:r>
              <w:fldChar w:fldCharType="begin"/>
            </w:r>
            <w:r>
              <w:instrText xml:space="preserve"> PAGEREF _Toc100033 \h </w:instrText>
            </w:r>
            <w:r>
              <w:fldChar w:fldCharType="separate"/>
            </w:r>
            <w:r>
              <w:t>11</w:t>
            </w:r>
            <w:r>
              <w:fldChar w:fldCharType="end"/>
            </w:r>
          </w:hyperlink>
        </w:p>
        <w:p>
          <w:pPr>
            <w:pStyle w:val="9"/>
            <w:tabs>
              <w:tab w:val="right" w:leader="dot" w:pos="9026"/>
            </w:tabs>
            <w:spacing w:before="120" w:after="60"/>
          </w:pPr>
          <w:hyperlink w:anchor="_Toc100034" w:history="1">
            <w:r>
              <w:rPr>
                <w:rStyle w:val="Hyperlink"/>
              </w:rPr>
              <w:t>8. Prioritized Remediation Plan</w:t>
            </w:r>
            <w:r>
              <w:tab/>
            </w:r>
            <w:r>
              <w:fldChar w:fldCharType="begin"/>
            </w:r>
            <w:r>
              <w:instrText xml:space="preserve"> PAGEREF _Toc100034 \h </w:instrText>
            </w:r>
            <w:r>
              <w:fldChar w:fldCharType="separate"/>
            </w:r>
            <w:r>
              <w:t>11</w:t>
            </w:r>
            <w:r>
              <w:fldChar w:fldCharType="end"/>
            </w:r>
          </w:hyperlink>
        </w:p>
        <w:p>
          <w:pPr>
            <w:pStyle w:val="11"/>
            <w:ind w:left="360"/>
            <w:tabs>
              <w:tab w:val="right" w:leader="dot" w:pos="9026"/>
            </w:tabs>
            <w:spacing w:before="120" w:after="60"/>
          </w:pPr>
          <w:hyperlink w:anchor="_Toc100035" w:history="1">
            <w:r>
              <w:rPr>
                <w:rStyle w:val="Hyperlink"/>
              </w:rPr>
              <w:t>8.1 Phase 1: Critical Fixes (Immediate, 1-3 Days)</w:t>
            </w:r>
            <w:r>
              <w:tab/>
            </w:r>
            <w:r>
              <w:fldChar w:fldCharType="begin"/>
            </w:r>
            <w:r>
              <w:instrText xml:space="preserve"> PAGEREF _Toc100035 \h </w:instrText>
            </w:r>
            <w:r>
              <w:fldChar w:fldCharType="separate"/>
            </w:r>
            <w:r>
              <w:t>11</w:t>
            </w:r>
            <w:r>
              <w:fldChar w:fldCharType="end"/>
            </w:r>
          </w:hyperlink>
        </w:p>
        <w:p>
          <w:pPr>
            <w:pStyle w:val="11"/>
            <w:ind w:left="360"/>
            <w:tabs>
              <w:tab w:val="right" w:leader="dot" w:pos="9026"/>
            </w:tabs>
            <w:spacing w:before="120" w:after="60"/>
          </w:pPr>
          <w:hyperlink w:anchor="_Toc100036" w:history="1">
            <w:r>
              <w:rPr>
                <w:rStyle w:val="Hyperlink"/>
              </w:rPr>
              <w:t>8.2 Phase 2: High Priority Fixes (1 Week)</w:t>
            </w:r>
            <w:r>
              <w:tab/>
            </w:r>
            <w:r>
              <w:fldChar w:fldCharType="begin"/>
            </w:r>
            <w:r>
              <w:instrText xml:space="preserve"> PAGEREF _Toc100036 \h </w:instrText>
            </w:r>
            <w:r>
              <w:fldChar w:fldCharType="separate"/>
            </w:r>
            <w:r>
              <w:t>11</w:t>
            </w:r>
            <w:r>
              <w:fldChar w:fldCharType="end"/>
            </w:r>
          </w:hyperlink>
        </w:p>
        <w:p>
          <w:pPr>
            <w:pStyle w:val="11"/>
            <w:ind w:left="360"/>
            <w:tabs>
              <w:tab w:val="right" w:leader="dot" w:pos="9026"/>
            </w:tabs>
            <w:spacing w:before="120" w:after="60"/>
          </w:pPr>
          <w:hyperlink w:anchor="_Toc100037" w:history="1">
            <w:r>
              <w:rPr>
                <w:rStyle w:val="Hyperlink"/>
              </w:rPr>
              <w:t>8.3 Phase 3: Documentation &amp; Code Quality (2 Weeks)</w:t>
            </w:r>
            <w:r>
              <w:tab/>
            </w:r>
            <w:r>
              <w:fldChar w:fldCharType="begin"/>
            </w:r>
            <w:r>
              <w:instrText xml:space="preserve"> PAGEREF _Toc100037 \h </w:instrText>
            </w:r>
            <w:r>
              <w:fldChar w:fldCharType="separate"/>
            </w:r>
            <w:r>
              <w:t>12</w:t>
            </w:r>
            <w:r>
              <w:fldChar w:fldCharType="end"/>
            </w:r>
          </w:hyperlink>
        </w:p>
        <w:p>
          <w:pPr>
            <w:pStyle w:val="9"/>
            <w:tabs>
              <w:tab w:val="right" w:leader="dot" w:pos="9026"/>
            </w:tabs>
            <w:spacing w:before="120" w:after="60"/>
          </w:pPr>
          <w:hyperlink w:anchor="_Toc100038" w:history="1">
            <w:r>
              <w:rPr>
                <w:rStyle w:val="Hyperlink"/>
              </w:rPr>
              <w:t>9. Strategic Recommendations</w:t>
            </w:r>
            <w:r>
              <w:tab/>
            </w:r>
            <w:r>
              <w:fldChar w:fldCharType="begin"/>
            </w:r>
            <w:r>
              <w:instrText xml:space="preserve"> PAGEREF _Toc100038 \h </w:instrText>
            </w:r>
            <w:r>
              <w:fldChar w:fldCharType="separate"/>
            </w:r>
            <w:r>
              <w:t>12</w:t>
            </w:r>
            <w:r>
              <w:fldChar w:fldCharType="end"/>
            </w:r>
          </w:hyperlink>
        </w:p>
        <w:p>
          <w:pPr>
            <w:pStyle w:val="11"/>
            <w:ind w:left="360"/>
            <w:tabs>
              <w:tab w:val="right" w:leader="dot" w:pos="9026"/>
            </w:tabs>
            <w:spacing w:before="120" w:after="60"/>
          </w:pPr>
          <w:hyperlink w:anchor="_Toc100039" w:history="1">
            <w:r>
              <w:rPr>
                <w:rStyle w:val="Hyperlink"/>
              </w:rPr>
              <w:t>9.1 Single Source of Truth for Metrics</w:t>
            </w:r>
            <w:r>
              <w:tab/>
            </w:r>
            <w:r>
              <w:fldChar w:fldCharType="begin"/>
            </w:r>
            <w:r>
              <w:instrText xml:space="preserve"> PAGEREF _Toc100039 \h </w:instrText>
            </w:r>
            <w:r>
              <w:fldChar w:fldCharType="separate"/>
            </w:r>
            <w:r>
              <w:t>12</w:t>
            </w:r>
            <w:r>
              <w:fldChar w:fldCharType="end"/>
            </w:r>
          </w:hyperlink>
        </w:p>
        <w:p>
          <w:pPr>
            <w:pStyle w:val="11"/>
            <w:ind w:left="360"/>
            <w:tabs>
              <w:tab w:val="right" w:leader="dot" w:pos="9026"/>
            </w:tabs>
            <w:spacing w:before="120" w:after="60"/>
          </w:pPr>
          <w:hyperlink w:anchor="_Toc100040" w:history="1">
            <w:r>
              <w:rPr>
                <w:rStyle w:val="Hyperlink"/>
              </w:rPr>
              <w:t>9.2 Add Pre-commit Hooks for Documentation Consistency</w:t>
            </w:r>
            <w:r>
              <w:tab/>
            </w:r>
            <w:r>
              <w:fldChar w:fldCharType="begin"/>
            </w:r>
            <w:r>
              <w:instrText xml:space="preserve"> PAGEREF _Toc100040 \h </w:instrText>
            </w:r>
            <w:r>
              <w:fldChar w:fldCharType="separate"/>
            </w:r>
            <w:r>
              <w:t>12</w:t>
            </w:r>
            <w:r>
              <w:fldChar w:fldCharType="end"/>
            </w:r>
          </w:hyperlink>
        </w:p>
        <w:p>
          <w:pPr>
            <w:pStyle w:val="11"/>
            <w:ind w:left="360"/>
            <w:tabs>
              <w:tab w:val="right" w:leader="dot" w:pos="9026"/>
            </w:tabs>
            <w:spacing w:before="120" w:after="60"/>
          </w:pPr>
          <w:hyperlink w:anchor="_Toc100041" w:history="1">
            <w:r>
              <w:rPr>
                <w:rStyle w:val="Hyperlink"/>
              </w:rPr>
              <w:t>9.3 Implement End-to-End Contract Testing</w:t>
            </w:r>
            <w:r>
              <w:tab/>
            </w:r>
            <w:r>
              <w:fldChar w:fldCharType="begin"/>
            </w:r>
            <w:r>
              <w:instrText xml:space="preserve"> PAGEREF _Toc100041 \h </w:instrText>
            </w:r>
            <w:r>
              <w:fldChar w:fldCharType="separate"/>
            </w:r>
            <w:r>
              <w:t>13</w:t>
            </w:r>
            <w:r>
              <w:fldChar w:fldCharType="end"/>
            </w:r>
          </w:hyperlink>
        </w:p>
        <w:p>
          <w:pPr>
            <w:pStyle w:val="11"/>
            <w:ind w:left="360"/>
            <w:tabs>
              <w:tab w:val="right" w:leader="dot" w:pos="9026"/>
            </w:tabs>
            <w:spacing w:before="120" w:after="60"/>
          </w:pPr>
          <w:hyperlink w:anchor="_Toc100042" w:history="1">
            <w:r>
              <w:rPr>
                <w:rStyle w:val="Hyperlink"/>
              </w:rPr>
              <w:t>9.4 Security Posture Enhancement</w:t>
            </w:r>
            <w:r>
              <w:tab/>
            </w:r>
            <w:r>
              <w:fldChar w:fldCharType="begin"/>
            </w:r>
            <w:r>
              <w:instrText xml:space="preserve"> PAGEREF _Toc100042 \h </w:instrText>
            </w:r>
            <w:r>
              <w:fldChar w:fldCharType="separate"/>
            </w:r>
            <w:r>
              <w:t>13</w:t>
            </w:r>
            <w:r>
              <w:fldChar w:fldCharType="end"/>
            </w:r>
          </w:hyperlink>
        </w:p>
        <w:p>
          <w:pPr>
            <w:pStyle w:val="11"/>
            <w:ind w:left="360"/>
            <w:tabs>
              <w:tab w:val="right" w:leader="dot" w:pos="9026"/>
            </w:tabs>
            <w:spacing w:before="120" w:after="60"/>
          </w:pPr>
          <w:hyperlink w:anchor="_Toc100043" w:history="1">
            <w:r>
              <w:rPr>
                <w:rStyle w:val="Hyperlink"/>
              </w:rPr>
              <w:t>9.5 Database Migration Strategy</w:t>
            </w:r>
            <w:r>
              <w:tab/>
            </w:r>
            <w:r>
              <w:fldChar w:fldCharType="begin"/>
            </w:r>
            <w:r>
              <w:instrText xml:space="preserve"> PAGEREF _Toc100043 \h </w:instrText>
            </w:r>
            <w:r>
              <w:fldChar w:fldCharType="separate"/>
            </w:r>
            <w:r>
              <w:t>13</w:t>
            </w:r>
            <w:r>
              <w:fldChar w:fldCharType="end"/>
            </w:r>
          </w:hyperlink>
        </w:p>
        <w:p>
          <w:pPr>
            <w:pStyle w:val="9"/>
            <w:tabs>
              <w:tab w:val="right" w:leader="dot" w:pos="9026"/>
            </w:tabs>
            <w:spacing w:before="120" w:after="60"/>
          </w:pPr>
          <w:hyperlink w:anchor="_Toc100044" w:history="1">
            <w:r>
              <w:rPr>
                <w:rStyle w:val="Hyperlink"/>
              </w:rPr>
              <w:t>10. Conclusion</w:t>
            </w:r>
            <w:r>
              <w:tab/>
            </w:r>
            <w:r>
              <w:fldChar w:fldCharType="begin"/>
            </w:r>
            <w:r>
              <w:instrText xml:space="preserve"> PAGEREF _Toc100044 \h </w:instrText>
            </w:r>
            <w:r>
              <w:fldChar w:fldCharType="separate"/>
            </w:r>
            <w:r>
              <w:t>13</w:t>
            </w:r>
            <w:r>
              <w:fldChar w:fldCharType="end"/>
            </w:r>
          </w:hyperlink>
        </w:p>
        <w:p>
          <w:r>
            <w:fldChar w:fldCharType="end"/>
          </w:r>
        </w:p>
      </w:sdtContent>
    </w:sdt>
    <w:p>
      <w:r>
        <w:br w:type="page"/>
      </w:r>
    </w:p>
    <w:p>
      <w:pPr>
        <w:spacing w:before="200"/>
        <w:jc w:val="center"/>
      </w:pPr>
      <w:r>
        <w:rPr>
          <w:rFonts w:ascii="Calibri" w:eastAsia="Microsoft YaHei"/>
          <w:i/>
          <w:iCs/>
          <w:color w:val="6878A0"/>
          <w:sz w:val="18"/>
          <w:szCs w:val="18"/>
        </w:rPr>
        <w:t xml:space="preserve">Right-click the TOC and select “Update Field” to refresh page numbers after opening.</w:t>
      </w:r>
    </w:p>
    <w:p>
      <w:pPr>
        <w:sectPr>
          <w:footerReference w:type="default" r:id="rId7"/>
          <w:pgSz w:w="11906" w:h="16838" w:orient="portrait"/>
          <w:pgMar w:top="1440" w:right="1417" w:bottom="1440" w:left="1701" w:header="708" w:footer="708" w:gutter="0"/>
          <w:pgNumType w:start="1" w:fmt="upperRoman"/>
          <w:docGrid w:linePitch="360"/>
        </w:sectPr>
      </w:pPr>
    </w:p>
    <w:p>
      <w:pPr>
        <w:pStyle w:val="Heading1"/>
        <w:spacing w:after="120" w:before="360"/>
      </w:pPr>
      <w:bookmarkStart w:id="100000" w:name="_Toc100000"/>
      <w:r>
        <w:rPr>
          <w:rFonts w:ascii="Calibri" w:eastAsia="SimHei"/>
          <w:b/>
          <w:bCs/>
          <w:color w:val="0A1628"/>
          <w:sz w:val="32"/>
          <w:szCs w:val="32"/>
        </w:rPr>
        <w:t xml:space="preserve">1. Executive Summary</w:t>
      </w:r>
      <w:bookmarkEnd w:id="100000"/>
    </w:p>
    <w:p>
      <w:pPr>
        <w:spacing w:after="80" w:line="312"/>
        <w:jc w:val="both"/>
      </w:pPr>
      <w:r>
        <w:rPr>
          <w:rFonts w:ascii="Calibri" w:eastAsia="Microsoft YaHei"/>
          <w:color w:val="1A2B40"/>
          <w:sz w:val="22"/>
          <w:szCs w:val="22"/>
        </w:rPr>
        <w:t xml:space="preserve">This report presents the findings of a comprehensive code review and audit of the LedgerSG project, a production-grade double-entry accounting platform purpose-built for Singapore SMBs. The audit covered the entire codebase including the Django 6.0.2 backend, Next.js 16.1.6 frontend, PostgreSQL database schema, and all supporting documentation. The review was conducted against the project's own stated architectural mandates as defined in CLAUDE.md, AGENTS.md, GEMINI.md, README.md, Project_Architecture_Document.md, and API_CLI_Usage_Guide.md.</w:t>
      </w:r>
    </w:p>
    <w:p>
      <w:pPr>
        <w:spacing w:after="80" w:line="312"/>
        <w:jc w:val="both"/>
      </w:pPr>
      <w:r>
        <w:rPr>
          <w:rFonts w:ascii="Calibri" w:eastAsia="Microsoft YaHei"/>
          <w:color w:val="1A2B40"/>
          <w:sz w:val="22"/>
          <w:szCs w:val="22"/>
        </w:rPr>
        <w:t xml:space="preserve">The audit identified a total of 28 distinct issues across five severity levels: 4 Critical, 5 High, 10 Medium, 5 Low, and 4 Informational. While the project demonstrates strong architectural foundations and consistent adherence to its Service Layer Pattern and SQL-First design philosophy, several critical issues pose immediate risk to data integrity, financial accuracy, and security. These require urgent remediation before the platform can be considered truly production-ready.</w:t>
      </w:r>
    </w:p>
    <w:p>
      <w:pPr>
        <w:spacing w:after="80" w:line="312"/>
        <w:jc w:val="both"/>
      </w:pPr>
      <w:r>
        <w:rPr>
          <w:rFonts w:ascii="Calibri" w:eastAsia="Microsoft YaHei"/>
          <w:color w:val="1A2B40"/>
          <w:sz w:val="22"/>
          <w:szCs w:val="22"/>
        </w:rPr>
        <w:t xml:space="preserve">The most severe findings include: a dead-code superadmin check that silently bypasses authorization; a missing JWT blacklist that allows revoked tokens continued access; a journal reversal stub that silently skips creating reversal entries for voided invoices; and a hardcoded null UUID in GST calculation that produces incorrect tax computations. Additionally, significant documentation-to-code misalignments were discovered, with endpoint counts, model counts, and version numbers all inconsistent across the various documentation files.</w:t>
      </w:r>
    </w:p>
    <w:p>
      <w:pPr>
        <w:pStyle w:val="Heading2"/>
        <w:spacing w:after="100" w:before="280"/>
      </w:pPr>
      <w:bookmarkStart w:id="100001" w:name="_Toc100001"/>
      <w:r>
        <w:rPr>
          <w:rFonts w:ascii="Calibri" w:eastAsia="SimHei"/>
          <w:b/>
          <w:bCs/>
          <w:color w:val="0A1628"/>
          <w:sz w:val="28"/>
          <w:szCs w:val="28"/>
        </w:rPr>
        <w:t xml:space="preserve">1.1 Severity Distribution</w:t>
      </w:r>
      <w:bookmarkEnd w:id="100001"/>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0%"/>
            <w:tcBorders>
              <w:top w:val="single" w:color="D4875A" w:sz="2"/>
              <w:left w:val="none"/>
              <w:bottom w:val="single" w:color="D4875A" w:sz="2"/>
              <w:right w:val="none"/>
            </w:tcBorders>
            <w:shd w:fill="1A2330" w:val="clear"/>
            <w:tcMar>
              <w:top w:type="dxa" w:w="60"/>
              <w:left w:type="dxa" w:w="120"/>
              <w:bottom w:type="dxa" w:w="60"/>
              <w:right w:type="dxa" w:w="120"/>
            </w:tcMar>
          </w:tcPr>
          <w:p>
            <w:r>
              <w:rPr>
                <w:rFonts w:ascii="Calibri" w:eastAsia="Microsoft YaHei"/>
                <w:b/>
                <w:bCs/>
                <w:color w:val="FFFFFF"/>
                <w:sz w:val="20"/>
                <w:szCs w:val="20"/>
              </w:rPr>
              <w:t xml:space="preserve">Severity</w:t>
            </w:r>
          </w:p>
        </w:tc>
        <w:tc>
          <w:tcPr>
            <w:tcW w:type="pct" w:w="45%"/>
            <w:tcBorders>
              <w:top w:val="single" w:color="D4875A" w:sz="2"/>
              <w:left w:val="none"/>
              <w:bottom w:val="single" w:color="D4875A" w:sz="2"/>
              <w:right w:val="none"/>
            </w:tcBorders>
            <w:shd w:fill="1A2330" w:val="clear"/>
            <w:tcMar>
              <w:top w:type="dxa" w:w="60"/>
              <w:left w:type="dxa" w:w="120"/>
              <w:bottom w:type="dxa" w:w="60"/>
              <w:right w:type="dxa" w:w="120"/>
            </w:tcMar>
          </w:tcPr>
          <w:p>
            <w:r>
              <w:rPr>
                <w:rFonts w:ascii="Calibri" w:eastAsia="Microsoft YaHei"/>
                <w:b/>
                <w:bCs/>
                <w:color w:val="FFFFFF"/>
                <w:sz w:val="20"/>
                <w:szCs w:val="20"/>
              </w:rPr>
              <w:t xml:space="preserve">Count</w:t>
            </w:r>
          </w:p>
        </w:tc>
        <w:tc>
          <w:tcPr>
            <w:tcW w:type="pct" w:w="45%"/>
            <w:tcBorders>
              <w:top w:val="single" w:color="D4875A" w:sz="2"/>
              <w:left w:val="none"/>
              <w:bottom w:val="single" w:color="D4875A" w:sz="2"/>
              <w:right w:val="none"/>
            </w:tcBorders>
            <w:shd w:fill="1A2330" w:val="clear"/>
            <w:tcMar>
              <w:top w:type="dxa" w:w="60"/>
              <w:left w:type="dxa" w:w="120"/>
              <w:bottom w:type="dxa" w:w="60"/>
              <w:right w:type="dxa" w:w="120"/>
            </w:tcMar>
          </w:tcPr>
          <w:p>
            <w:r>
              <w:rPr>
                <w:rFonts w:ascii="Calibri" w:eastAsia="Microsoft YaHei"/>
                <w:b/>
                <w:bCs/>
                <w:color w:val="FFFFFF"/>
                <w:sz w:val="20"/>
                <w:szCs w:val="20"/>
              </w:rPr>
              <w:t xml:space="preserve">Description</w:t>
            </w:r>
          </w:p>
        </w:tc>
      </w:tr>
      <w:tr>
        <w:tc>
          <w:tcPr>
            <w:tcW w:type="pct" w:w="10%"/>
            <w:tcBorders>
              <w:top w:val="none"/>
              <w:left w:val="none"/>
              <w:bottom w:val="single" w:color="D0D8E0" w:sz="1"/>
              <w:right w:val="none"/>
            </w:tcBorders>
            <w:shd w:fill="F4F8FC" w:val="clear"/>
            <w:tcMar>
              <w:top w:type="dxa" w:w="60"/>
              <w:left w:type="dxa" w:w="120"/>
              <w:bottom w:type="dxa" w:w="60"/>
              <w:right w:type="dxa" w:w="120"/>
            </w:tcMar>
          </w:tcPr>
          <w:p>
            <w:r>
              <w:rPr>
                <w:rFonts w:ascii="Calibri" w:eastAsia="Microsoft YaHei"/>
                <w:color w:val="1A2B40"/>
                <w:sz w:val="20"/>
                <w:szCs w:val="20"/>
              </w:rPr>
              <w:t xml:space="preserve">CRITICAL</w:t>
            </w:r>
          </w:p>
        </w:tc>
        <w:tc>
          <w:tcPr>
            <w:tcW w:type="pct" w:w="45%"/>
            <w:tcBorders>
              <w:top w:val="none"/>
              <w:left w:val="none"/>
              <w:bottom w:val="single" w:color="D0D8E0" w:sz="1"/>
              <w:right w:val="none"/>
            </w:tcBorders>
            <w:shd w:fill="F4F8FC" w:val="clear"/>
            <w:tcMar>
              <w:top w:type="dxa" w:w="60"/>
              <w:left w:type="dxa" w:w="120"/>
              <w:bottom w:type="dxa" w:w="60"/>
              <w:right w:type="dxa" w:w="120"/>
            </w:tcMar>
          </w:tcPr>
          <w:p>
            <w:r>
              <w:rPr>
                <w:rFonts w:ascii="Calibri" w:eastAsia="Microsoft YaHei"/>
                <w:color w:val="1A2B40"/>
                <w:sz w:val="20"/>
                <w:szCs w:val="20"/>
              </w:rPr>
              <w:t xml:space="preserve">4</w:t>
            </w:r>
          </w:p>
        </w:tc>
        <w:tc>
          <w:tcPr>
            <w:tcW w:type="pct" w:w="45%"/>
            <w:tcBorders>
              <w:top w:val="none"/>
              <w:left w:val="none"/>
              <w:bottom w:val="single" w:color="D0D8E0" w:sz="1"/>
              <w:right w:val="none"/>
            </w:tcBorders>
            <w:shd w:fill="F4F8FC" w:val="clear"/>
            <w:tcMar>
              <w:top w:type="dxa" w:w="60"/>
              <w:left w:type="dxa" w:w="120"/>
              <w:bottom w:type="dxa" w:w="60"/>
              <w:right w:type="dxa" w:w="120"/>
            </w:tcMar>
          </w:tcPr>
          <w:p>
            <w:r>
              <w:rPr>
                <w:rFonts w:ascii="Calibri" w:eastAsia="Microsoft YaHei"/>
                <w:color w:val="1A2B40"/>
                <w:sz w:val="20"/>
                <w:szCs w:val="20"/>
              </w:rPr>
              <w:t xml:space="preserve">Data loss, financial corruption, or security breach possible</w:t>
            </w:r>
          </w:p>
        </w:tc>
      </w:tr>
      <w:tr>
        <w:tc>
          <w:tcPr>
            <w:tcW w:type="pct" w:w="10%"/>
            <w:tcBorders>
              <w:top w:val="none"/>
              <w:left w:val="none"/>
              <w:bottom w:val="single" w:color="D0D8E0" w:sz="1"/>
              <w:right w:val="none"/>
            </w:tcBorders>
            <w:shd w:fill="FFFFFF" w:val="clear"/>
            <w:tcMar>
              <w:top w:type="dxa" w:w="60"/>
              <w:left w:type="dxa" w:w="120"/>
              <w:bottom w:type="dxa" w:w="60"/>
              <w:right w:type="dxa" w:w="120"/>
            </w:tcMar>
          </w:tcPr>
          <w:p>
            <w:r>
              <w:rPr>
                <w:rFonts w:ascii="Calibri" w:eastAsia="Microsoft YaHei"/>
                <w:color w:val="1A2B40"/>
                <w:sz w:val="20"/>
                <w:szCs w:val="20"/>
              </w:rPr>
              <w:t xml:space="preserve">HIGH</w:t>
            </w:r>
          </w:p>
        </w:tc>
        <w:tc>
          <w:tcPr>
            <w:tcW w:type="pct" w:w="45%"/>
            <w:tcBorders>
              <w:top w:val="none"/>
              <w:left w:val="none"/>
              <w:bottom w:val="single" w:color="D0D8E0" w:sz="1"/>
              <w:right w:val="none"/>
            </w:tcBorders>
            <w:shd w:fill="FFFFFF" w:val="clear"/>
            <w:tcMar>
              <w:top w:type="dxa" w:w="60"/>
              <w:left w:type="dxa" w:w="120"/>
              <w:bottom w:type="dxa" w:w="60"/>
              <w:right w:type="dxa" w:w="120"/>
            </w:tcMar>
          </w:tcPr>
          <w:p>
            <w:r>
              <w:rPr>
                <w:rFonts w:ascii="Calibri" w:eastAsia="Microsoft YaHei"/>
                <w:color w:val="1A2B40"/>
                <w:sz w:val="20"/>
                <w:szCs w:val="20"/>
              </w:rPr>
              <w:t xml:space="preserve">5</w:t>
            </w:r>
          </w:p>
        </w:tc>
        <w:tc>
          <w:tcPr>
            <w:tcW w:type="pct" w:w="45%"/>
            <w:tcBorders>
              <w:top w:val="none"/>
              <w:left w:val="none"/>
              <w:bottom w:val="single" w:color="D0D8E0" w:sz="1"/>
              <w:right w:val="none"/>
            </w:tcBorders>
            <w:shd w:fill="FFFFFF" w:val="clear"/>
            <w:tcMar>
              <w:top w:type="dxa" w:w="60"/>
              <w:left w:type="dxa" w:w="120"/>
              <w:bottom w:type="dxa" w:w="60"/>
              <w:right w:type="dxa" w:w="120"/>
            </w:tcMar>
          </w:tcPr>
          <w:p>
            <w:r>
              <w:rPr>
                <w:rFonts w:ascii="Calibri" w:eastAsia="Microsoft YaHei"/>
                <w:color w:val="1A2B40"/>
                <w:sz w:val="20"/>
                <w:szCs w:val="20"/>
              </w:rPr>
              <w:t xml:space="preserve">Significant functionality broken or security weakness</w:t>
            </w:r>
          </w:p>
        </w:tc>
      </w:tr>
      <w:tr>
        <w:tc>
          <w:tcPr>
            <w:tcW w:type="pct" w:w="10%"/>
            <w:tcBorders>
              <w:top w:val="none"/>
              <w:left w:val="none"/>
              <w:bottom w:val="single" w:color="D0D8E0" w:sz="1"/>
              <w:right w:val="none"/>
            </w:tcBorders>
            <w:shd w:fill="F4F8FC" w:val="clear"/>
            <w:tcMar>
              <w:top w:type="dxa" w:w="60"/>
              <w:left w:type="dxa" w:w="120"/>
              <w:bottom w:type="dxa" w:w="60"/>
              <w:right w:type="dxa" w:w="120"/>
            </w:tcMar>
          </w:tcPr>
          <w:p>
            <w:r>
              <w:rPr>
                <w:rFonts w:ascii="Calibri" w:eastAsia="Microsoft YaHei"/>
                <w:color w:val="1A2B40"/>
                <w:sz w:val="20"/>
                <w:szCs w:val="20"/>
              </w:rPr>
              <w:t xml:space="preserve">MEDIUM</w:t>
            </w:r>
          </w:p>
        </w:tc>
        <w:tc>
          <w:tcPr>
            <w:tcW w:type="pct" w:w="45%"/>
            <w:tcBorders>
              <w:top w:val="none"/>
              <w:left w:val="none"/>
              <w:bottom w:val="single" w:color="D0D8E0" w:sz="1"/>
              <w:right w:val="none"/>
            </w:tcBorders>
            <w:shd w:fill="F4F8FC" w:val="clear"/>
            <w:tcMar>
              <w:top w:type="dxa" w:w="60"/>
              <w:left w:type="dxa" w:w="120"/>
              <w:bottom w:type="dxa" w:w="60"/>
              <w:right w:type="dxa" w:w="120"/>
            </w:tcMar>
          </w:tcPr>
          <w:p>
            <w:r>
              <w:rPr>
                <w:rFonts w:ascii="Calibri" w:eastAsia="Microsoft YaHei"/>
                <w:color w:val="1A2B40"/>
                <w:sz w:val="20"/>
                <w:szCs w:val="20"/>
              </w:rPr>
              <w:t xml:space="preserve">10</w:t>
            </w:r>
          </w:p>
        </w:tc>
        <w:tc>
          <w:tcPr>
            <w:tcW w:type="pct" w:w="45%"/>
            <w:tcBorders>
              <w:top w:val="none"/>
              <w:left w:val="none"/>
              <w:bottom w:val="single" w:color="D0D8E0" w:sz="1"/>
              <w:right w:val="none"/>
            </w:tcBorders>
            <w:shd w:fill="F4F8FC" w:val="clear"/>
            <w:tcMar>
              <w:top w:type="dxa" w:w="60"/>
              <w:left w:type="dxa" w:w="120"/>
              <w:bottom w:type="dxa" w:w="60"/>
              <w:right w:type="dxa" w:w="120"/>
            </w:tcMar>
          </w:tcPr>
          <w:p>
            <w:r>
              <w:rPr>
                <w:rFonts w:ascii="Calibri" w:eastAsia="Microsoft YaHei"/>
                <w:color w:val="1A2B40"/>
                <w:sz w:val="20"/>
                <w:szCs w:val="20"/>
              </w:rPr>
              <w:t xml:space="preserve">Degraded functionality, potential race conditions, or code quality issues</w:t>
            </w:r>
          </w:p>
        </w:tc>
      </w:tr>
      <w:tr>
        <w:tc>
          <w:tcPr>
            <w:tcW w:type="pct" w:w="10%"/>
            <w:tcBorders>
              <w:top w:val="none"/>
              <w:left w:val="none"/>
              <w:bottom w:val="single" w:color="D0D8E0" w:sz="1"/>
              <w:right w:val="none"/>
            </w:tcBorders>
            <w:shd w:fill="FFFFFF" w:val="clear"/>
            <w:tcMar>
              <w:top w:type="dxa" w:w="60"/>
              <w:left w:type="dxa" w:w="120"/>
              <w:bottom w:type="dxa" w:w="60"/>
              <w:right w:type="dxa" w:w="120"/>
            </w:tcMar>
          </w:tcPr>
          <w:p>
            <w:r>
              <w:rPr>
                <w:rFonts w:ascii="Calibri" w:eastAsia="Microsoft YaHei"/>
                <w:color w:val="1A2B40"/>
                <w:sz w:val="20"/>
                <w:szCs w:val="20"/>
              </w:rPr>
              <w:t xml:space="preserve">LOW</w:t>
            </w:r>
          </w:p>
        </w:tc>
        <w:tc>
          <w:tcPr>
            <w:tcW w:type="pct" w:w="45%"/>
            <w:tcBorders>
              <w:top w:val="none"/>
              <w:left w:val="none"/>
              <w:bottom w:val="single" w:color="D0D8E0" w:sz="1"/>
              <w:right w:val="none"/>
            </w:tcBorders>
            <w:shd w:fill="FFFFFF" w:val="clear"/>
            <w:tcMar>
              <w:top w:type="dxa" w:w="60"/>
              <w:left w:type="dxa" w:w="120"/>
              <w:bottom w:type="dxa" w:w="60"/>
              <w:right w:type="dxa" w:w="120"/>
            </w:tcMar>
          </w:tcPr>
          <w:p>
            <w:r>
              <w:rPr>
                <w:rFonts w:ascii="Calibri" w:eastAsia="Microsoft YaHei"/>
                <w:color w:val="1A2B40"/>
                <w:sz w:val="20"/>
                <w:szCs w:val="20"/>
              </w:rPr>
              <w:t xml:space="preserve">5</w:t>
            </w:r>
          </w:p>
        </w:tc>
        <w:tc>
          <w:tcPr>
            <w:tcW w:type="pct" w:w="45%"/>
            <w:tcBorders>
              <w:top w:val="none"/>
              <w:left w:val="none"/>
              <w:bottom w:val="single" w:color="D0D8E0" w:sz="1"/>
              <w:right w:val="none"/>
            </w:tcBorders>
            <w:shd w:fill="FFFFFF" w:val="clear"/>
            <w:tcMar>
              <w:top w:type="dxa" w:w="60"/>
              <w:left w:type="dxa" w:w="120"/>
              <w:bottom w:type="dxa" w:w="60"/>
              <w:right w:type="dxa" w:w="120"/>
            </w:tcMar>
          </w:tcPr>
          <w:p>
            <w:r>
              <w:rPr>
                <w:rFonts w:ascii="Calibri" w:eastAsia="Microsoft YaHei"/>
                <w:color w:val="1A2B40"/>
                <w:sz w:val="20"/>
                <w:szCs w:val="20"/>
              </w:rPr>
              <w:t xml:space="preserve">Minor code quality, inconsistency, or cosmetic issues</w:t>
            </w:r>
          </w:p>
        </w:tc>
      </w:tr>
      <w:tr>
        <w:tc>
          <w:tcPr>
            <w:tcW w:type="pct" w:w="10%"/>
            <w:tcBorders>
              <w:top w:val="none"/>
              <w:left w:val="none"/>
              <w:bottom w:val="single" w:color="D0D8E0" w:sz="1"/>
              <w:right w:val="none"/>
            </w:tcBorders>
            <w:shd w:fill="F4F8FC" w:val="clear"/>
            <w:tcMar>
              <w:top w:type="dxa" w:w="60"/>
              <w:left w:type="dxa" w:w="120"/>
              <w:bottom w:type="dxa" w:w="60"/>
              <w:right w:type="dxa" w:w="120"/>
            </w:tcMar>
          </w:tcPr>
          <w:p>
            <w:r>
              <w:rPr>
                <w:rFonts w:ascii="Calibri" w:eastAsia="Microsoft YaHei"/>
                <w:color w:val="1A2B40"/>
                <w:sz w:val="20"/>
                <w:szCs w:val="20"/>
              </w:rPr>
              <w:t xml:space="preserve">INFO</w:t>
            </w:r>
          </w:p>
        </w:tc>
        <w:tc>
          <w:tcPr>
            <w:tcW w:type="pct" w:w="45%"/>
            <w:tcBorders>
              <w:top w:val="none"/>
              <w:left w:val="none"/>
              <w:bottom w:val="single" w:color="D0D8E0" w:sz="1"/>
              <w:right w:val="none"/>
            </w:tcBorders>
            <w:shd w:fill="F4F8FC" w:val="clear"/>
            <w:tcMar>
              <w:top w:type="dxa" w:w="60"/>
              <w:left w:type="dxa" w:w="120"/>
              <w:bottom w:type="dxa" w:w="60"/>
              <w:right w:type="dxa" w:w="120"/>
            </w:tcMar>
          </w:tcPr>
          <w:p>
            <w:r>
              <w:rPr>
                <w:rFonts w:ascii="Calibri" w:eastAsia="Microsoft YaHei"/>
                <w:color w:val="1A2B40"/>
                <w:sz w:val="20"/>
                <w:szCs w:val="20"/>
              </w:rPr>
              <w:t xml:space="preserve">4</w:t>
            </w:r>
          </w:p>
        </w:tc>
        <w:tc>
          <w:tcPr>
            <w:tcW w:type="pct" w:w="45%"/>
            <w:tcBorders>
              <w:top w:val="none"/>
              <w:left w:val="none"/>
              <w:bottom w:val="single" w:color="D0D8E0" w:sz="1"/>
              <w:right w:val="none"/>
            </w:tcBorders>
            <w:shd w:fill="F4F8FC" w:val="clear"/>
            <w:tcMar>
              <w:top w:type="dxa" w:w="60"/>
              <w:left w:type="dxa" w:w="120"/>
              <w:bottom w:type="dxa" w:w="60"/>
              <w:right w:type="dxa" w:w="120"/>
            </w:tcMar>
          </w:tcPr>
          <w:p>
            <w:r>
              <w:rPr>
                <w:rFonts w:ascii="Calibri" w:eastAsia="Microsoft YaHei"/>
                <w:color w:val="1A2B40"/>
                <w:sz w:val="20"/>
                <w:szCs w:val="20"/>
              </w:rPr>
              <w:t xml:space="preserve">Observations or recommendations for improvement</w:t>
            </w:r>
          </w:p>
        </w:tc>
      </w:tr>
    </w:tbl>
    <w:p>
      <w:pPr>
        <w:pStyle w:val="Heading1"/>
        <w:spacing w:after="120" w:before="360"/>
      </w:pPr>
      <w:bookmarkStart w:id="100002" w:name="_Toc100002"/>
      <w:r>
        <w:rPr>
          <w:rFonts w:ascii="Calibri" w:eastAsia="SimHei"/>
          <w:b/>
          <w:bCs/>
          <w:color w:val="0A1628"/>
          <w:sz w:val="32"/>
          <w:szCs w:val="32"/>
        </w:rPr>
        <w:t xml:space="preserve">2. Critical Findings</w:t>
      </w:r>
      <w:bookmarkEnd w:id="100002"/>
    </w:p>
    <w:p>
      <w:pPr>
        <w:spacing w:after="80" w:line="312"/>
        <w:jc w:val="both"/>
      </w:pPr>
      <w:r>
        <w:rPr>
          <w:rFonts w:ascii="Calibri" w:eastAsia="Microsoft YaHei"/>
          <w:color w:val="1A2B40"/>
          <w:sz w:val="22"/>
          <w:szCs w:val="22"/>
        </w:rPr>
        <w:t xml:space="preserve">The following four issues represent the highest-priority risks to the platform. Each one could result in financial data corruption, security breach, or regulatory non-compliance. They must be remediated before any production deployment.</w:t>
      </w:r>
    </w:p>
    <w:p>
      <w:pPr>
        <w:pStyle w:val="Heading2"/>
        <w:spacing w:after="100" w:before="280"/>
      </w:pPr>
      <w:bookmarkStart w:id="100003" w:name="_Toc100003"/>
      <w:r>
        <w:rPr>
          <w:rFonts w:ascii="Calibri" w:eastAsia="SimHei"/>
          <w:b/>
          <w:bCs/>
          <w:color w:val="0A1628"/>
          <w:sz w:val="28"/>
          <w:szCs w:val="28"/>
        </w:rPr>
        <w:t xml:space="preserve">2.1 C-01: Dead Superadmin Authorization Check</w:t>
      </w:r>
      <w:bookmarkEnd w:id="100003"/>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0%"/>
            <w:tcBorders>
              <w:top w:val="single" w:color="D4875A" w:sz="2"/>
              <w:left w:val="none"/>
              <w:bottom w:val="single" w:color="D4875A" w:sz="2"/>
              <w:right w:val="none"/>
            </w:tcBorders>
            <w:shd w:fill="1A2330" w:val="clear"/>
            <w:tcMar>
              <w:top w:type="dxa" w:w="60"/>
              <w:left w:type="dxa" w:w="120"/>
              <w:bottom w:type="dxa" w:w="60"/>
              <w:right w:type="dxa" w:w="120"/>
            </w:tcMar>
          </w:tcPr>
          <w:p>
            <w:r>
              <w:rPr>
                <w:rFonts w:ascii="Calibri" w:eastAsia="Microsoft YaHei"/>
                <w:b/>
                <w:bCs/>
                <w:color w:val="FFFFFF"/>
                <w:sz w:val="20"/>
                <w:szCs w:val="20"/>
              </w:rPr>
              <w:t xml:space="preserve">ID</w:t>
            </w:r>
          </w:p>
        </w:tc>
        <w:tc>
          <w:tcPr>
            <w:tcW w:type="pct" w:w="12%"/>
            <w:tcBorders>
              <w:top w:val="single" w:color="D4875A" w:sz="2"/>
              <w:left w:val="none"/>
              <w:bottom w:val="single" w:color="D4875A" w:sz="2"/>
              <w:right w:val="none"/>
            </w:tcBorders>
            <w:shd w:fill="1A2330" w:val="clear"/>
            <w:tcMar>
              <w:top w:type="dxa" w:w="60"/>
              <w:left w:type="dxa" w:w="120"/>
              <w:bottom w:type="dxa" w:w="60"/>
              <w:right w:type="dxa" w:w="120"/>
            </w:tcMar>
          </w:tcPr>
          <w:p>
            <w:r>
              <w:rPr>
                <w:rFonts w:ascii="Calibri" w:eastAsia="Microsoft YaHei"/>
                <w:b/>
                <w:bCs/>
                <w:color w:val="FFFFFF"/>
                <w:sz w:val="20"/>
                <w:szCs w:val="20"/>
              </w:rPr>
              <w:t xml:space="preserve">Severity</w:t>
            </w:r>
          </w:p>
        </w:tc>
        <w:tc>
          <w:tcPr>
            <w:tcW w:type="pct" w:w="78%"/>
            <w:tcBorders>
              <w:top w:val="single" w:color="D4875A" w:sz="2"/>
              <w:left w:val="none"/>
              <w:bottom w:val="single" w:color="D4875A" w:sz="2"/>
              <w:right w:val="none"/>
            </w:tcBorders>
            <w:shd w:fill="1A2330" w:val="clear"/>
            <w:tcMar>
              <w:top w:type="dxa" w:w="60"/>
              <w:left w:type="dxa" w:w="120"/>
              <w:bottom w:type="dxa" w:w="60"/>
              <w:right w:type="dxa" w:w="120"/>
            </w:tcMar>
          </w:tcPr>
          <w:p>
            <w:r>
              <w:rPr>
                <w:rFonts w:ascii="Calibri" w:eastAsia="Microsoft YaHei"/>
                <w:b/>
                <w:bCs/>
                <w:color w:val="FFFFFF"/>
                <w:sz w:val="20"/>
                <w:szCs w:val="20"/>
              </w:rPr>
              <w:t xml:space="preserve">Title</w:t>
            </w:r>
          </w:p>
        </w:tc>
      </w:tr>
      <w:tr>
        <w:tc>
          <w:tcPr>
            <w:tcW w:type="pct" w:w="10%"/>
            <w:tcBorders>
              <w:top w:val="none"/>
              <w:left w:val="none"/>
              <w:bottom w:val="single" w:color="D0D8E0" w:sz="1"/>
              <w:right w:val="none"/>
            </w:tcBorders>
            <w:shd w:fill="FFFFFF" w:val="clear"/>
            <w:tcMar>
              <w:top w:type="dxa" w:w="60"/>
              <w:left w:type="dxa" w:w="120"/>
              <w:bottom w:type="dxa" w:w="60"/>
              <w:right w:type="dxa" w:w="120"/>
            </w:tcMar>
          </w:tcPr>
          <w:p>
            <w:r>
              <w:rPr>
                <w:rFonts w:ascii="Calibri" w:eastAsia="Microsoft YaHei"/>
                <w:color w:val="1A2B40"/>
                <w:sz w:val="20"/>
                <w:szCs w:val="20"/>
              </w:rPr>
              <w:t xml:space="preserve">C-01</w:t>
            </w:r>
          </w:p>
        </w:tc>
        <w:tc>
          <w:tcPr>
            <w:tcW w:type="pct" w:w="12%"/>
            <w:tcBorders>
              <w:top w:val="none"/>
              <w:left w:val="none"/>
              <w:bottom w:val="single" w:color="D0D8E0" w:sz="1"/>
              <w:right w:val="none"/>
            </w:tcBorders>
            <w:shd w:fill="FDEDEC" w:val="clear"/>
            <w:tcMar>
              <w:top w:type="dxa" w:w="60"/>
              <w:left w:type="dxa" w:w="120"/>
              <w:bottom w:type="dxa" w:w="60"/>
              <w:right w:type="dxa" w:w="120"/>
            </w:tcMar>
          </w:tcPr>
          <w:p>
            <w:r>
              <w:rPr>
                <w:rFonts w:ascii="Calibri" w:eastAsia="Microsoft YaHei"/>
                <w:b/>
                <w:bCs/>
                <w:color w:val="C0392B"/>
                <w:sz w:val="20"/>
                <w:szCs w:val="20"/>
              </w:rPr>
              <w:t xml:space="preserve">CRITICAL</w:t>
            </w:r>
          </w:p>
        </w:tc>
        <w:tc>
          <w:tcPr>
            <w:tcW w:type="pct" w:w="78%"/>
            <w:tcBorders>
              <w:top w:val="none"/>
              <w:left w:val="none"/>
              <w:bottom w:val="single" w:color="D0D8E0" w:sz="1"/>
              <w:right w:val="none"/>
            </w:tcBorders>
            <w:shd w:fill="FFFFFF" w:val="clear"/>
            <w:tcMar>
              <w:top w:type="dxa" w:w="60"/>
              <w:left w:type="dxa" w:w="120"/>
              <w:bottom w:type="dxa" w:w="60"/>
              <w:right w:type="dxa" w:w="120"/>
            </w:tcMar>
          </w:tcPr>
          <w:p>
            <w:r>
              <w:rPr>
                <w:rFonts w:ascii="Calibri" w:eastAsia="Microsoft YaHei"/>
                <w:color w:val="1A2B40"/>
                <w:sz w:val="20"/>
                <w:szCs w:val="20"/>
              </w:rPr>
              <w:t xml:space="preserve">is_superadmin field does not exist on AppUser model</w:t>
            </w:r>
          </w:p>
        </w:tc>
      </w:tr>
      <w:tr>
        <w:tc>
          <w:tcPr>
            <w:tcW w:type="pct" w:w="15%"/>
            <w:tcBorders>
              <w:top w:val="none"/>
              <w:left w:val="none"/>
              <w:bottom w:val="single" w:color="D0D8E0" w:sz="1"/>
              <w:right w:val="none"/>
            </w:tcBorders>
            <w:tcMar>
              <w:top w:type="dxa" w:w="60"/>
              <w:left w:type="dxa" w:w="120"/>
              <w:bottom w:type="dxa" w:w="60"/>
              <w:right w:type="dxa" w:w="120"/>
            </w:tcMar>
          </w:tcPr>
          <w:p>
            <w:r>
              <w:rPr>
                <w:rFonts w:ascii="Calibri" w:eastAsia="Microsoft YaHei"/>
                <w:b/>
                <w:bCs/>
                <w:color w:val="1A2B40"/>
                <w:sz w:val="20"/>
                <w:szCs w:val="20"/>
              </w:rPr>
              <w:t xml:space="preserve">Location:</w:t>
            </w:r>
          </w:p>
        </w:tc>
        <w:tc>
          <w:tcPr>
            <w:tcW w:type="pct" w:w="85%"/>
            <w:gridSpan w:val="2"/>
            <w:tcBorders>
              <w:top w:val="none"/>
              <w:left w:val="none"/>
              <w:bottom w:val="single" w:color="D0D8E0" w:sz="1"/>
              <w:right w:val="none"/>
            </w:tcBorders>
            <w:tcMar>
              <w:top w:type="dxa" w:w="60"/>
              <w:left w:type="dxa" w:w="120"/>
              <w:bottom w:type="dxa" w:w="60"/>
              <w:right w:type="dxa" w:w="120"/>
            </w:tcMar>
          </w:tcPr>
          <w:p>
            <w:r>
              <w:rPr>
                <w:rFonts w:ascii="Calibri" w:eastAsia="Microsoft YaHei"/>
                <w:color w:val="1A2B40"/>
                <w:sz w:val="20"/>
                <w:szCs w:val="20"/>
              </w:rPr>
              <w:t xml:space="preserve">apps/backend/apps/core/permissions.py, apps/backend/common/middleware/tenant_context.py, and 7+ view files</w:t>
            </w:r>
          </w:p>
        </w:tc>
      </w:tr>
      <w:tr>
        <w:tc>
          <w:tcPr>
            <w:tcW w:type="pct" w:w="15%"/>
            <w:tcBorders>
              <w:top w:val="none"/>
              <w:left w:val="none"/>
              <w:bottom w:val="single" w:color="D0D8E0" w:sz="1"/>
              <w:right w:val="none"/>
            </w:tcBorders>
            <w:tcMar>
              <w:top w:type="dxa" w:w="60"/>
              <w:left w:type="dxa" w:w="120"/>
              <w:bottom w:type="dxa" w:w="60"/>
              <w:right w:type="dxa" w:w="120"/>
            </w:tcMar>
          </w:tcPr>
          <w:p>
            <w:r>
              <w:rPr>
                <w:rFonts w:ascii="Calibri" w:eastAsia="Microsoft YaHei"/>
                <w:b/>
                <w:bCs/>
                <w:color w:val="1A2B40"/>
                <w:sz w:val="20"/>
                <w:szCs w:val="20"/>
              </w:rPr>
              <w:t xml:space="preserve">Description:</w:t>
            </w:r>
          </w:p>
        </w:tc>
        <w:tc>
          <w:tcPr>
            <w:tcW w:type="pct" w:w="85%"/>
            <w:gridSpan w:val="2"/>
            <w:tcBorders>
              <w:top w:val="none"/>
              <w:left w:val="none"/>
              <w:bottom w:val="single" w:color="D0D8E0" w:sz="1"/>
              <w:right w:val="none"/>
            </w:tcBorders>
            <w:tcMar>
              <w:top w:type="dxa" w:w="60"/>
              <w:left w:type="dxa" w:w="120"/>
              <w:bottom w:type="dxa" w:w="60"/>
              <w:right w:type="dxa" w:w="120"/>
            </w:tcMar>
          </w:tcPr>
          <w:p>
            <w:r>
              <w:rPr>
                <w:rFonts w:ascii="Calibri" w:eastAsia="Microsoft YaHei"/>
                <w:color w:val="1A2B40"/>
                <w:sz w:val="20"/>
                <w:szCs w:val="20"/>
              </w:rPr>
              <w:t xml:space="preserve">The codebase uses getattr(user, 'is_superadmin', False) in multiple locations (permissions.py, tenant_context.py, and various views) to check for superadmin privileges. However, the AppUser model does not define an is_superadmin field. Django's built-in is_superuser field exists, but is_superadmin is never declared. This means every superadmin check always returns False via the default value, making the entire superadmin bypass mechanism dead code. Any user who should have superadmin privileges will be silently denied access, and the fallback to getattr means no error is raised to alert developers of the bug.</w:t>
            </w:r>
          </w:p>
        </w:tc>
      </w:tr>
      <w:tr>
        <w:tc>
          <w:tcPr>
            <w:tcW w:type="pct" w:w="15%"/>
            <w:tcBorders>
              <w:top w:val="none"/>
              <w:left w:val="none"/>
              <w:bottom w:val="single" w:color="D0D8E0" w:sz="1"/>
              <w:right w:val="none"/>
            </w:tcBorders>
            <w:tcMar>
              <w:top w:type="dxa" w:w="60"/>
              <w:left w:type="dxa" w:w="120"/>
              <w:bottom w:type="dxa" w:w="60"/>
              <w:right w:type="dxa" w:w="120"/>
            </w:tcMar>
          </w:tcPr>
          <w:p>
            <w:r>
              <w:rPr>
                <w:rFonts w:ascii="Calibri" w:eastAsia="Microsoft YaHei"/>
                <w:b/>
                <w:bCs/>
                <w:color w:val="1A2B40"/>
                <w:sz w:val="20"/>
                <w:szCs w:val="20"/>
              </w:rPr>
              <w:t xml:space="preserve">Recommendation:</w:t>
            </w:r>
          </w:p>
        </w:tc>
        <w:tc>
          <w:tcPr>
            <w:tcW w:type="pct" w:w="85%"/>
            <w:gridSpan w:val="2"/>
            <w:tcBorders>
              <w:top w:val="none"/>
              <w:left w:val="none"/>
              <w:bottom w:val="single" w:color="D0D8E0" w:sz="1"/>
              <w:right w:val="none"/>
            </w:tcBorders>
            <w:tcMar>
              <w:top w:type="dxa" w:w="60"/>
              <w:left w:type="dxa" w:w="120"/>
              <w:bottom w:type="dxa" w:w="60"/>
              <w:right w:type="dxa" w:w="120"/>
            </w:tcMar>
          </w:tcPr>
          <w:p>
            <w:r>
              <w:rPr>
                <w:rFonts w:ascii="Calibri" w:eastAsia="Microsoft YaHei"/>
                <w:color w:val="1A2B40"/>
                <w:sz w:val="20"/>
                <w:szCs w:val="20"/>
              </w:rPr>
              <w:t xml:space="preserve">Replace all getattr(user, 'is_superadmin', False) with user.is_superuser throughout the codebase. Alternatively, if a custom is_superadmin field is desired, add it to the AppUser model and the corresponding SQL schema.</w:t>
            </w:r>
          </w:p>
        </w:tc>
      </w:tr>
    </w:tbl>
    <w:p>
      <w:pPr>
        <w:spacing w:before="200"/>
      </w:pPr>
    </w:p>
    <w:p>
      <w:pPr>
        <w:pStyle w:val="Heading2"/>
        <w:spacing w:after="100" w:before="280"/>
      </w:pPr>
      <w:bookmarkStart w:id="100004" w:name="_Toc100004"/>
      <w:r>
        <w:rPr>
          <w:rFonts w:ascii="Calibri" w:eastAsia="SimHei"/>
          <w:b/>
          <w:bCs/>
          <w:color w:val="0A1628"/>
          <w:sz w:val="28"/>
          <w:szCs w:val="28"/>
        </w:rPr>
        <w:t xml:space="preserve">2.2 C-02: Missing JWT Token Blacklist</w:t>
      </w:r>
      <w:bookmarkEnd w:id="100004"/>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0%"/>
            <w:tcBorders>
              <w:top w:val="single" w:color="D4875A" w:sz="2"/>
              <w:left w:val="none"/>
              <w:bottom w:val="single" w:color="D4875A" w:sz="2"/>
              <w:right w:val="none"/>
            </w:tcBorders>
            <w:shd w:fill="1A2330" w:val="clear"/>
            <w:tcMar>
              <w:top w:type="dxa" w:w="60"/>
              <w:left w:type="dxa" w:w="120"/>
              <w:bottom w:type="dxa" w:w="60"/>
              <w:right w:type="dxa" w:w="120"/>
            </w:tcMar>
          </w:tcPr>
          <w:p>
            <w:r>
              <w:rPr>
                <w:rFonts w:ascii="Calibri" w:eastAsia="Microsoft YaHei"/>
                <w:b/>
                <w:bCs/>
                <w:color w:val="FFFFFF"/>
                <w:sz w:val="20"/>
                <w:szCs w:val="20"/>
              </w:rPr>
              <w:t xml:space="preserve">ID</w:t>
            </w:r>
          </w:p>
        </w:tc>
        <w:tc>
          <w:tcPr>
            <w:tcW w:type="pct" w:w="12%"/>
            <w:tcBorders>
              <w:top w:val="single" w:color="D4875A" w:sz="2"/>
              <w:left w:val="none"/>
              <w:bottom w:val="single" w:color="D4875A" w:sz="2"/>
              <w:right w:val="none"/>
            </w:tcBorders>
            <w:shd w:fill="1A2330" w:val="clear"/>
            <w:tcMar>
              <w:top w:type="dxa" w:w="60"/>
              <w:left w:type="dxa" w:w="120"/>
              <w:bottom w:type="dxa" w:w="60"/>
              <w:right w:type="dxa" w:w="120"/>
            </w:tcMar>
          </w:tcPr>
          <w:p>
            <w:r>
              <w:rPr>
                <w:rFonts w:ascii="Calibri" w:eastAsia="Microsoft YaHei"/>
                <w:b/>
                <w:bCs/>
                <w:color w:val="FFFFFF"/>
                <w:sz w:val="20"/>
                <w:szCs w:val="20"/>
              </w:rPr>
              <w:t xml:space="preserve">Severity</w:t>
            </w:r>
          </w:p>
        </w:tc>
        <w:tc>
          <w:tcPr>
            <w:tcW w:type="pct" w:w="78%"/>
            <w:tcBorders>
              <w:top w:val="single" w:color="D4875A" w:sz="2"/>
              <w:left w:val="none"/>
              <w:bottom w:val="single" w:color="D4875A" w:sz="2"/>
              <w:right w:val="none"/>
            </w:tcBorders>
            <w:shd w:fill="1A2330" w:val="clear"/>
            <w:tcMar>
              <w:top w:type="dxa" w:w="60"/>
              <w:left w:type="dxa" w:w="120"/>
              <w:bottom w:type="dxa" w:w="60"/>
              <w:right w:type="dxa" w:w="120"/>
            </w:tcMar>
          </w:tcPr>
          <w:p>
            <w:r>
              <w:rPr>
                <w:rFonts w:ascii="Calibri" w:eastAsia="Microsoft YaHei"/>
                <w:b/>
                <w:bCs/>
                <w:color w:val="FFFFFF"/>
                <w:sz w:val="20"/>
                <w:szCs w:val="20"/>
              </w:rPr>
              <w:t xml:space="preserve">Title</w:t>
            </w:r>
          </w:p>
        </w:tc>
      </w:tr>
      <w:tr>
        <w:tc>
          <w:tcPr>
            <w:tcW w:type="pct" w:w="10%"/>
            <w:tcBorders>
              <w:top w:val="none"/>
              <w:left w:val="none"/>
              <w:bottom w:val="single" w:color="D0D8E0" w:sz="1"/>
              <w:right w:val="none"/>
            </w:tcBorders>
            <w:shd w:fill="FFFFFF" w:val="clear"/>
            <w:tcMar>
              <w:top w:type="dxa" w:w="60"/>
              <w:left w:type="dxa" w:w="120"/>
              <w:bottom w:type="dxa" w:w="60"/>
              <w:right w:type="dxa" w:w="120"/>
            </w:tcMar>
          </w:tcPr>
          <w:p>
            <w:r>
              <w:rPr>
                <w:rFonts w:ascii="Calibri" w:eastAsia="Microsoft YaHei"/>
                <w:color w:val="1A2B40"/>
                <w:sz w:val="20"/>
                <w:szCs w:val="20"/>
              </w:rPr>
              <w:t xml:space="preserve">C-02</w:t>
            </w:r>
          </w:p>
        </w:tc>
        <w:tc>
          <w:tcPr>
            <w:tcW w:type="pct" w:w="12%"/>
            <w:tcBorders>
              <w:top w:val="none"/>
              <w:left w:val="none"/>
              <w:bottom w:val="single" w:color="D0D8E0" w:sz="1"/>
              <w:right w:val="none"/>
            </w:tcBorders>
            <w:shd w:fill="FDEDEC" w:val="clear"/>
            <w:tcMar>
              <w:top w:type="dxa" w:w="60"/>
              <w:left w:type="dxa" w:w="120"/>
              <w:bottom w:type="dxa" w:w="60"/>
              <w:right w:type="dxa" w:w="120"/>
            </w:tcMar>
          </w:tcPr>
          <w:p>
            <w:r>
              <w:rPr>
                <w:rFonts w:ascii="Calibri" w:eastAsia="Microsoft YaHei"/>
                <w:b/>
                <w:bCs/>
                <w:color w:val="C0392B"/>
                <w:sz w:val="20"/>
                <w:szCs w:val="20"/>
              </w:rPr>
              <w:t xml:space="preserve">CRITICAL</w:t>
            </w:r>
          </w:p>
        </w:tc>
        <w:tc>
          <w:tcPr>
            <w:tcW w:type="pct" w:w="78%"/>
            <w:tcBorders>
              <w:top w:val="none"/>
              <w:left w:val="none"/>
              <w:bottom w:val="single" w:color="D0D8E0" w:sz="1"/>
              <w:right w:val="none"/>
            </w:tcBorders>
            <w:shd w:fill="FFFFFF" w:val="clear"/>
            <w:tcMar>
              <w:top w:type="dxa" w:w="60"/>
              <w:left w:type="dxa" w:w="120"/>
              <w:bottom w:type="dxa" w:w="60"/>
              <w:right w:type="dxa" w:w="120"/>
            </w:tcMar>
          </w:tcPr>
          <w:p>
            <w:r>
              <w:rPr>
                <w:rFonts w:ascii="Calibri" w:eastAsia="Microsoft YaHei"/>
                <w:color w:val="1A2B40"/>
                <w:sz w:val="20"/>
                <w:szCs w:val="20"/>
              </w:rPr>
              <w:t xml:space="preserve">JWT token blacklist app missing from INSTALLED_APPS</w:t>
            </w:r>
          </w:p>
        </w:tc>
      </w:tr>
      <w:tr>
        <w:tc>
          <w:tcPr>
            <w:tcW w:type="pct" w:w="15%"/>
            <w:tcBorders>
              <w:top w:val="none"/>
              <w:left w:val="none"/>
              <w:bottom w:val="single" w:color="D0D8E0" w:sz="1"/>
              <w:right w:val="none"/>
            </w:tcBorders>
            <w:tcMar>
              <w:top w:type="dxa" w:w="60"/>
              <w:left w:type="dxa" w:w="120"/>
              <w:bottom w:type="dxa" w:w="60"/>
              <w:right w:type="dxa" w:w="120"/>
            </w:tcMar>
          </w:tcPr>
          <w:p>
            <w:r>
              <w:rPr>
                <w:rFonts w:ascii="Calibri" w:eastAsia="Microsoft YaHei"/>
                <w:b/>
                <w:bCs/>
                <w:color w:val="1A2B40"/>
                <w:sz w:val="20"/>
                <w:szCs w:val="20"/>
              </w:rPr>
              <w:t xml:space="preserve">Location:</w:t>
            </w:r>
          </w:p>
        </w:tc>
        <w:tc>
          <w:tcPr>
            <w:tcW w:type="pct" w:w="85%"/>
            <w:gridSpan w:val="2"/>
            <w:tcBorders>
              <w:top w:val="none"/>
              <w:left w:val="none"/>
              <w:bottom w:val="single" w:color="D0D8E0" w:sz="1"/>
              <w:right w:val="none"/>
            </w:tcBorders>
            <w:tcMar>
              <w:top w:type="dxa" w:w="60"/>
              <w:left w:type="dxa" w:w="120"/>
              <w:bottom w:type="dxa" w:w="60"/>
              <w:right w:type="dxa" w:w="120"/>
            </w:tcMar>
          </w:tcPr>
          <w:p>
            <w:r>
              <w:rPr>
                <w:rFonts w:ascii="Calibri" w:eastAsia="Microsoft YaHei"/>
                <w:color w:val="1A2B40"/>
                <w:sz w:val="20"/>
                <w:szCs w:val="20"/>
              </w:rPr>
              <w:t xml:space="preserve">apps/backend/config/settings/base.py</w:t>
            </w:r>
          </w:p>
        </w:tc>
      </w:tr>
      <w:tr>
        <w:tc>
          <w:tcPr>
            <w:tcW w:type="pct" w:w="15%"/>
            <w:tcBorders>
              <w:top w:val="none"/>
              <w:left w:val="none"/>
              <w:bottom w:val="single" w:color="D0D8E0" w:sz="1"/>
              <w:right w:val="none"/>
            </w:tcBorders>
            <w:tcMar>
              <w:top w:type="dxa" w:w="60"/>
              <w:left w:type="dxa" w:w="120"/>
              <w:bottom w:type="dxa" w:w="60"/>
              <w:right w:type="dxa" w:w="120"/>
            </w:tcMar>
          </w:tcPr>
          <w:p>
            <w:r>
              <w:rPr>
                <w:rFonts w:ascii="Calibri" w:eastAsia="Microsoft YaHei"/>
                <w:b/>
                <w:bCs/>
                <w:color w:val="1A2B40"/>
                <w:sz w:val="20"/>
                <w:szCs w:val="20"/>
              </w:rPr>
              <w:t xml:space="preserve">Description:</w:t>
            </w:r>
          </w:p>
        </w:tc>
        <w:tc>
          <w:tcPr>
            <w:tcW w:type="pct" w:w="85%"/>
            <w:gridSpan w:val="2"/>
            <w:tcBorders>
              <w:top w:val="none"/>
              <w:left w:val="none"/>
              <w:bottom w:val="single" w:color="D0D8E0" w:sz="1"/>
              <w:right w:val="none"/>
            </w:tcBorders>
            <w:tcMar>
              <w:top w:type="dxa" w:w="60"/>
              <w:left w:type="dxa" w:w="120"/>
              <w:bottom w:type="dxa" w:w="60"/>
              <w:right w:type="dxa" w:w="120"/>
            </w:tcMar>
          </w:tcPr>
          <w:p>
            <w:r>
              <w:rPr>
                <w:rFonts w:ascii="Calibri" w:eastAsia="Microsoft YaHei"/>
                <w:color w:val="1A2B40"/>
                <w:sz w:val="20"/>
                <w:szCs w:val="20"/>
              </w:rPr>
              <w:t xml:space="preserve">The logout view calls token.blacklist() to invalidate refresh tokens upon user logout. However, rest_framework_simplejwt.token_blacklist is not included in INSTALLED_APPS. This means the token.blacklist() call either silently fails or raises an ImportError that is swallowed. In either case, refresh tokens are never actually invalidated after logout, allowing any previously issued refresh token to continue generating new access tokens indefinitely. This completely undermines the logout functionality and creates a significant security vulnerability where stolen refresh tokens remain valid even after the user explicitly logs out.</w:t>
            </w:r>
          </w:p>
        </w:tc>
      </w:tr>
      <w:tr>
        <w:tc>
          <w:tcPr>
            <w:tcW w:type="pct" w:w="15%"/>
            <w:tcBorders>
              <w:top w:val="none"/>
              <w:left w:val="none"/>
              <w:bottom w:val="single" w:color="D0D8E0" w:sz="1"/>
              <w:right w:val="none"/>
            </w:tcBorders>
            <w:tcMar>
              <w:top w:type="dxa" w:w="60"/>
              <w:left w:type="dxa" w:w="120"/>
              <w:bottom w:type="dxa" w:w="60"/>
              <w:right w:type="dxa" w:w="120"/>
            </w:tcMar>
          </w:tcPr>
          <w:p>
            <w:r>
              <w:rPr>
                <w:rFonts w:ascii="Calibri" w:eastAsia="Microsoft YaHei"/>
                <w:b/>
                <w:bCs/>
                <w:color w:val="1A2B40"/>
                <w:sz w:val="20"/>
                <w:szCs w:val="20"/>
              </w:rPr>
              <w:t xml:space="preserve">Recommendation:</w:t>
            </w:r>
          </w:p>
        </w:tc>
        <w:tc>
          <w:tcPr>
            <w:tcW w:type="pct" w:w="85%"/>
            <w:gridSpan w:val="2"/>
            <w:tcBorders>
              <w:top w:val="none"/>
              <w:left w:val="none"/>
              <w:bottom w:val="single" w:color="D0D8E0" w:sz="1"/>
              <w:right w:val="none"/>
            </w:tcBorders>
            <w:tcMar>
              <w:top w:type="dxa" w:w="60"/>
              <w:left w:type="dxa" w:w="120"/>
              <w:bottom w:type="dxa" w:w="60"/>
              <w:right w:type="dxa" w:w="120"/>
            </w:tcMar>
          </w:tcPr>
          <w:p>
            <w:r>
              <w:rPr>
                <w:rFonts w:ascii="Calibri" w:eastAsia="Microsoft YaHei"/>
                <w:color w:val="1A2B40"/>
                <w:sz w:val="20"/>
                <w:szCs w:val="20"/>
              </w:rPr>
              <w:t xml:space="preserve">Add 'rest_framework_simplejwt.token_blacklist' to INSTALLED_APPS in base.py. Run the corresponding SQL to create the blacklist tables in the database schema. Verify that token.blacklist() now correctly invalidates tokens by testing the logout flow end-to-end.</w:t>
            </w:r>
          </w:p>
        </w:tc>
      </w:tr>
    </w:tbl>
    <w:p>
      <w:pPr>
        <w:spacing w:before="200"/>
      </w:pPr>
    </w:p>
    <w:p>
      <w:pPr>
        <w:pStyle w:val="Heading2"/>
        <w:spacing w:after="100" w:before="280"/>
      </w:pPr>
      <w:bookmarkStart w:id="100005" w:name="_Toc100005"/>
      <w:r>
        <w:rPr>
          <w:rFonts w:ascii="Calibri" w:eastAsia="SimHei"/>
          <w:b/>
          <w:bCs/>
          <w:color w:val="0A1628"/>
          <w:sz w:val="28"/>
          <w:szCs w:val="28"/>
        </w:rPr>
        <w:t xml:space="preserve">2.3 I-01: Journal Reversal Stub Silently Skips Entries</w:t>
      </w:r>
      <w:bookmarkEnd w:id="100005"/>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0%"/>
            <w:tcBorders>
              <w:top w:val="single" w:color="D4875A" w:sz="2"/>
              <w:left w:val="none"/>
              <w:bottom w:val="single" w:color="D4875A" w:sz="2"/>
              <w:right w:val="none"/>
            </w:tcBorders>
            <w:shd w:fill="1A2330" w:val="clear"/>
            <w:tcMar>
              <w:top w:type="dxa" w:w="60"/>
              <w:left w:type="dxa" w:w="120"/>
              <w:bottom w:type="dxa" w:w="60"/>
              <w:right w:type="dxa" w:w="120"/>
            </w:tcMar>
          </w:tcPr>
          <w:p>
            <w:r>
              <w:rPr>
                <w:rFonts w:ascii="Calibri" w:eastAsia="Microsoft YaHei"/>
                <w:b/>
                <w:bCs/>
                <w:color w:val="FFFFFF"/>
                <w:sz w:val="20"/>
                <w:szCs w:val="20"/>
              </w:rPr>
              <w:t xml:space="preserve">ID</w:t>
            </w:r>
          </w:p>
        </w:tc>
        <w:tc>
          <w:tcPr>
            <w:tcW w:type="pct" w:w="12%"/>
            <w:tcBorders>
              <w:top w:val="single" w:color="D4875A" w:sz="2"/>
              <w:left w:val="none"/>
              <w:bottom w:val="single" w:color="D4875A" w:sz="2"/>
              <w:right w:val="none"/>
            </w:tcBorders>
            <w:shd w:fill="1A2330" w:val="clear"/>
            <w:tcMar>
              <w:top w:type="dxa" w:w="60"/>
              <w:left w:type="dxa" w:w="120"/>
              <w:bottom w:type="dxa" w:w="60"/>
              <w:right w:type="dxa" w:w="120"/>
            </w:tcMar>
          </w:tcPr>
          <w:p>
            <w:r>
              <w:rPr>
                <w:rFonts w:ascii="Calibri" w:eastAsia="Microsoft YaHei"/>
                <w:b/>
                <w:bCs/>
                <w:color w:val="FFFFFF"/>
                <w:sz w:val="20"/>
                <w:szCs w:val="20"/>
              </w:rPr>
              <w:t xml:space="preserve">Severity</w:t>
            </w:r>
          </w:p>
        </w:tc>
        <w:tc>
          <w:tcPr>
            <w:tcW w:type="pct" w:w="78%"/>
            <w:tcBorders>
              <w:top w:val="single" w:color="D4875A" w:sz="2"/>
              <w:left w:val="none"/>
              <w:bottom w:val="single" w:color="D4875A" w:sz="2"/>
              <w:right w:val="none"/>
            </w:tcBorders>
            <w:shd w:fill="1A2330" w:val="clear"/>
            <w:tcMar>
              <w:top w:type="dxa" w:w="60"/>
              <w:left w:type="dxa" w:w="120"/>
              <w:bottom w:type="dxa" w:w="60"/>
              <w:right w:type="dxa" w:w="120"/>
            </w:tcMar>
          </w:tcPr>
          <w:p>
            <w:r>
              <w:rPr>
                <w:rFonts w:ascii="Calibri" w:eastAsia="Microsoft YaHei"/>
                <w:b/>
                <w:bCs/>
                <w:color w:val="FFFFFF"/>
                <w:sz w:val="20"/>
                <w:szCs w:val="20"/>
              </w:rPr>
              <w:t xml:space="preserve">Title</w:t>
            </w:r>
          </w:p>
        </w:tc>
      </w:tr>
      <w:tr>
        <w:tc>
          <w:tcPr>
            <w:tcW w:type="pct" w:w="10%"/>
            <w:tcBorders>
              <w:top w:val="none"/>
              <w:left w:val="none"/>
              <w:bottom w:val="single" w:color="D0D8E0" w:sz="1"/>
              <w:right w:val="none"/>
            </w:tcBorders>
            <w:shd w:fill="FFFFFF" w:val="clear"/>
            <w:tcMar>
              <w:top w:type="dxa" w:w="60"/>
              <w:left w:type="dxa" w:w="120"/>
              <w:bottom w:type="dxa" w:w="60"/>
              <w:right w:type="dxa" w:w="120"/>
            </w:tcMar>
          </w:tcPr>
          <w:p>
            <w:r>
              <w:rPr>
                <w:rFonts w:ascii="Calibri" w:eastAsia="Microsoft YaHei"/>
                <w:color w:val="1A2B40"/>
                <w:sz w:val="20"/>
                <w:szCs w:val="20"/>
              </w:rPr>
              <w:t xml:space="preserve">I-01</w:t>
            </w:r>
          </w:p>
        </w:tc>
        <w:tc>
          <w:tcPr>
            <w:tcW w:type="pct" w:w="12%"/>
            <w:tcBorders>
              <w:top w:val="none"/>
              <w:left w:val="none"/>
              <w:bottom w:val="single" w:color="D0D8E0" w:sz="1"/>
              <w:right w:val="none"/>
            </w:tcBorders>
            <w:shd w:fill="FDEDEC" w:val="clear"/>
            <w:tcMar>
              <w:top w:type="dxa" w:w="60"/>
              <w:left w:type="dxa" w:w="120"/>
              <w:bottom w:type="dxa" w:w="60"/>
              <w:right w:type="dxa" w:w="120"/>
            </w:tcMar>
          </w:tcPr>
          <w:p>
            <w:r>
              <w:rPr>
                <w:rFonts w:ascii="Calibri" w:eastAsia="Microsoft YaHei"/>
                <w:b/>
                <w:bCs/>
                <w:color w:val="C0392B"/>
                <w:sz w:val="20"/>
                <w:szCs w:val="20"/>
              </w:rPr>
              <w:t xml:space="preserve">CRITICAL</w:t>
            </w:r>
          </w:p>
        </w:tc>
        <w:tc>
          <w:tcPr>
            <w:tcW w:type="pct" w:w="78%"/>
            <w:tcBorders>
              <w:top w:val="none"/>
              <w:left w:val="none"/>
              <w:bottom w:val="single" w:color="D0D8E0" w:sz="1"/>
              <w:right w:val="none"/>
            </w:tcBorders>
            <w:shd w:fill="FFFFFF" w:val="clear"/>
            <w:tcMar>
              <w:top w:type="dxa" w:w="60"/>
              <w:left w:type="dxa" w:w="120"/>
              <w:bottom w:type="dxa" w:w="60"/>
              <w:right w:type="dxa" w:w="120"/>
            </w:tcMar>
          </w:tcPr>
          <w:p>
            <w:r>
              <w:rPr>
                <w:rFonts w:ascii="Calibri" w:eastAsia="Microsoft YaHei"/>
                <w:color w:val="1A2B40"/>
                <w:sz w:val="20"/>
                <w:szCs w:val="20"/>
              </w:rPr>
              <w:t xml:space="preserve">Document service has duplicate _reverse_journal_entry definitions; the second is a stub</w:t>
            </w:r>
          </w:p>
        </w:tc>
      </w:tr>
      <w:tr>
        <w:tc>
          <w:tcPr>
            <w:tcW w:type="pct" w:w="15%"/>
            <w:tcBorders>
              <w:top w:val="none"/>
              <w:left w:val="none"/>
              <w:bottom w:val="single" w:color="D0D8E0" w:sz="1"/>
              <w:right w:val="none"/>
            </w:tcBorders>
            <w:tcMar>
              <w:top w:type="dxa" w:w="60"/>
              <w:left w:type="dxa" w:w="120"/>
              <w:bottom w:type="dxa" w:w="60"/>
              <w:right w:type="dxa" w:w="120"/>
            </w:tcMar>
          </w:tcPr>
          <w:p>
            <w:r>
              <w:rPr>
                <w:rFonts w:ascii="Calibri" w:eastAsia="Microsoft YaHei"/>
                <w:b/>
                <w:bCs/>
                <w:color w:val="1A2B40"/>
                <w:sz w:val="20"/>
                <w:szCs w:val="20"/>
              </w:rPr>
              <w:t xml:space="preserve">Location:</w:t>
            </w:r>
          </w:p>
        </w:tc>
        <w:tc>
          <w:tcPr>
            <w:tcW w:type="pct" w:w="85%"/>
            <w:gridSpan w:val="2"/>
            <w:tcBorders>
              <w:top w:val="none"/>
              <w:left w:val="none"/>
              <w:bottom w:val="single" w:color="D0D8E0" w:sz="1"/>
              <w:right w:val="none"/>
            </w:tcBorders>
            <w:tcMar>
              <w:top w:type="dxa" w:w="60"/>
              <w:left w:type="dxa" w:w="120"/>
              <w:bottom w:type="dxa" w:w="60"/>
              <w:right w:type="dxa" w:w="120"/>
            </w:tcMar>
          </w:tcPr>
          <w:p>
            <w:r>
              <w:rPr>
                <w:rFonts w:ascii="Calibri" w:eastAsia="Microsoft YaHei"/>
                <w:color w:val="1A2B40"/>
                <w:sz w:val="20"/>
                <w:szCs w:val="20"/>
              </w:rPr>
              <w:t xml:space="preserve">apps/backend/apps/invoicing/services/document_service.py</w:t>
            </w:r>
          </w:p>
        </w:tc>
      </w:tr>
      <w:tr>
        <w:tc>
          <w:tcPr>
            <w:tcW w:type="pct" w:w="15%"/>
            <w:tcBorders>
              <w:top w:val="none"/>
              <w:left w:val="none"/>
              <w:bottom w:val="single" w:color="D0D8E0" w:sz="1"/>
              <w:right w:val="none"/>
            </w:tcBorders>
            <w:tcMar>
              <w:top w:type="dxa" w:w="60"/>
              <w:left w:type="dxa" w:w="120"/>
              <w:bottom w:type="dxa" w:w="60"/>
              <w:right w:type="dxa" w:w="120"/>
            </w:tcMar>
          </w:tcPr>
          <w:p>
            <w:r>
              <w:rPr>
                <w:rFonts w:ascii="Calibri" w:eastAsia="Microsoft YaHei"/>
                <w:b/>
                <w:bCs/>
                <w:color w:val="1A2B40"/>
                <w:sz w:val="20"/>
                <w:szCs w:val="20"/>
              </w:rPr>
              <w:t xml:space="preserve">Description:</w:t>
            </w:r>
          </w:p>
        </w:tc>
        <w:tc>
          <w:tcPr>
            <w:tcW w:type="pct" w:w="85%"/>
            <w:gridSpan w:val="2"/>
            <w:tcBorders>
              <w:top w:val="none"/>
              <w:left w:val="none"/>
              <w:bottom w:val="single" w:color="D0D8E0" w:sz="1"/>
              <w:right w:val="none"/>
            </w:tcBorders>
            <w:tcMar>
              <w:top w:type="dxa" w:w="60"/>
              <w:left w:type="dxa" w:w="120"/>
              <w:bottom w:type="dxa" w:w="60"/>
              <w:right w:type="dxa" w:w="120"/>
            </w:tcMar>
          </w:tcPr>
          <w:p>
            <w:r>
              <w:rPr>
                <w:rFonts w:ascii="Calibri" w:eastAsia="Microsoft YaHei"/>
                <w:color w:val="1A2B40"/>
                <w:sz w:val="20"/>
                <w:szCs w:val="20"/>
              </w:rPr>
              <w:t xml:space="preserve">The document_service.py file contains TWO definitions of the _reverse_journal_entry method within the same class. Python uses the last definition, and the second one is a stub that simply passes without creating any reversal journal entry. This means that when an invoice is voided, the system marks it as VOIDED but never creates the corresponding reversal entries in the General Ledger. The financial statements will therefore continue to reflect revenue and receivables from voided invoices, corrupting P&amp;L and Balance Sheet reports. This is a direct violation of the double-entry accounting principle that every transaction must have balanced entries, including reversals.</w:t>
            </w:r>
          </w:p>
        </w:tc>
      </w:tr>
      <w:tr>
        <w:tc>
          <w:tcPr>
            <w:tcW w:type="pct" w:w="15%"/>
            <w:tcBorders>
              <w:top w:val="none"/>
              <w:left w:val="none"/>
              <w:bottom w:val="single" w:color="D0D8E0" w:sz="1"/>
              <w:right w:val="none"/>
            </w:tcBorders>
            <w:tcMar>
              <w:top w:type="dxa" w:w="60"/>
              <w:left w:type="dxa" w:w="120"/>
              <w:bottom w:type="dxa" w:w="60"/>
              <w:right w:type="dxa" w:w="120"/>
            </w:tcMar>
          </w:tcPr>
          <w:p>
            <w:r>
              <w:rPr>
                <w:rFonts w:ascii="Calibri" w:eastAsia="Microsoft YaHei"/>
                <w:b/>
                <w:bCs/>
                <w:color w:val="1A2B40"/>
                <w:sz w:val="20"/>
                <w:szCs w:val="20"/>
              </w:rPr>
              <w:t xml:space="preserve">Recommendation:</w:t>
            </w:r>
          </w:p>
        </w:tc>
        <w:tc>
          <w:tcPr>
            <w:tcW w:type="pct" w:w="85%"/>
            <w:gridSpan w:val="2"/>
            <w:tcBorders>
              <w:top w:val="none"/>
              <w:left w:val="none"/>
              <w:bottom w:val="single" w:color="D0D8E0" w:sz="1"/>
              <w:right w:val="none"/>
            </w:tcBorders>
            <w:tcMar>
              <w:top w:type="dxa" w:w="60"/>
              <w:left w:type="dxa" w:w="120"/>
              <w:bottom w:type="dxa" w:w="60"/>
              <w:right w:type="dxa" w:w="120"/>
            </w:tcMar>
          </w:tcPr>
          <w:p>
            <w:r>
              <w:rPr>
                <w:rFonts w:ascii="Calibri" w:eastAsia="Microsoft YaHei"/>
                <w:color w:val="1A2B40"/>
                <w:sz w:val="20"/>
                <w:szCs w:val="20"/>
              </w:rPr>
              <w:t xml:space="preserve">Remove the stub definition. Implement the proper reversal logic in the first definition (or merge both). The reversal must create debit/credit entries that mirror the original posting, with a reference to the voided document. Wrap in transaction.atomic() along with the document status update.</w:t>
            </w:r>
          </w:p>
        </w:tc>
      </w:tr>
    </w:tbl>
    <w:p>
      <w:pPr>
        <w:spacing w:before="200"/>
      </w:pPr>
    </w:p>
    <w:p>
      <w:pPr>
        <w:pStyle w:val="Heading2"/>
        <w:spacing w:after="100" w:before="280"/>
      </w:pPr>
      <w:bookmarkStart w:id="100006" w:name="_Toc100006"/>
      <w:r>
        <w:rPr>
          <w:rFonts w:ascii="Calibri" w:eastAsia="SimHei"/>
          <w:b/>
          <w:bCs/>
          <w:color w:val="0A1628"/>
          <w:sz w:val="28"/>
          <w:szCs w:val="28"/>
        </w:rPr>
        <w:t xml:space="preserve">2.4 G-01: Hardcoded Null UUID Breaks GST Calculation</w:t>
      </w:r>
      <w:bookmarkEnd w:id="100006"/>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0%"/>
            <w:tcBorders>
              <w:top w:val="single" w:color="D4875A" w:sz="2"/>
              <w:left w:val="none"/>
              <w:bottom w:val="single" w:color="D4875A" w:sz="2"/>
              <w:right w:val="none"/>
            </w:tcBorders>
            <w:shd w:fill="1A2330" w:val="clear"/>
            <w:tcMar>
              <w:top w:type="dxa" w:w="60"/>
              <w:left w:type="dxa" w:w="120"/>
              <w:bottom w:type="dxa" w:w="60"/>
              <w:right w:type="dxa" w:w="120"/>
            </w:tcMar>
          </w:tcPr>
          <w:p>
            <w:r>
              <w:rPr>
                <w:rFonts w:ascii="Calibri" w:eastAsia="Microsoft YaHei"/>
                <w:b/>
                <w:bCs/>
                <w:color w:val="FFFFFF"/>
                <w:sz w:val="20"/>
                <w:szCs w:val="20"/>
              </w:rPr>
              <w:t xml:space="preserve">ID</w:t>
            </w:r>
          </w:p>
        </w:tc>
        <w:tc>
          <w:tcPr>
            <w:tcW w:type="pct" w:w="12%"/>
            <w:tcBorders>
              <w:top w:val="single" w:color="D4875A" w:sz="2"/>
              <w:left w:val="none"/>
              <w:bottom w:val="single" w:color="D4875A" w:sz="2"/>
              <w:right w:val="none"/>
            </w:tcBorders>
            <w:shd w:fill="1A2330" w:val="clear"/>
            <w:tcMar>
              <w:top w:type="dxa" w:w="60"/>
              <w:left w:type="dxa" w:w="120"/>
              <w:bottom w:type="dxa" w:w="60"/>
              <w:right w:type="dxa" w:w="120"/>
            </w:tcMar>
          </w:tcPr>
          <w:p>
            <w:r>
              <w:rPr>
                <w:rFonts w:ascii="Calibri" w:eastAsia="Microsoft YaHei"/>
                <w:b/>
                <w:bCs/>
                <w:color w:val="FFFFFF"/>
                <w:sz w:val="20"/>
                <w:szCs w:val="20"/>
              </w:rPr>
              <w:t xml:space="preserve">Severity</w:t>
            </w:r>
          </w:p>
        </w:tc>
        <w:tc>
          <w:tcPr>
            <w:tcW w:type="pct" w:w="78%"/>
            <w:tcBorders>
              <w:top w:val="single" w:color="D4875A" w:sz="2"/>
              <w:left w:val="none"/>
              <w:bottom w:val="single" w:color="D4875A" w:sz="2"/>
              <w:right w:val="none"/>
            </w:tcBorders>
            <w:shd w:fill="1A2330" w:val="clear"/>
            <w:tcMar>
              <w:top w:type="dxa" w:w="60"/>
              <w:left w:type="dxa" w:w="120"/>
              <w:bottom w:type="dxa" w:w="60"/>
              <w:right w:type="dxa" w:w="120"/>
            </w:tcMar>
          </w:tcPr>
          <w:p>
            <w:r>
              <w:rPr>
                <w:rFonts w:ascii="Calibri" w:eastAsia="Microsoft YaHei"/>
                <w:b/>
                <w:bCs/>
                <w:color w:val="FFFFFF"/>
                <w:sz w:val="20"/>
                <w:szCs w:val="20"/>
              </w:rPr>
              <w:t xml:space="preserve">Title</w:t>
            </w:r>
          </w:p>
        </w:tc>
      </w:tr>
      <w:tr>
        <w:tc>
          <w:tcPr>
            <w:tcW w:type="pct" w:w="10%"/>
            <w:tcBorders>
              <w:top w:val="none"/>
              <w:left w:val="none"/>
              <w:bottom w:val="single" w:color="D0D8E0" w:sz="1"/>
              <w:right w:val="none"/>
            </w:tcBorders>
            <w:shd w:fill="FFFFFF" w:val="clear"/>
            <w:tcMar>
              <w:top w:type="dxa" w:w="60"/>
              <w:left w:type="dxa" w:w="120"/>
              <w:bottom w:type="dxa" w:w="60"/>
              <w:right w:type="dxa" w:w="120"/>
            </w:tcMar>
          </w:tcPr>
          <w:p>
            <w:r>
              <w:rPr>
                <w:rFonts w:ascii="Calibri" w:eastAsia="Microsoft YaHei"/>
                <w:color w:val="1A2B40"/>
                <w:sz w:val="20"/>
                <w:szCs w:val="20"/>
              </w:rPr>
              <w:t xml:space="preserve">G-01</w:t>
            </w:r>
          </w:p>
        </w:tc>
        <w:tc>
          <w:tcPr>
            <w:tcW w:type="pct" w:w="12%"/>
            <w:tcBorders>
              <w:top w:val="none"/>
              <w:left w:val="none"/>
              <w:bottom w:val="single" w:color="D0D8E0" w:sz="1"/>
              <w:right w:val="none"/>
            </w:tcBorders>
            <w:shd w:fill="FDEDEC" w:val="clear"/>
            <w:tcMar>
              <w:top w:type="dxa" w:w="60"/>
              <w:left w:type="dxa" w:w="120"/>
              <w:bottom w:type="dxa" w:w="60"/>
              <w:right w:type="dxa" w:w="120"/>
            </w:tcMar>
          </w:tcPr>
          <w:p>
            <w:r>
              <w:rPr>
                <w:rFonts w:ascii="Calibri" w:eastAsia="Microsoft YaHei"/>
                <w:b/>
                <w:bCs/>
                <w:color w:val="C0392B"/>
                <w:sz w:val="20"/>
                <w:szCs w:val="20"/>
              </w:rPr>
              <w:t xml:space="preserve">CRITICAL</w:t>
            </w:r>
          </w:p>
        </w:tc>
        <w:tc>
          <w:tcPr>
            <w:tcW w:type="pct" w:w="78%"/>
            <w:tcBorders>
              <w:top w:val="none"/>
              <w:left w:val="none"/>
              <w:bottom w:val="single" w:color="D0D8E0" w:sz="1"/>
              <w:right w:val="none"/>
            </w:tcBorders>
            <w:shd w:fill="FFFFFF" w:val="clear"/>
            <w:tcMar>
              <w:top w:type="dxa" w:w="60"/>
              <w:left w:type="dxa" w:w="120"/>
              <w:bottom w:type="dxa" w:w="60"/>
              <w:right w:type="dxa" w:w="120"/>
            </w:tcMar>
          </w:tcPr>
          <w:p>
            <w:r>
              <w:rPr>
                <w:rFonts w:ascii="Calibri" w:eastAsia="Microsoft YaHei"/>
                <w:color w:val="1A2B40"/>
                <w:sz w:val="20"/>
                <w:szCs w:val="20"/>
              </w:rPr>
              <w:t xml:space="preserve">GSTCalculateView passes hardcoded null UUID as org_id for tax code lookup</w:t>
            </w:r>
          </w:p>
        </w:tc>
      </w:tr>
      <w:tr>
        <w:tc>
          <w:tcPr>
            <w:tcW w:type="pct" w:w="15%"/>
            <w:tcBorders>
              <w:top w:val="none"/>
              <w:left w:val="none"/>
              <w:bottom w:val="single" w:color="D0D8E0" w:sz="1"/>
              <w:right w:val="none"/>
            </w:tcBorders>
            <w:tcMar>
              <w:top w:type="dxa" w:w="60"/>
              <w:left w:type="dxa" w:w="120"/>
              <w:bottom w:type="dxa" w:w="60"/>
              <w:right w:type="dxa" w:w="120"/>
            </w:tcMar>
          </w:tcPr>
          <w:p>
            <w:r>
              <w:rPr>
                <w:rFonts w:ascii="Calibri" w:eastAsia="Microsoft YaHei"/>
                <w:b/>
                <w:bCs/>
                <w:color w:val="1A2B40"/>
                <w:sz w:val="20"/>
                <w:szCs w:val="20"/>
              </w:rPr>
              <w:t xml:space="preserve">Location:</w:t>
            </w:r>
          </w:p>
        </w:tc>
        <w:tc>
          <w:tcPr>
            <w:tcW w:type="pct" w:w="85%"/>
            <w:gridSpan w:val="2"/>
            <w:tcBorders>
              <w:top w:val="none"/>
              <w:left w:val="none"/>
              <w:bottom w:val="single" w:color="D0D8E0" w:sz="1"/>
              <w:right w:val="none"/>
            </w:tcBorders>
            <w:tcMar>
              <w:top w:type="dxa" w:w="60"/>
              <w:left w:type="dxa" w:w="120"/>
              <w:bottom w:type="dxa" w:w="60"/>
              <w:right w:type="dxa" w:w="120"/>
            </w:tcMar>
          </w:tcPr>
          <w:p>
            <w:r>
              <w:rPr>
                <w:rFonts w:ascii="Calibri" w:eastAsia="Microsoft YaHei"/>
                <w:color w:val="1A2B40"/>
                <w:sz w:val="20"/>
                <w:szCs w:val="20"/>
              </w:rPr>
              <w:t xml:space="preserve">apps/backend/apps/gst/views.py</w:t>
            </w:r>
          </w:p>
        </w:tc>
      </w:tr>
      <w:tr>
        <w:tc>
          <w:tcPr>
            <w:tcW w:type="pct" w:w="15%"/>
            <w:tcBorders>
              <w:top w:val="none"/>
              <w:left w:val="none"/>
              <w:bottom w:val="single" w:color="D0D8E0" w:sz="1"/>
              <w:right w:val="none"/>
            </w:tcBorders>
            <w:tcMar>
              <w:top w:type="dxa" w:w="60"/>
              <w:left w:type="dxa" w:w="120"/>
              <w:bottom w:type="dxa" w:w="60"/>
              <w:right w:type="dxa" w:w="120"/>
            </w:tcMar>
          </w:tcPr>
          <w:p>
            <w:r>
              <w:rPr>
                <w:rFonts w:ascii="Calibri" w:eastAsia="Microsoft YaHei"/>
                <w:b/>
                <w:bCs/>
                <w:color w:val="1A2B40"/>
                <w:sz w:val="20"/>
                <w:szCs w:val="20"/>
              </w:rPr>
              <w:t xml:space="preserve">Description:</w:t>
            </w:r>
          </w:p>
        </w:tc>
        <w:tc>
          <w:tcPr>
            <w:tcW w:type="pct" w:w="85%"/>
            <w:gridSpan w:val="2"/>
            <w:tcBorders>
              <w:top w:val="none"/>
              <w:left w:val="none"/>
              <w:bottom w:val="single" w:color="D0D8E0" w:sz="1"/>
              <w:right w:val="none"/>
            </w:tcBorders>
            <w:tcMar>
              <w:top w:type="dxa" w:w="60"/>
              <w:left w:type="dxa" w:w="120"/>
              <w:bottom w:type="dxa" w:w="60"/>
              <w:right w:type="dxa" w:w="120"/>
            </w:tcMar>
          </w:tcPr>
          <w:p>
            <w:r>
              <w:rPr>
                <w:rFonts w:ascii="Calibri" w:eastAsia="Microsoft YaHei"/>
                <w:color w:val="1A2B40"/>
                <w:sz w:val="20"/>
                <w:szCs w:val="20"/>
              </w:rPr>
              <w:t xml:space="preserve">The GSTCalculateView passes the hardcoded null UUID '00000000-0000-0000-0000-000000000000' as the org_id parameter when calling the GST calculation service. Since tax codes are stored per-organisation and protected by RLS policies that filter by org_id, this null UUID will either fail to match any organisation's tax codes or, worse, match tax codes from an organisation where the null UUID was accidentally used as a seed value. This means GST calculations are fundamentally broken, producing either zero tax or incorrect tax amounts for all users. In a Singapore context where GST compliance is mandatory and audited by IRAS, this is a critical regulatory risk.</w:t>
            </w:r>
          </w:p>
        </w:tc>
      </w:tr>
      <w:tr>
        <w:tc>
          <w:tcPr>
            <w:tcW w:type="pct" w:w="15%"/>
            <w:tcBorders>
              <w:top w:val="none"/>
              <w:left w:val="none"/>
              <w:bottom w:val="single" w:color="D0D8E0" w:sz="1"/>
              <w:right w:val="none"/>
            </w:tcBorders>
            <w:tcMar>
              <w:top w:type="dxa" w:w="60"/>
              <w:left w:type="dxa" w:w="120"/>
              <w:bottom w:type="dxa" w:w="60"/>
              <w:right w:type="dxa" w:w="120"/>
            </w:tcMar>
          </w:tcPr>
          <w:p>
            <w:r>
              <w:rPr>
                <w:rFonts w:ascii="Calibri" w:eastAsia="Microsoft YaHei"/>
                <w:b/>
                <w:bCs/>
                <w:color w:val="1A2B40"/>
                <w:sz w:val="20"/>
                <w:szCs w:val="20"/>
              </w:rPr>
              <w:t xml:space="preserve">Recommendation:</w:t>
            </w:r>
          </w:p>
        </w:tc>
        <w:tc>
          <w:tcPr>
            <w:tcW w:type="pct" w:w="85%"/>
            <w:gridSpan w:val="2"/>
            <w:tcBorders>
              <w:top w:val="none"/>
              <w:left w:val="none"/>
              <w:bottom w:val="single" w:color="D0D8E0" w:sz="1"/>
              <w:right w:val="none"/>
            </w:tcBorders>
            <w:tcMar>
              <w:top w:type="dxa" w:w="60"/>
              <w:left w:type="dxa" w:w="120"/>
              <w:bottom w:type="dxa" w:w="60"/>
              <w:right w:type="dxa" w:w="120"/>
            </w:tcMar>
          </w:tcPr>
          <w:p>
            <w:r>
              <w:rPr>
                <w:rFonts w:ascii="Calibri" w:eastAsia="Microsoft YaHei"/>
                <w:color w:val="1A2B40"/>
                <w:sz w:val="20"/>
                <w:szCs w:val="20"/>
              </w:rPr>
              <w:t xml:space="preserve">Extract the org_id from the authenticated user's context (request.user.default_org_id or from the URL parameter) and pass it correctly to the GST calculation service. Add a validation check that org_id is never null or the null UUID before proceeding with tax code lookups.</w:t>
            </w:r>
          </w:p>
        </w:tc>
      </w:tr>
    </w:tbl>
    <w:p>
      <w:pPr>
        <w:pStyle w:val="Heading1"/>
        <w:spacing w:after="120" w:before="360"/>
      </w:pPr>
      <w:bookmarkStart w:id="100007" w:name="_Toc100007"/>
      <w:r>
        <w:rPr>
          <w:rFonts w:ascii="Calibri" w:eastAsia="SimHei"/>
          <w:b/>
          <w:bCs/>
          <w:color w:val="0A1628"/>
          <w:sz w:val="32"/>
          <w:szCs w:val="32"/>
        </w:rPr>
        <w:t xml:space="preserve">3. High Severity Findings</w:t>
      </w:r>
      <w:bookmarkEnd w:id="100007"/>
    </w:p>
    <w:p>
      <w:pPr>
        <w:pStyle w:val="Heading2"/>
        <w:spacing w:after="100" w:before="280"/>
      </w:pPr>
      <w:bookmarkStart w:id="100008" w:name="_Toc100008"/>
      <w:r>
        <w:rPr>
          <w:rFonts w:ascii="Calibri" w:eastAsia="SimHei"/>
          <w:b/>
          <w:bCs/>
          <w:color w:val="0A1628"/>
          <w:sz w:val="28"/>
          <w:szCs w:val="28"/>
        </w:rPr>
        <w:t xml:space="preserve">3.1 C-03: Race Condition in Set Default Organisation</w:t>
      </w:r>
      <w:bookmarkEnd w:id="100008"/>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0%"/>
            <w:tcBorders>
              <w:top w:val="single" w:color="D4875A" w:sz="2"/>
              <w:left w:val="none"/>
              <w:bottom w:val="single" w:color="D4875A" w:sz="2"/>
              <w:right w:val="none"/>
            </w:tcBorders>
            <w:shd w:fill="1A2330" w:val="clear"/>
            <w:tcMar>
              <w:top w:type="dxa" w:w="60"/>
              <w:left w:type="dxa" w:w="120"/>
              <w:bottom w:type="dxa" w:w="60"/>
              <w:right w:type="dxa" w:w="120"/>
            </w:tcMar>
          </w:tcPr>
          <w:p>
            <w:r>
              <w:rPr>
                <w:rFonts w:ascii="Calibri" w:eastAsia="Microsoft YaHei"/>
                <w:b/>
                <w:bCs/>
                <w:color w:val="FFFFFF"/>
                <w:sz w:val="20"/>
                <w:szCs w:val="20"/>
              </w:rPr>
              <w:t xml:space="preserve">ID</w:t>
            </w:r>
          </w:p>
        </w:tc>
        <w:tc>
          <w:tcPr>
            <w:tcW w:type="pct" w:w="12%"/>
            <w:tcBorders>
              <w:top w:val="single" w:color="D4875A" w:sz="2"/>
              <w:left w:val="none"/>
              <w:bottom w:val="single" w:color="D4875A" w:sz="2"/>
              <w:right w:val="none"/>
            </w:tcBorders>
            <w:shd w:fill="1A2330" w:val="clear"/>
            <w:tcMar>
              <w:top w:type="dxa" w:w="60"/>
              <w:left w:type="dxa" w:w="120"/>
              <w:bottom w:type="dxa" w:w="60"/>
              <w:right w:type="dxa" w:w="120"/>
            </w:tcMar>
          </w:tcPr>
          <w:p>
            <w:r>
              <w:rPr>
                <w:rFonts w:ascii="Calibri" w:eastAsia="Microsoft YaHei"/>
                <w:b/>
                <w:bCs/>
                <w:color w:val="FFFFFF"/>
                <w:sz w:val="20"/>
                <w:szCs w:val="20"/>
              </w:rPr>
              <w:t xml:space="preserve">Severity</w:t>
            </w:r>
          </w:p>
        </w:tc>
        <w:tc>
          <w:tcPr>
            <w:tcW w:type="pct" w:w="78%"/>
            <w:tcBorders>
              <w:top w:val="single" w:color="D4875A" w:sz="2"/>
              <w:left w:val="none"/>
              <w:bottom w:val="single" w:color="D4875A" w:sz="2"/>
              <w:right w:val="none"/>
            </w:tcBorders>
            <w:shd w:fill="1A2330" w:val="clear"/>
            <w:tcMar>
              <w:top w:type="dxa" w:w="60"/>
              <w:left w:type="dxa" w:w="120"/>
              <w:bottom w:type="dxa" w:w="60"/>
              <w:right w:type="dxa" w:w="120"/>
            </w:tcMar>
          </w:tcPr>
          <w:p>
            <w:r>
              <w:rPr>
                <w:rFonts w:ascii="Calibri" w:eastAsia="Microsoft YaHei"/>
                <w:b/>
                <w:bCs/>
                <w:color w:val="FFFFFF"/>
                <w:sz w:val="20"/>
                <w:szCs w:val="20"/>
              </w:rPr>
              <w:t xml:space="preserve">Title</w:t>
            </w:r>
          </w:p>
        </w:tc>
      </w:tr>
      <w:tr>
        <w:tc>
          <w:tcPr>
            <w:tcW w:type="pct" w:w="10%"/>
            <w:tcBorders>
              <w:top w:val="none"/>
              <w:left w:val="none"/>
              <w:bottom w:val="single" w:color="D0D8E0" w:sz="1"/>
              <w:right w:val="none"/>
            </w:tcBorders>
            <w:shd w:fill="FFFFFF" w:val="clear"/>
            <w:tcMar>
              <w:top w:type="dxa" w:w="60"/>
              <w:left w:type="dxa" w:w="120"/>
              <w:bottom w:type="dxa" w:w="60"/>
              <w:right w:type="dxa" w:w="120"/>
            </w:tcMar>
          </w:tcPr>
          <w:p>
            <w:r>
              <w:rPr>
                <w:rFonts w:ascii="Calibri" w:eastAsia="Microsoft YaHei"/>
                <w:color w:val="1A2B40"/>
                <w:sz w:val="20"/>
                <w:szCs w:val="20"/>
              </w:rPr>
              <w:t xml:space="preserve">C-03</w:t>
            </w:r>
          </w:p>
        </w:tc>
        <w:tc>
          <w:tcPr>
            <w:tcW w:type="pct" w:w="12%"/>
            <w:tcBorders>
              <w:top w:val="none"/>
              <w:left w:val="none"/>
              <w:bottom w:val="single" w:color="D0D8E0" w:sz="1"/>
              <w:right w:val="none"/>
            </w:tcBorders>
            <w:shd w:fill="FEF5E7" w:val="clear"/>
            <w:tcMar>
              <w:top w:type="dxa" w:w="60"/>
              <w:left w:type="dxa" w:w="120"/>
              <w:bottom w:type="dxa" w:w="60"/>
              <w:right w:type="dxa" w:w="120"/>
            </w:tcMar>
          </w:tcPr>
          <w:p>
            <w:r>
              <w:rPr>
                <w:rFonts w:ascii="Calibri" w:eastAsia="Microsoft YaHei"/>
                <w:b/>
                <w:bCs/>
                <w:color w:val="E67E22"/>
                <w:sz w:val="20"/>
                <w:szCs w:val="20"/>
              </w:rPr>
              <w:t xml:space="preserve">HIGH</w:t>
            </w:r>
          </w:p>
        </w:tc>
        <w:tc>
          <w:tcPr>
            <w:tcW w:type="pct" w:w="78%"/>
            <w:tcBorders>
              <w:top w:val="none"/>
              <w:left w:val="none"/>
              <w:bottom w:val="single" w:color="D0D8E0" w:sz="1"/>
              <w:right w:val="none"/>
            </w:tcBorders>
            <w:shd w:fill="FFFFFF" w:val="clear"/>
            <w:tcMar>
              <w:top w:type="dxa" w:w="60"/>
              <w:left w:type="dxa" w:w="120"/>
              <w:bottom w:type="dxa" w:w="60"/>
              <w:right w:type="dxa" w:w="120"/>
            </w:tcMar>
          </w:tcPr>
          <w:p>
            <w:r>
              <w:rPr>
                <w:rFonts w:ascii="Calibri" w:eastAsia="Microsoft YaHei"/>
                <w:color w:val="1A2B40"/>
                <w:sz w:val="20"/>
                <w:szCs w:val="20"/>
              </w:rPr>
              <w:t xml:space="preserve">set_default_org_view clear + set operations not wrapped in transaction.atomic()</w:t>
            </w:r>
          </w:p>
        </w:tc>
      </w:tr>
      <w:tr>
        <w:tc>
          <w:tcPr>
            <w:tcW w:type="pct" w:w="15%"/>
            <w:tcBorders>
              <w:top w:val="none"/>
              <w:left w:val="none"/>
              <w:bottom w:val="single" w:color="D0D8E0" w:sz="1"/>
              <w:right w:val="none"/>
            </w:tcBorders>
            <w:tcMar>
              <w:top w:type="dxa" w:w="60"/>
              <w:left w:type="dxa" w:w="120"/>
              <w:bottom w:type="dxa" w:w="60"/>
              <w:right w:type="dxa" w:w="120"/>
            </w:tcMar>
          </w:tcPr>
          <w:p>
            <w:r>
              <w:rPr>
                <w:rFonts w:ascii="Calibri" w:eastAsia="Microsoft YaHei"/>
                <w:b/>
                <w:bCs/>
                <w:color w:val="1A2B40"/>
                <w:sz w:val="20"/>
                <w:szCs w:val="20"/>
              </w:rPr>
              <w:t xml:space="preserve">Location:</w:t>
            </w:r>
          </w:p>
        </w:tc>
        <w:tc>
          <w:tcPr>
            <w:tcW w:type="pct" w:w="85%"/>
            <w:gridSpan w:val="2"/>
            <w:tcBorders>
              <w:top w:val="none"/>
              <w:left w:val="none"/>
              <w:bottom w:val="single" w:color="D0D8E0" w:sz="1"/>
              <w:right w:val="none"/>
            </w:tcBorders>
            <w:tcMar>
              <w:top w:type="dxa" w:w="60"/>
              <w:left w:type="dxa" w:w="120"/>
              <w:bottom w:type="dxa" w:w="60"/>
              <w:right w:type="dxa" w:w="120"/>
            </w:tcMar>
          </w:tcPr>
          <w:p>
            <w:r>
              <w:rPr>
                <w:rFonts w:ascii="Calibri" w:eastAsia="Microsoft YaHei"/>
                <w:color w:val="1A2B40"/>
                <w:sz w:val="20"/>
                <w:szCs w:val="20"/>
              </w:rPr>
              <w:t xml:space="preserve">apps/backend/apps/core/views/auth.py (lines 277-282)</w:t>
            </w:r>
          </w:p>
        </w:tc>
      </w:tr>
      <w:tr>
        <w:tc>
          <w:tcPr>
            <w:tcW w:type="pct" w:w="15%"/>
            <w:tcBorders>
              <w:top w:val="none"/>
              <w:left w:val="none"/>
              <w:bottom w:val="single" w:color="D0D8E0" w:sz="1"/>
              <w:right w:val="none"/>
            </w:tcBorders>
            <w:tcMar>
              <w:top w:type="dxa" w:w="60"/>
              <w:left w:type="dxa" w:w="120"/>
              <w:bottom w:type="dxa" w:w="60"/>
              <w:right w:type="dxa" w:w="120"/>
            </w:tcMar>
          </w:tcPr>
          <w:p>
            <w:r>
              <w:rPr>
                <w:rFonts w:ascii="Calibri" w:eastAsia="Microsoft YaHei"/>
                <w:b/>
                <w:bCs/>
                <w:color w:val="1A2B40"/>
                <w:sz w:val="20"/>
                <w:szCs w:val="20"/>
              </w:rPr>
              <w:t xml:space="preserve">Description:</w:t>
            </w:r>
          </w:p>
        </w:tc>
        <w:tc>
          <w:tcPr>
            <w:tcW w:type="pct" w:w="85%"/>
            <w:gridSpan w:val="2"/>
            <w:tcBorders>
              <w:top w:val="none"/>
              <w:left w:val="none"/>
              <w:bottom w:val="single" w:color="D0D8E0" w:sz="1"/>
              <w:right w:val="none"/>
            </w:tcBorders>
            <w:tcMar>
              <w:top w:type="dxa" w:w="60"/>
              <w:left w:type="dxa" w:w="120"/>
              <w:bottom w:type="dxa" w:w="60"/>
              <w:right w:type="dxa" w:w="120"/>
            </w:tcMar>
          </w:tcPr>
          <w:p>
            <w:r>
              <w:rPr>
                <w:rFonts w:ascii="Calibri" w:eastAsia="Microsoft YaHei"/>
                <w:color w:val="1A2B40"/>
                <w:sz w:val="20"/>
                <w:szCs w:val="20"/>
              </w:rPr>
              <w:t xml:space="preserve">The set_default_org_view performs a clear of all existing default flags followed by setting a new default organisation. These two operations are not wrapped in a transaction.atomic() block. If the process crashes between the clear and set operations, or if another concurrent request reads the user's organisations between the two operations, the user could end up with no default organisation. This can cause the frontend to display 'No Organisation Selected' unexpectedly and potentially redirect to login, disrupting the user experience.</w:t>
            </w:r>
          </w:p>
        </w:tc>
      </w:tr>
      <w:tr>
        <w:tc>
          <w:tcPr>
            <w:tcW w:type="pct" w:w="15%"/>
            <w:tcBorders>
              <w:top w:val="none"/>
              <w:left w:val="none"/>
              <w:bottom w:val="single" w:color="D0D8E0" w:sz="1"/>
              <w:right w:val="none"/>
            </w:tcBorders>
            <w:tcMar>
              <w:top w:type="dxa" w:w="60"/>
              <w:left w:type="dxa" w:w="120"/>
              <w:bottom w:type="dxa" w:w="60"/>
              <w:right w:type="dxa" w:w="120"/>
            </w:tcMar>
          </w:tcPr>
          <w:p>
            <w:r>
              <w:rPr>
                <w:rFonts w:ascii="Calibri" w:eastAsia="Microsoft YaHei"/>
                <w:b/>
                <w:bCs/>
                <w:color w:val="1A2B40"/>
                <w:sz w:val="20"/>
                <w:szCs w:val="20"/>
              </w:rPr>
              <w:t xml:space="preserve">Recommendation:</w:t>
            </w:r>
          </w:p>
        </w:tc>
        <w:tc>
          <w:tcPr>
            <w:tcW w:type="pct" w:w="85%"/>
            <w:gridSpan w:val="2"/>
            <w:tcBorders>
              <w:top w:val="none"/>
              <w:left w:val="none"/>
              <w:bottom w:val="single" w:color="D0D8E0" w:sz="1"/>
              <w:right w:val="none"/>
            </w:tcBorders>
            <w:tcMar>
              <w:top w:type="dxa" w:w="60"/>
              <w:left w:type="dxa" w:w="120"/>
              <w:bottom w:type="dxa" w:w="60"/>
              <w:right w:type="dxa" w:w="120"/>
            </w:tcMar>
          </w:tcPr>
          <w:p>
            <w:r>
              <w:rPr>
                <w:rFonts w:ascii="Calibri" w:eastAsia="Microsoft YaHei"/>
                <w:color w:val="1A2B40"/>
                <w:sz w:val="20"/>
                <w:szCs w:val="20"/>
              </w:rPr>
              <w:t xml:space="preserve">Wrap the clear + set operations in a with transaction.atomic(): block. Additionally, consider using select_for_update() on the UserOrganisation rows to prevent concurrent modifications.</w:t>
            </w:r>
          </w:p>
        </w:tc>
      </w:tr>
    </w:tbl>
    <w:p>
      <w:pPr>
        <w:spacing w:before="200"/>
      </w:pPr>
    </w:p>
    <w:p>
      <w:pPr>
        <w:pStyle w:val="Heading2"/>
        <w:spacing w:after="100" w:before="280"/>
      </w:pPr>
      <w:bookmarkStart w:id="100009" w:name="_Toc100009"/>
      <w:r>
        <w:rPr>
          <w:rFonts w:ascii="Calibri" w:eastAsia="SimHei"/>
          <w:b/>
          <w:bCs/>
          <w:color w:val="0A1628"/>
          <w:sz w:val="28"/>
          <w:szCs w:val="28"/>
        </w:rPr>
        <w:t xml:space="preserve">3.2 C-04: Pending Users Get RLS Permissions</w:t>
      </w:r>
      <w:bookmarkEnd w:id="100009"/>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0%"/>
            <w:tcBorders>
              <w:top w:val="single" w:color="D4875A" w:sz="2"/>
              <w:left w:val="none"/>
              <w:bottom w:val="single" w:color="D4875A" w:sz="2"/>
              <w:right w:val="none"/>
            </w:tcBorders>
            <w:shd w:fill="1A2330" w:val="clear"/>
            <w:tcMar>
              <w:top w:type="dxa" w:w="60"/>
              <w:left w:type="dxa" w:w="120"/>
              <w:bottom w:type="dxa" w:w="60"/>
              <w:right w:type="dxa" w:w="120"/>
            </w:tcMar>
          </w:tcPr>
          <w:p>
            <w:r>
              <w:rPr>
                <w:rFonts w:ascii="Calibri" w:eastAsia="Microsoft YaHei"/>
                <w:b/>
                <w:bCs/>
                <w:color w:val="FFFFFF"/>
                <w:sz w:val="20"/>
                <w:szCs w:val="20"/>
              </w:rPr>
              <w:t xml:space="preserve">ID</w:t>
            </w:r>
          </w:p>
        </w:tc>
        <w:tc>
          <w:tcPr>
            <w:tcW w:type="pct" w:w="12%"/>
            <w:tcBorders>
              <w:top w:val="single" w:color="D4875A" w:sz="2"/>
              <w:left w:val="none"/>
              <w:bottom w:val="single" w:color="D4875A" w:sz="2"/>
              <w:right w:val="none"/>
            </w:tcBorders>
            <w:shd w:fill="1A2330" w:val="clear"/>
            <w:tcMar>
              <w:top w:type="dxa" w:w="60"/>
              <w:left w:type="dxa" w:w="120"/>
              <w:bottom w:type="dxa" w:w="60"/>
              <w:right w:type="dxa" w:w="120"/>
            </w:tcMar>
          </w:tcPr>
          <w:p>
            <w:r>
              <w:rPr>
                <w:rFonts w:ascii="Calibri" w:eastAsia="Microsoft YaHei"/>
                <w:b/>
                <w:bCs/>
                <w:color w:val="FFFFFF"/>
                <w:sz w:val="20"/>
                <w:szCs w:val="20"/>
              </w:rPr>
              <w:t xml:space="preserve">Severity</w:t>
            </w:r>
          </w:p>
        </w:tc>
        <w:tc>
          <w:tcPr>
            <w:tcW w:type="pct" w:w="78%"/>
            <w:tcBorders>
              <w:top w:val="single" w:color="D4875A" w:sz="2"/>
              <w:left w:val="none"/>
              <w:bottom w:val="single" w:color="D4875A" w:sz="2"/>
              <w:right w:val="none"/>
            </w:tcBorders>
            <w:shd w:fill="1A2330" w:val="clear"/>
            <w:tcMar>
              <w:top w:type="dxa" w:w="60"/>
              <w:left w:type="dxa" w:w="120"/>
              <w:bottom w:type="dxa" w:w="60"/>
              <w:right w:type="dxa" w:w="120"/>
            </w:tcMar>
          </w:tcPr>
          <w:p>
            <w:r>
              <w:rPr>
                <w:rFonts w:ascii="Calibri" w:eastAsia="Microsoft YaHei"/>
                <w:b/>
                <w:bCs/>
                <w:color w:val="FFFFFF"/>
                <w:sz w:val="20"/>
                <w:szCs w:val="20"/>
              </w:rPr>
              <w:t xml:space="preserve">Title</w:t>
            </w:r>
          </w:p>
        </w:tc>
      </w:tr>
      <w:tr>
        <w:tc>
          <w:tcPr>
            <w:tcW w:type="pct" w:w="10%"/>
            <w:tcBorders>
              <w:top w:val="none"/>
              <w:left w:val="none"/>
              <w:bottom w:val="single" w:color="D0D8E0" w:sz="1"/>
              <w:right w:val="none"/>
            </w:tcBorders>
            <w:shd w:fill="FFFFFF" w:val="clear"/>
            <w:tcMar>
              <w:top w:type="dxa" w:w="60"/>
              <w:left w:type="dxa" w:w="120"/>
              <w:bottom w:type="dxa" w:w="60"/>
              <w:right w:type="dxa" w:w="120"/>
            </w:tcMar>
          </w:tcPr>
          <w:p>
            <w:r>
              <w:rPr>
                <w:rFonts w:ascii="Calibri" w:eastAsia="Microsoft YaHei"/>
                <w:color w:val="1A2B40"/>
                <w:sz w:val="20"/>
                <w:szCs w:val="20"/>
              </w:rPr>
              <w:t xml:space="preserve">C-04</w:t>
            </w:r>
          </w:p>
        </w:tc>
        <w:tc>
          <w:tcPr>
            <w:tcW w:type="pct" w:w="12%"/>
            <w:tcBorders>
              <w:top w:val="none"/>
              <w:left w:val="none"/>
              <w:bottom w:val="single" w:color="D0D8E0" w:sz="1"/>
              <w:right w:val="none"/>
            </w:tcBorders>
            <w:shd w:fill="FEF5E7" w:val="clear"/>
            <w:tcMar>
              <w:top w:type="dxa" w:w="60"/>
              <w:left w:type="dxa" w:w="120"/>
              <w:bottom w:type="dxa" w:w="60"/>
              <w:right w:type="dxa" w:w="120"/>
            </w:tcMar>
          </w:tcPr>
          <w:p>
            <w:r>
              <w:rPr>
                <w:rFonts w:ascii="Calibri" w:eastAsia="Microsoft YaHei"/>
                <w:b/>
                <w:bCs/>
                <w:color w:val="E67E22"/>
                <w:sz w:val="20"/>
                <w:szCs w:val="20"/>
              </w:rPr>
              <w:t xml:space="preserve">HIGH</w:t>
            </w:r>
          </w:p>
        </w:tc>
        <w:tc>
          <w:tcPr>
            <w:tcW w:type="pct" w:w="78%"/>
            <w:tcBorders>
              <w:top w:val="none"/>
              <w:left w:val="none"/>
              <w:bottom w:val="single" w:color="D0D8E0" w:sz="1"/>
              <w:right w:val="none"/>
            </w:tcBorders>
            <w:shd w:fill="FFFFFF" w:val="clear"/>
            <w:tcMar>
              <w:top w:type="dxa" w:w="60"/>
              <w:left w:type="dxa" w:w="120"/>
              <w:bottom w:type="dxa" w:w="60"/>
              <w:right w:type="dxa" w:w="120"/>
            </w:tcMar>
          </w:tcPr>
          <w:p>
            <w:r>
              <w:rPr>
                <w:rFonts w:ascii="Calibri" w:eastAsia="Microsoft YaHei"/>
                <w:color w:val="1A2B40"/>
                <w:sz w:val="20"/>
                <w:szCs w:val="20"/>
              </w:rPr>
              <w:t xml:space="preserve">_get_org_role returns permissions for pending/unaccepted memberships</w:t>
            </w:r>
          </w:p>
        </w:tc>
      </w:tr>
      <w:tr>
        <w:tc>
          <w:tcPr>
            <w:tcW w:type="pct" w:w="15%"/>
            <w:tcBorders>
              <w:top w:val="none"/>
              <w:left w:val="none"/>
              <w:bottom w:val="single" w:color="D0D8E0" w:sz="1"/>
              <w:right w:val="none"/>
            </w:tcBorders>
            <w:tcMar>
              <w:top w:type="dxa" w:w="60"/>
              <w:left w:type="dxa" w:w="120"/>
              <w:bottom w:type="dxa" w:w="60"/>
              <w:right w:type="dxa" w:w="120"/>
            </w:tcMar>
          </w:tcPr>
          <w:p>
            <w:r>
              <w:rPr>
                <w:rFonts w:ascii="Calibri" w:eastAsia="Microsoft YaHei"/>
                <w:b/>
                <w:bCs/>
                <w:color w:val="1A2B40"/>
                <w:sz w:val="20"/>
                <w:szCs w:val="20"/>
              </w:rPr>
              <w:t xml:space="preserve">Location:</w:t>
            </w:r>
          </w:p>
        </w:tc>
        <w:tc>
          <w:tcPr>
            <w:tcW w:type="pct" w:w="85%"/>
            <w:gridSpan w:val="2"/>
            <w:tcBorders>
              <w:top w:val="none"/>
              <w:left w:val="none"/>
              <w:bottom w:val="single" w:color="D0D8E0" w:sz="1"/>
              <w:right w:val="none"/>
            </w:tcBorders>
            <w:tcMar>
              <w:top w:type="dxa" w:w="60"/>
              <w:left w:type="dxa" w:w="120"/>
              <w:bottom w:type="dxa" w:w="60"/>
              <w:right w:type="dxa" w:w="120"/>
            </w:tcMar>
          </w:tcPr>
          <w:p>
            <w:r>
              <w:rPr>
                <w:rFonts w:ascii="Calibri" w:eastAsia="Microsoft YaHei"/>
                <w:color w:val="1A2B40"/>
                <w:sz w:val="20"/>
                <w:szCs w:val="20"/>
              </w:rPr>
              <w:t xml:space="preserve">apps/backend/common/middleware/tenant_context.py (lines 268-299)</w:t>
            </w:r>
          </w:p>
        </w:tc>
      </w:tr>
      <w:tr>
        <w:tc>
          <w:tcPr>
            <w:tcW w:type="pct" w:w="15%"/>
            <w:tcBorders>
              <w:top w:val="none"/>
              <w:left w:val="none"/>
              <w:bottom w:val="single" w:color="D0D8E0" w:sz="1"/>
              <w:right w:val="none"/>
            </w:tcBorders>
            <w:tcMar>
              <w:top w:type="dxa" w:w="60"/>
              <w:left w:type="dxa" w:w="120"/>
              <w:bottom w:type="dxa" w:w="60"/>
              <w:right w:type="dxa" w:w="120"/>
            </w:tcMar>
          </w:tcPr>
          <w:p>
            <w:r>
              <w:rPr>
                <w:rFonts w:ascii="Calibri" w:eastAsia="Microsoft YaHei"/>
                <w:b/>
                <w:bCs/>
                <w:color w:val="1A2B40"/>
                <w:sz w:val="20"/>
                <w:szCs w:val="20"/>
              </w:rPr>
              <w:t xml:space="preserve">Description:</w:t>
            </w:r>
          </w:p>
        </w:tc>
        <w:tc>
          <w:tcPr>
            <w:tcW w:type="pct" w:w="85%"/>
            <w:gridSpan w:val="2"/>
            <w:tcBorders>
              <w:top w:val="none"/>
              <w:left w:val="none"/>
              <w:bottom w:val="single" w:color="D0D8E0" w:sz="1"/>
              <w:right w:val="none"/>
            </w:tcBorders>
            <w:tcMar>
              <w:top w:type="dxa" w:w="60"/>
              <w:left w:type="dxa" w:w="120"/>
              <w:bottom w:type="dxa" w:w="60"/>
              <w:right w:type="dxa" w:w="120"/>
            </w:tcMar>
          </w:tcPr>
          <w:p>
            <w:r>
              <w:rPr>
                <w:rFonts w:ascii="Calibri" w:eastAsia="Microsoft YaHei"/>
                <w:color w:val="1A2B40"/>
                <w:sz w:val="20"/>
                <w:szCs w:val="20"/>
              </w:rPr>
              <w:t xml:space="preserve">The _get_org_role method in TenantContextMiddleware does not filter for accepted_at__isnull=False when looking up UserOrganisation records. This means users who have been invited to an organisation but have not yet accepted the invitation will have RLS session variables set for that organisation, granting them full access to the organisation's data. This is a significant authorization bypass that violates the intended invitation-acceptance workflow documented in the project architecture.</w:t>
            </w:r>
          </w:p>
        </w:tc>
      </w:tr>
      <w:tr>
        <w:tc>
          <w:tcPr>
            <w:tcW w:type="pct" w:w="15%"/>
            <w:tcBorders>
              <w:top w:val="none"/>
              <w:left w:val="none"/>
              <w:bottom w:val="single" w:color="D0D8E0" w:sz="1"/>
              <w:right w:val="none"/>
            </w:tcBorders>
            <w:tcMar>
              <w:top w:type="dxa" w:w="60"/>
              <w:left w:type="dxa" w:w="120"/>
              <w:bottom w:type="dxa" w:w="60"/>
              <w:right w:type="dxa" w:w="120"/>
            </w:tcMar>
          </w:tcPr>
          <w:p>
            <w:r>
              <w:rPr>
                <w:rFonts w:ascii="Calibri" w:eastAsia="Microsoft YaHei"/>
                <w:b/>
                <w:bCs/>
                <w:color w:val="1A2B40"/>
                <w:sz w:val="20"/>
                <w:szCs w:val="20"/>
              </w:rPr>
              <w:t xml:space="preserve">Recommendation:</w:t>
            </w:r>
          </w:p>
        </w:tc>
        <w:tc>
          <w:tcPr>
            <w:tcW w:type="pct" w:w="85%"/>
            <w:gridSpan w:val="2"/>
            <w:tcBorders>
              <w:top w:val="none"/>
              <w:left w:val="none"/>
              <w:bottom w:val="single" w:color="D0D8E0" w:sz="1"/>
              <w:right w:val="none"/>
            </w:tcBorders>
            <w:tcMar>
              <w:top w:type="dxa" w:w="60"/>
              <w:left w:type="dxa" w:w="120"/>
              <w:bottom w:type="dxa" w:w="60"/>
              <w:right w:type="dxa" w:w="120"/>
            </w:tcMar>
          </w:tcPr>
          <w:p>
            <w:r>
              <w:rPr>
                <w:rFonts w:ascii="Calibri" w:eastAsia="Microsoft YaHei"/>
                <w:color w:val="1A2B40"/>
                <w:sz w:val="20"/>
                <w:szCs w:val="20"/>
              </w:rPr>
              <w:t xml:space="preserve">Add accepted_at__isnull=False to the UserOrganisation query filter in _get_org_role. This ensures only accepted members can access organisation data through the RLS mechanism.</w:t>
            </w:r>
          </w:p>
        </w:tc>
      </w:tr>
    </w:tbl>
    <w:p>
      <w:pPr>
        <w:spacing w:before="200"/>
      </w:pPr>
    </w:p>
    <w:p>
      <w:pPr>
        <w:pStyle w:val="Heading2"/>
        <w:spacing w:after="100" w:before="280"/>
      </w:pPr>
      <w:bookmarkStart w:id="100010" w:name="_Toc100010"/>
      <w:r>
        <w:rPr>
          <w:rFonts w:ascii="Calibri" w:eastAsia="SimHei"/>
          <w:b/>
          <w:bCs/>
          <w:color w:val="0A1628"/>
          <w:sz w:val="28"/>
          <w:szCs w:val="28"/>
        </w:rPr>
        <w:t xml:space="preserve">3.3 I-02: Journal Posting Outside Atomic Block</w:t>
      </w:r>
      <w:bookmarkEnd w:id="100010"/>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0%"/>
            <w:tcBorders>
              <w:top w:val="single" w:color="D4875A" w:sz="2"/>
              <w:left w:val="none"/>
              <w:bottom w:val="single" w:color="D4875A" w:sz="2"/>
              <w:right w:val="none"/>
            </w:tcBorders>
            <w:shd w:fill="1A2330" w:val="clear"/>
            <w:tcMar>
              <w:top w:type="dxa" w:w="60"/>
              <w:left w:type="dxa" w:w="120"/>
              <w:bottom w:type="dxa" w:w="60"/>
              <w:right w:type="dxa" w:w="120"/>
            </w:tcMar>
          </w:tcPr>
          <w:p>
            <w:r>
              <w:rPr>
                <w:rFonts w:ascii="Calibri" w:eastAsia="Microsoft YaHei"/>
                <w:b/>
                <w:bCs/>
                <w:color w:val="FFFFFF"/>
                <w:sz w:val="20"/>
                <w:szCs w:val="20"/>
              </w:rPr>
              <w:t xml:space="preserve">ID</w:t>
            </w:r>
          </w:p>
        </w:tc>
        <w:tc>
          <w:tcPr>
            <w:tcW w:type="pct" w:w="12%"/>
            <w:tcBorders>
              <w:top w:val="single" w:color="D4875A" w:sz="2"/>
              <w:left w:val="none"/>
              <w:bottom w:val="single" w:color="D4875A" w:sz="2"/>
              <w:right w:val="none"/>
            </w:tcBorders>
            <w:shd w:fill="1A2330" w:val="clear"/>
            <w:tcMar>
              <w:top w:type="dxa" w:w="60"/>
              <w:left w:type="dxa" w:w="120"/>
              <w:bottom w:type="dxa" w:w="60"/>
              <w:right w:type="dxa" w:w="120"/>
            </w:tcMar>
          </w:tcPr>
          <w:p>
            <w:r>
              <w:rPr>
                <w:rFonts w:ascii="Calibri" w:eastAsia="Microsoft YaHei"/>
                <w:b/>
                <w:bCs/>
                <w:color w:val="FFFFFF"/>
                <w:sz w:val="20"/>
                <w:szCs w:val="20"/>
              </w:rPr>
              <w:t xml:space="preserve">Severity</w:t>
            </w:r>
          </w:p>
        </w:tc>
        <w:tc>
          <w:tcPr>
            <w:tcW w:type="pct" w:w="78%"/>
            <w:tcBorders>
              <w:top w:val="single" w:color="D4875A" w:sz="2"/>
              <w:left w:val="none"/>
              <w:bottom w:val="single" w:color="D4875A" w:sz="2"/>
              <w:right w:val="none"/>
            </w:tcBorders>
            <w:shd w:fill="1A2330" w:val="clear"/>
            <w:tcMar>
              <w:top w:type="dxa" w:w="60"/>
              <w:left w:type="dxa" w:w="120"/>
              <w:bottom w:type="dxa" w:w="60"/>
              <w:right w:type="dxa" w:w="120"/>
            </w:tcMar>
          </w:tcPr>
          <w:p>
            <w:r>
              <w:rPr>
                <w:rFonts w:ascii="Calibri" w:eastAsia="Microsoft YaHei"/>
                <w:b/>
                <w:bCs/>
                <w:color w:val="FFFFFF"/>
                <w:sz w:val="20"/>
                <w:szCs w:val="20"/>
              </w:rPr>
              <w:t xml:space="preserve">Title</w:t>
            </w:r>
          </w:p>
        </w:tc>
      </w:tr>
      <w:tr>
        <w:tc>
          <w:tcPr>
            <w:tcW w:type="pct" w:w="10%"/>
            <w:tcBorders>
              <w:top w:val="none"/>
              <w:left w:val="none"/>
              <w:bottom w:val="single" w:color="D0D8E0" w:sz="1"/>
              <w:right w:val="none"/>
            </w:tcBorders>
            <w:shd w:fill="FFFFFF" w:val="clear"/>
            <w:tcMar>
              <w:top w:type="dxa" w:w="60"/>
              <w:left w:type="dxa" w:w="120"/>
              <w:bottom w:type="dxa" w:w="60"/>
              <w:right w:type="dxa" w:w="120"/>
            </w:tcMar>
          </w:tcPr>
          <w:p>
            <w:r>
              <w:rPr>
                <w:rFonts w:ascii="Calibri" w:eastAsia="Microsoft YaHei"/>
                <w:color w:val="1A2B40"/>
                <w:sz w:val="20"/>
                <w:szCs w:val="20"/>
              </w:rPr>
              <w:t xml:space="preserve">I-02</w:t>
            </w:r>
          </w:p>
        </w:tc>
        <w:tc>
          <w:tcPr>
            <w:tcW w:type="pct" w:w="12%"/>
            <w:tcBorders>
              <w:top w:val="none"/>
              <w:left w:val="none"/>
              <w:bottom w:val="single" w:color="D0D8E0" w:sz="1"/>
              <w:right w:val="none"/>
            </w:tcBorders>
            <w:shd w:fill="FEF5E7" w:val="clear"/>
            <w:tcMar>
              <w:top w:type="dxa" w:w="60"/>
              <w:left w:type="dxa" w:w="120"/>
              <w:bottom w:type="dxa" w:w="60"/>
              <w:right w:type="dxa" w:w="120"/>
            </w:tcMar>
          </w:tcPr>
          <w:p>
            <w:r>
              <w:rPr>
                <w:rFonts w:ascii="Calibri" w:eastAsia="Microsoft YaHei"/>
                <w:b/>
                <w:bCs/>
                <w:color w:val="E67E22"/>
                <w:sz w:val="20"/>
                <w:szCs w:val="20"/>
              </w:rPr>
              <w:t xml:space="preserve">HIGH</w:t>
            </w:r>
          </w:p>
        </w:tc>
        <w:tc>
          <w:tcPr>
            <w:tcW w:type="pct" w:w="78%"/>
            <w:tcBorders>
              <w:top w:val="none"/>
              <w:left w:val="none"/>
              <w:bottom w:val="single" w:color="D0D8E0" w:sz="1"/>
              <w:right w:val="none"/>
            </w:tcBorders>
            <w:shd w:fill="FFFFFF" w:val="clear"/>
            <w:tcMar>
              <w:top w:type="dxa" w:w="60"/>
              <w:left w:type="dxa" w:w="120"/>
              <w:bottom w:type="dxa" w:w="60"/>
              <w:right w:type="dxa" w:w="120"/>
            </w:tcMar>
          </w:tcPr>
          <w:p>
            <w:r>
              <w:rPr>
                <w:rFonts w:ascii="Calibri" w:eastAsia="Microsoft YaHei"/>
                <w:color w:val="1A2B40"/>
                <w:sz w:val="20"/>
                <w:szCs w:val="20"/>
              </w:rPr>
              <w:t xml:space="preserve">approve_document() creates journal entry outside transaction.atomic() block</w:t>
            </w:r>
          </w:p>
        </w:tc>
      </w:tr>
      <w:tr>
        <w:tc>
          <w:tcPr>
            <w:tcW w:type="pct" w:w="15%"/>
            <w:tcBorders>
              <w:top w:val="none"/>
              <w:left w:val="none"/>
              <w:bottom w:val="single" w:color="D0D8E0" w:sz="1"/>
              <w:right w:val="none"/>
            </w:tcBorders>
            <w:tcMar>
              <w:top w:type="dxa" w:w="60"/>
              <w:left w:type="dxa" w:w="120"/>
              <w:bottom w:type="dxa" w:w="60"/>
              <w:right w:type="dxa" w:w="120"/>
            </w:tcMar>
          </w:tcPr>
          <w:p>
            <w:r>
              <w:rPr>
                <w:rFonts w:ascii="Calibri" w:eastAsia="Microsoft YaHei"/>
                <w:b/>
                <w:bCs/>
                <w:color w:val="1A2B40"/>
                <w:sz w:val="20"/>
                <w:szCs w:val="20"/>
              </w:rPr>
              <w:t xml:space="preserve">Location:</w:t>
            </w:r>
          </w:p>
        </w:tc>
        <w:tc>
          <w:tcPr>
            <w:tcW w:type="pct" w:w="85%"/>
            <w:gridSpan w:val="2"/>
            <w:tcBorders>
              <w:top w:val="none"/>
              <w:left w:val="none"/>
              <w:bottom w:val="single" w:color="D0D8E0" w:sz="1"/>
              <w:right w:val="none"/>
            </w:tcBorders>
            <w:tcMar>
              <w:top w:type="dxa" w:w="60"/>
              <w:left w:type="dxa" w:w="120"/>
              <w:bottom w:type="dxa" w:w="60"/>
              <w:right w:type="dxa" w:w="120"/>
            </w:tcMar>
          </w:tcPr>
          <w:p>
            <w:r>
              <w:rPr>
                <w:rFonts w:ascii="Calibri" w:eastAsia="Microsoft YaHei"/>
                <w:color w:val="1A2B40"/>
                <w:sz w:val="20"/>
                <w:szCs w:val="20"/>
              </w:rPr>
              <w:t xml:space="preserve">apps/backend/apps/invoicing/services/document_service.py</w:t>
            </w:r>
          </w:p>
        </w:tc>
      </w:tr>
      <w:tr>
        <w:tc>
          <w:tcPr>
            <w:tcW w:type="pct" w:w="15%"/>
            <w:tcBorders>
              <w:top w:val="none"/>
              <w:left w:val="none"/>
              <w:bottom w:val="single" w:color="D0D8E0" w:sz="1"/>
              <w:right w:val="none"/>
            </w:tcBorders>
            <w:tcMar>
              <w:top w:type="dxa" w:w="60"/>
              <w:left w:type="dxa" w:w="120"/>
              <w:bottom w:type="dxa" w:w="60"/>
              <w:right w:type="dxa" w:w="120"/>
            </w:tcMar>
          </w:tcPr>
          <w:p>
            <w:r>
              <w:rPr>
                <w:rFonts w:ascii="Calibri" w:eastAsia="Microsoft YaHei"/>
                <w:b/>
                <w:bCs/>
                <w:color w:val="1A2B40"/>
                <w:sz w:val="20"/>
                <w:szCs w:val="20"/>
              </w:rPr>
              <w:t xml:space="preserve">Description:</w:t>
            </w:r>
          </w:p>
        </w:tc>
        <w:tc>
          <w:tcPr>
            <w:tcW w:type="pct" w:w="85%"/>
            <w:gridSpan w:val="2"/>
            <w:tcBorders>
              <w:top w:val="none"/>
              <w:left w:val="none"/>
              <w:bottom w:val="single" w:color="D0D8E0" w:sz="1"/>
              <w:right w:val="none"/>
            </w:tcBorders>
            <w:tcMar>
              <w:top w:type="dxa" w:w="60"/>
              <w:left w:type="dxa" w:w="120"/>
              <w:bottom w:type="dxa" w:w="60"/>
              <w:right w:type="dxa" w:w="120"/>
            </w:tcMar>
          </w:tcPr>
          <w:p>
            <w:r>
              <w:rPr>
                <w:rFonts w:ascii="Calibri" w:eastAsia="Microsoft YaHei"/>
                <w:color w:val="1A2B40"/>
                <w:sz w:val="20"/>
                <w:szCs w:val="20"/>
              </w:rPr>
              <w:t xml:space="preserve">In the approve_document() method, the invoice status update is wrapped in transaction.atomic(), but the subsequent call to JournalService.post_invoice() (which creates the journal entries) occurs outside the atomic block. If the journal posting fails (e.g., due to a validation error in the balance check trigger), the invoice remains in APPROVED status but has no corresponding ledger entries. This breaks the fundamental accounting invariant that every approved document must have matching journal entries, leading to incomplete financial statements.</w:t>
            </w:r>
          </w:p>
        </w:tc>
      </w:tr>
      <w:tr>
        <w:tc>
          <w:tcPr>
            <w:tcW w:type="pct" w:w="15%"/>
            <w:tcBorders>
              <w:top w:val="none"/>
              <w:left w:val="none"/>
              <w:bottom w:val="single" w:color="D0D8E0" w:sz="1"/>
              <w:right w:val="none"/>
            </w:tcBorders>
            <w:tcMar>
              <w:top w:type="dxa" w:w="60"/>
              <w:left w:type="dxa" w:w="120"/>
              <w:bottom w:type="dxa" w:w="60"/>
              <w:right w:type="dxa" w:w="120"/>
            </w:tcMar>
          </w:tcPr>
          <w:p>
            <w:r>
              <w:rPr>
                <w:rFonts w:ascii="Calibri" w:eastAsia="Microsoft YaHei"/>
                <w:b/>
                <w:bCs/>
                <w:color w:val="1A2B40"/>
                <w:sz w:val="20"/>
                <w:szCs w:val="20"/>
              </w:rPr>
              <w:t xml:space="preserve">Recommendation:</w:t>
            </w:r>
          </w:p>
        </w:tc>
        <w:tc>
          <w:tcPr>
            <w:tcW w:type="pct" w:w="85%"/>
            <w:gridSpan w:val="2"/>
            <w:tcBorders>
              <w:top w:val="none"/>
              <w:left w:val="none"/>
              <w:bottom w:val="single" w:color="D0D8E0" w:sz="1"/>
              <w:right w:val="none"/>
            </w:tcBorders>
            <w:tcMar>
              <w:top w:type="dxa" w:w="60"/>
              <w:left w:type="dxa" w:w="120"/>
              <w:bottom w:type="dxa" w:w="60"/>
              <w:right w:type="dxa" w:w="120"/>
            </w:tcMar>
          </w:tcPr>
          <w:p>
            <w:r>
              <w:rPr>
                <w:rFonts w:ascii="Calibri" w:eastAsia="Microsoft YaHei"/>
                <w:color w:val="1A2B40"/>
                <w:sz w:val="20"/>
                <w:szCs w:val="20"/>
              </w:rPr>
              <w:t xml:space="preserve">Move the JournalService.post_invoice() call inside the transaction.atomic() block so that both the status update and journal entry creation succeed or fail together. This ensures the invariant is maintained: APPROVED status implies ledger entries exist.</w:t>
            </w:r>
          </w:p>
        </w:tc>
      </w:tr>
    </w:tbl>
    <w:p>
      <w:pPr>
        <w:spacing w:before="200"/>
      </w:pPr>
    </w:p>
    <w:p>
      <w:pPr>
        <w:pStyle w:val="Heading2"/>
        <w:spacing w:after="100" w:before="280"/>
      </w:pPr>
      <w:bookmarkStart w:id="100011" w:name="_Toc100011"/>
      <w:r>
        <w:rPr>
          <w:rFonts w:ascii="Calibri" w:eastAsia="SimHei"/>
          <w:b/>
          <w:bCs/>
          <w:color w:val="0A1628"/>
          <w:sz w:val="28"/>
          <w:szCs w:val="28"/>
        </w:rPr>
        <w:t xml:space="preserve">3.4 FE-002: PDF Downloads Completely Broken</w:t>
      </w:r>
      <w:bookmarkEnd w:id="100011"/>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0%"/>
            <w:tcBorders>
              <w:top w:val="single" w:color="D4875A" w:sz="2"/>
              <w:left w:val="none"/>
              <w:bottom w:val="single" w:color="D4875A" w:sz="2"/>
              <w:right w:val="none"/>
            </w:tcBorders>
            <w:shd w:fill="1A2330" w:val="clear"/>
            <w:tcMar>
              <w:top w:type="dxa" w:w="60"/>
              <w:left w:type="dxa" w:w="120"/>
              <w:bottom w:type="dxa" w:w="60"/>
              <w:right w:type="dxa" w:w="120"/>
            </w:tcMar>
          </w:tcPr>
          <w:p>
            <w:r>
              <w:rPr>
                <w:rFonts w:ascii="Calibri" w:eastAsia="Microsoft YaHei"/>
                <w:b/>
                <w:bCs/>
                <w:color w:val="FFFFFF"/>
                <w:sz w:val="20"/>
                <w:szCs w:val="20"/>
              </w:rPr>
              <w:t xml:space="preserve">ID</w:t>
            </w:r>
          </w:p>
        </w:tc>
        <w:tc>
          <w:tcPr>
            <w:tcW w:type="pct" w:w="12%"/>
            <w:tcBorders>
              <w:top w:val="single" w:color="D4875A" w:sz="2"/>
              <w:left w:val="none"/>
              <w:bottom w:val="single" w:color="D4875A" w:sz="2"/>
              <w:right w:val="none"/>
            </w:tcBorders>
            <w:shd w:fill="1A2330" w:val="clear"/>
            <w:tcMar>
              <w:top w:type="dxa" w:w="60"/>
              <w:left w:type="dxa" w:w="120"/>
              <w:bottom w:type="dxa" w:w="60"/>
              <w:right w:type="dxa" w:w="120"/>
            </w:tcMar>
          </w:tcPr>
          <w:p>
            <w:r>
              <w:rPr>
                <w:rFonts w:ascii="Calibri" w:eastAsia="Microsoft YaHei"/>
                <w:b/>
                <w:bCs/>
                <w:color w:val="FFFFFF"/>
                <w:sz w:val="20"/>
                <w:szCs w:val="20"/>
              </w:rPr>
              <w:t xml:space="preserve">Severity</w:t>
            </w:r>
          </w:p>
        </w:tc>
        <w:tc>
          <w:tcPr>
            <w:tcW w:type="pct" w:w="78%"/>
            <w:tcBorders>
              <w:top w:val="single" w:color="D4875A" w:sz="2"/>
              <w:left w:val="none"/>
              <w:bottom w:val="single" w:color="D4875A" w:sz="2"/>
              <w:right w:val="none"/>
            </w:tcBorders>
            <w:shd w:fill="1A2330" w:val="clear"/>
            <w:tcMar>
              <w:top w:type="dxa" w:w="60"/>
              <w:left w:type="dxa" w:w="120"/>
              <w:bottom w:type="dxa" w:w="60"/>
              <w:right w:type="dxa" w:w="120"/>
            </w:tcMar>
          </w:tcPr>
          <w:p>
            <w:r>
              <w:rPr>
                <w:rFonts w:ascii="Calibri" w:eastAsia="Microsoft YaHei"/>
                <w:b/>
                <w:bCs/>
                <w:color w:val="FFFFFF"/>
                <w:sz w:val="20"/>
                <w:szCs w:val="20"/>
              </w:rPr>
              <w:t xml:space="preserve">Title</w:t>
            </w:r>
          </w:p>
        </w:tc>
      </w:tr>
      <w:tr>
        <w:tc>
          <w:tcPr>
            <w:tcW w:type="pct" w:w="10%"/>
            <w:tcBorders>
              <w:top w:val="none"/>
              <w:left w:val="none"/>
              <w:bottom w:val="single" w:color="D0D8E0" w:sz="1"/>
              <w:right w:val="none"/>
            </w:tcBorders>
            <w:shd w:fill="FFFFFF" w:val="clear"/>
            <w:tcMar>
              <w:top w:type="dxa" w:w="60"/>
              <w:left w:type="dxa" w:w="120"/>
              <w:bottom w:type="dxa" w:w="60"/>
              <w:right w:type="dxa" w:w="120"/>
            </w:tcMar>
          </w:tcPr>
          <w:p>
            <w:r>
              <w:rPr>
                <w:rFonts w:ascii="Calibri" w:eastAsia="Microsoft YaHei"/>
                <w:color w:val="1A2B40"/>
                <w:sz w:val="20"/>
                <w:szCs w:val="20"/>
              </w:rPr>
              <w:t xml:space="preserve">FE-002</w:t>
            </w:r>
          </w:p>
        </w:tc>
        <w:tc>
          <w:tcPr>
            <w:tcW w:type="pct" w:w="12%"/>
            <w:tcBorders>
              <w:top w:val="none"/>
              <w:left w:val="none"/>
              <w:bottom w:val="single" w:color="D0D8E0" w:sz="1"/>
              <w:right w:val="none"/>
            </w:tcBorders>
            <w:shd w:fill="FEF5E7" w:val="clear"/>
            <w:tcMar>
              <w:top w:type="dxa" w:w="60"/>
              <w:left w:type="dxa" w:w="120"/>
              <w:bottom w:type="dxa" w:w="60"/>
              <w:right w:type="dxa" w:w="120"/>
            </w:tcMar>
          </w:tcPr>
          <w:p>
            <w:r>
              <w:rPr>
                <w:rFonts w:ascii="Calibri" w:eastAsia="Microsoft YaHei"/>
                <w:b/>
                <w:bCs/>
                <w:color w:val="E67E22"/>
                <w:sz w:val="20"/>
                <w:szCs w:val="20"/>
              </w:rPr>
              <w:t xml:space="preserve">HIGH</w:t>
            </w:r>
          </w:p>
        </w:tc>
        <w:tc>
          <w:tcPr>
            <w:tcW w:type="pct" w:w="78%"/>
            <w:tcBorders>
              <w:top w:val="none"/>
              <w:left w:val="none"/>
              <w:bottom w:val="single" w:color="D0D8E0" w:sz="1"/>
              <w:right w:val="none"/>
            </w:tcBorders>
            <w:shd w:fill="FFFFFF" w:val="clear"/>
            <w:tcMar>
              <w:top w:type="dxa" w:w="60"/>
              <w:left w:type="dxa" w:w="120"/>
              <w:bottom w:type="dxa" w:w="60"/>
              <w:right w:type="dxa" w:w="120"/>
            </w:tcMar>
          </w:tcPr>
          <w:p>
            <w:r>
              <w:rPr>
                <w:rFonts w:ascii="Calibri" w:eastAsia="Microsoft YaHei"/>
                <w:color w:val="1A2B40"/>
                <w:sz w:val="20"/>
                <w:szCs w:val="20"/>
              </w:rPr>
              <w:t xml:space="preserve">useInvoicePDF hook reads JWT from localStorage which is never set, causing permanent 401 errors</w:t>
            </w:r>
          </w:p>
        </w:tc>
      </w:tr>
      <w:tr>
        <w:tc>
          <w:tcPr>
            <w:tcW w:type="pct" w:w="15%"/>
            <w:tcBorders>
              <w:top w:val="none"/>
              <w:left w:val="none"/>
              <w:bottom w:val="single" w:color="D0D8E0" w:sz="1"/>
              <w:right w:val="none"/>
            </w:tcBorders>
            <w:tcMar>
              <w:top w:type="dxa" w:w="60"/>
              <w:left w:type="dxa" w:w="120"/>
              <w:bottom w:type="dxa" w:w="60"/>
              <w:right w:type="dxa" w:w="120"/>
            </w:tcMar>
          </w:tcPr>
          <w:p>
            <w:r>
              <w:rPr>
                <w:rFonts w:ascii="Calibri" w:eastAsia="Microsoft YaHei"/>
                <w:b/>
                <w:bCs/>
                <w:color w:val="1A2B40"/>
                <w:sz w:val="20"/>
                <w:szCs w:val="20"/>
              </w:rPr>
              <w:t xml:space="preserve">Location:</w:t>
            </w:r>
          </w:p>
        </w:tc>
        <w:tc>
          <w:tcPr>
            <w:tcW w:type="pct" w:w="85%"/>
            <w:gridSpan w:val="2"/>
            <w:tcBorders>
              <w:top w:val="none"/>
              <w:left w:val="none"/>
              <w:bottom w:val="single" w:color="D0D8E0" w:sz="1"/>
              <w:right w:val="none"/>
            </w:tcBorders>
            <w:tcMar>
              <w:top w:type="dxa" w:w="60"/>
              <w:left w:type="dxa" w:w="120"/>
              <w:bottom w:type="dxa" w:w="60"/>
              <w:right w:type="dxa" w:w="120"/>
            </w:tcMar>
          </w:tcPr>
          <w:p>
            <w:r>
              <w:rPr>
                <w:rFonts w:ascii="Calibri" w:eastAsia="Microsoft YaHei"/>
                <w:color w:val="1A2B40"/>
                <w:sz w:val="20"/>
                <w:szCs w:val="20"/>
              </w:rPr>
              <w:t xml:space="preserve">apps/web/src/hooks/use-invoices.ts</w:t>
            </w:r>
          </w:p>
        </w:tc>
      </w:tr>
      <w:tr>
        <w:tc>
          <w:tcPr>
            <w:tcW w:type="pct" w:w="15%"/>
            <w:tcBorders>
              <w:top w:val="none"/>
              <w:left w:val="none"/>
              <w:bottom w:val="single" w:color="D0D8E0" w:sz="1"/>
              <w:right w:val="none"/>
            </w:tcBorders>
            <w:tcMar>
              <w:top w:type="dxa" w:w="60"/>
              <w:left w:type="dxa" w:w="120"/>
              <w:bottom w:type="dxa" w:w="60"/>
              <w:right w:type="dxa" w:w="120"/>
            </w:tcMar>
          </w:tcPr>
          <w:p>
            <w:r>
              <w:rPr>
                <w:rFonts w:ascii="Calibri" w:eastAsia="Microsoft YaHei"/>
                <w:b/>
                <w:bCs/>
                <w:color w:val="1A2B40"/>
                <w:sz w:val="20"/>
                <w:szCs w:val="20"/>
              </w:rPr>
              <w:t xml:space="preserve">Description:</w:t>
            </w:r>
          </w:p>
        </w:tc>
        <w:tc>
          <w:tcPr>
            <w:tcW w:type="pct" w:w="85%"/>
            <w:gridSpan w:val="2"/>
            <w:tcBorders>
              <w:top w:val="none"/>
              <w:left w:val="none"/>
              <w:bottom w:val="single" w:color="D0D8E0" w:sz="1"/>
              <w:right w:val="none"/>
            </w:tcBorders>
            <w:tcMar>
              <w:top w:type="dxa" w:w="60"/>
              <w:left w:type="dxa" w:w="120"/>
              <w:bottom w:type="dxa" w:w="60"/>
              <w:right w:type="dxa" w:w="120"/>
            </w:tcMar>
          </w:tcPr>
          <w:p>
            <w:r>
              <w:rPr>
                <w:rFonts w:ascii="Calibri" w:eastAsia="Microsoft YaHei"/>
                <w:color w:val="1A2B40"/>
                <w:sz w:val="20"/>
                <w:szCs w:val="20"/>
              </w:rPr>
              <w:t xml:space="preserve">The useInvoicePDF hook attempts to read the JWT access token from localStorage.getItem('access_token'). However, the platform's Zero JWT Exposure mandate means tokens are never stored in localStorage. The access token is stored in React state/memory and the refresh token is in an HttpOnly cookie. This means PDF downloads always fail with a 401 Unauthorized error because the token is never found. If a developer 'fixes' this by storing the token in localStorage, it would directly violate the project's Zero JWT Exposure security mandate.</w:t>
            </w:r>
          </w:p>
        </w:tc>
      </w:tr>
      <w:tr>
        <w:tc>
          <w:tcPr>
            <w:tcW w:type="pct" w:w="15%"/>
            <w:tcBorders>
              <w:top w:val="none"/>
              <w:left w:val="none"/>
              <w:bottom w:val="single" w:color="D0D8E0" w:sz="1"/>
              <w:right w:val="none"/>
            </w:tcBorders>
            <w:tcMar>
              <w:top w:type="dxa" w:w="60"/>
              <w:left w:type="dxa" w:w="120"/>
              <w:bottom w:type="dxa" w:w="60"/>
              <w:right w:type="dxa" w:w="120"/>
            </w:tcMar>
          </w:tcPr>
          <w:p>
            <w:r>
              <w:rPr>
                <w:rFonts w:ascii="Calibri" w:eastAsia="Microsoft YaHei"/>
                <w:b/>
                <w:bCs/>
                <w:color w:val="1A2B40"/>
                <w:sz w:val="20"/>
                <w:szCs w:val="20"/>
              </w:rPr>
              <w:t xml:space="preserve">Recommendation:</w:t>
            </w:r>
          </w:p>
        </w:tc>
        <w:tc>
          <w:tcPr>
            <w:tcW w:type="pct" w:w="85%"/>
            <w:gridSpan w:val="2"/>
            <w:tcBorders>
              <w:top w:val="none"/>
              <w:left w:val="none"/>
              <w:bottom w:val="single" w:color="D0D8E0" w:sz="1"/>
              <w:right w:val="none"/>
            </w:tcBorders>
            <w:tcMar>
              <w:top w:type="dxa" w:w="60"/>
              <w:left w:type="dxa" w:w="120"/>
              <w:bottom w:type="dxa" w:w="60"/>
              <w:right w:type="dxa" w:w="120"/>
            </w:tcMar>
          </w:tcPr>
          <w:p>
            <w:r>
              <w:rPr>
                <w:rFonts w:ascii="Calibri" w:eastAsia="Microsoft YaHei"/>
                <w:color w:val="1A2B40"/>
                <w:sz w:val="20"/>
                <w:szCs w:val="20"/>
              </w:rPr>
              <w:t xml:space="preserve">Refactor PDF downloads to go through the server-side API client (lib/server/api-client.ts) which has access to the token without exposing it to the client. Alternatively, create a backend endpoint that generates and returns the PDF using the existing HttpOnly cookie for authentication.</w:t>
            </w:r>
          </w:p>
        </w:tc>
      </w:tr>
    </w:tbl>
    <w:p>
      <w:pPr>
        <w:spacing w:before="200"/>
      </w:pPr>
    </w:p>
    <w:p>
      <w:pPr>
        <w:pStyle w:val="Heading2"/>
        <w:spacing w:after="100" w:before="280"/>
      </w:pPr>
      <w:bookmarkStart w:id="100012" w:name="_Toc100012"/>
      <w:r>
        <w:rPr>
          <w:rFonts w:ascii="Calibri" w:eastAsia="SimHei"/>
          <w:b/>
          <w:bCs/>
          <w:color w:val="0A1628"/>
          <w:sz w:val="28"/>
          <w:szCs w:val="28"/>
        </w:rPr>
        <w:t xml:space="preserve">3.5 DB-001: RLS Missing on Core Tables</w:t>
      </w:r>
      <w:bookmarkEnd w:id="100012"/>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0%"/>
            <w:tcBorders>
              <w:top w:val="single" w:color="D4875A" w:sz="2"/>
              <w:left w:val="none"/>
              <w:bottom w:val="single" w:color="D4875A" w:sz="2"/>
              <w:right w:val="none"/>
            </w:tcBorders>
            <w:shd w:fill="1A2330" w:val="clear"/>
            <w:tcMar>
              <w:top w:type="dxa" w:w="60"/>
              <w:left w:type="dxa" w:w="120"/>
              <w:bottom w:type="dxa" w:w="60"/>
              <w:right w:type="dxa" w:w="120"/>
            </w:tcMar>
          </w:tcPr>
          <w:p>
            <w:r>
              <w:rPr>
                <w:rFonts w:ascii="Calibri" w:eastAsia="Microsoft YaHei"/>
                <w:b/>
                <w:bCs/>
                <w:color w:val="FFFFFF"/>
                <w:sz w:val="20"/>
                <w:szCs w:val="20"/>
              </w:rPr>
              <w:t xml:space="preserve">ID</w:t>
            </w:r>
          </w:p>
        </w:tc>
        <w:tc>
          <w:tcPr>
            <w:tcW w:type="pct" w:w="12%"/>
            <w:tcBorders>
              <w:top w:val="single" w:color="D4875A" w:sz="2"/>
              <w:left w:val="none"/>
              <w:bottom w:val="single" w:color="D4875A" w:sz="2"/>
              <w:right w:val="none"/>
            </w:tcBorders>
            <w:shd w:fill="1A2330" w:val="clear"/>
            <w:tcMar>
              <w:top w:type="dxa" w:w="60"/>
              <w:left w:type="dxa" w:w="120"/>
              <w:bottom w:type="dxa" w:w="60"/>
              <w:right w:type="dxa" w:w="120"/>
            </w:tcMar>
          </w:tcPr>
          <w:p>
            <w:r>
              <w:rPr>
                <w:rFonts w:ascii="Calibri" w:eastAsia="Microsoft YaHei"/>
                <w:b/>
                <w:bCs/>
                <w:color w:val="FFFFFF"/>
                <w:sz w:val="20"/>
                <w:szCs w:val="20"/>
              </w:rPr>
              <w:t xml:space="preserve">Severity</w:t>
            </w:r>
          </w:p>
        </w:tc>
        <w:tc>
          <w:tcPr>
            <w:tcW w:type="pct" w:w="78%"/>
            <w:tcBorders>
              <w:top w:val="single" w:color="D4875A" w:sz="2"/>
              <w:left w:val="none"/>
              <w:bottom w:val="single" w:color="D4875A" w:sz="2"/>
              <w:right w:val="none"/>
            </w:tcBorders>
            <w:shd w:fill="1A2330" w:val="clear"/>
            <w:tcMar>
              <w:top w:type="dxa" w:w="60"/>
              <w:left w:type="dxa" w:w="120"/>
              <w:bottom w:type="dxa" w:w="60"/>
              <w:right w:type="dxa" w:w="120"/>
            </w:tcMar>
          </w:tcPr>
          <w:p>
            <w:r>
              <w:rPr>
                <w:rFonts w:ascii="Calibri" w:eastAsia="Microsoft YaHei"/>
                <w:b/>
                <w:bCs/>
                <w:color w:val="FFFFFF"/>
                <w:sz w:val="20"/>
                <w:szCs w:val="20"/>
              </w:rPr>
              <w:t xml:space="preserve">Title</w:t>
            </w:r>
          </w:p>
        </w:tc>
      </w:tr>
      <w:tr>
        <w:tc>
          <w:tcPr>
            <w:tcW w:type="pct" w:w="10%"/>
            <w:tcBorders>
              <w:top w:val="none"/>
              <w:left w:val="none"/>
              <w:bottom w:val="single" w:color="D0D8E0" w:sz="1"/>
              <w:right w:val="none"/>
            </w:tcBorders>
            <w:shd w:fill="FFFFFF" w:val="clear"/>
            <w:tcMar>
              <w:top w:type="dxa" w:w="60"/>
              <w:left w:type="dxa" w:w="120"/>
              <w:bottom w:type="dxa" w:w="60"/>
              <w:right w:type="dxa" w:w="120"/>
            </w:tcMar>
          </w:tcPr>
          <w:p>
            <w:r>
              <w:rPr>
                <w:rFonts w:ascii="Calibri" w:eastAsia="Microsoft YaHei"/>
                <w:color w:val="1A2B40"/>
                <w:sz w:val="20"/>
                <w:szCs w:val="20"/>
              </w:rPr>
              <w:t xml:space="preserve">DB-001</w:t>
            </w:r>
          </w:p>
        </w:tc>
        <w:tc>
          <w:tcPr>
            <w:tcW w:type="pct" w:w="12%"/>
            <w:tcBorders>
              <w:top w:val="none"/>
              <w:left w:val="none"/>
              <w:bottom w:val="single" w:color="D0D8E0" w:sz="1"/>
              <w:right w:val="none"/>
            </w:tcBorders>
            <w:shd w:fill="FEF5E7" w:val="clear"/>
            <w:tcMar>
              <w:top w:type="dxa" w:w="60"/>
              <w:left w:type="dxa" w:w="120"/>
              <w:bottom w:type="dxa" w:w="60"/>
              <w:right w:type="dxa" w:w="120"/>
            </w:tcMar>
          </w:tcPr>
          <w:p>
            <w:r>
              <w:rPr>
                <w:rFonts w:ascii="Calibri" w:eastAsia="Microsoft YaHei"/>
                <w:b/>
                <w:bCs/>
                <w:color w:val="E67E22"/>
                <w:sz w:val="20"/>
                <w:szCs w:val="20"/>
              </w:rPr>
              <w:t xml:space="preserve">HIGH</w:t>
            </w:r>
          </w:p>
        </w:tc>
        <w:tc>
          <w:tcPr>
            <w:tcW w:type="pct" w:w="78%"/>
            <w:tcBorders>
              <w:top w:val="none"/>
              <w:left w:val="none"/>
              <w:bottom w:val="single" w:color="D0D8E0" w:sz="1"/>
              <w:right w:val="none"/>
            </w:tcBorders>
            <w:shd w:fill="FFFFFF" w:val="clear"/>
            <w:tcMar>
              <w:top w:type="dxa" w:w="60"/>
              <w:left w:type="dxa" w:w="120"/>
              <w:bottom w:type="dxa" w:w="60"/>
              <w:right w:type="dxa" w:w="120"/>
            </w:tcMar>
          </w:tcPr>
          <w:p>
            <w:r>
              <w:rPr>
                <w:rFonts w:ascii="Calibri" w:eastAsia="Microsoft YaHei"/>
                <w:color w:val="1A2B40"/>
                <w:sz w:val="20"/>
                <w:szCs w:val="20"/>
              </w:rPr>
              <w:t xml:space="preserve">RLS policies missing on core.app_user, core.role, core.user_organisation, and gst.organisation_peppol_settings</w:t>
            </w:r>
          </w:p>
        </w:tc>
      </w:tr>
      <w:tr>
        <w:tc>
          <w:tcPr>
            <w:tcW w:type="pct" w:w="15%"/>
            <w:tcBorders>
              <w:top w:val="none"/>
              <w:left w:val="none"/>
              <w:bottom w:val="single" w:color="D0D8E0" w:sz="1"/>
              <w:right w:val="none"/>
            </w:tcBorders>
            <w:tcMar>
              <w:top w:type="dxa" w:w="60"/>
              <w:left w:type="dxa" w:w="120"/>
              <w:bottom w:type="dxa" w:w="60"/>
              <w:right w:type="dxa" w:w="120"/>
            </w:tcMar>
          </w:tcPr>
          <w:p>
            <w:r>
              <w:rPr>
                <w:rFonts w:ascii="Calibri" w:eastAsia="Microsoft YaHei"/>
                <w:b/>
                <w:bCs/>
                <w:color w:val="1A2B40"/>
                <w:sz w:val="20"/>
                <w:szCs w:val="20"/>
              </w:rPr>
              <w:t xml:space="preserve">Location:</w:t>
            </w:r>
          </w:p>
        </w:tc>
        <w:tc>
          <w:tcPr>
            <w:tcW w:type="pct" w:w="85%"/>
            <w:gridSpan w:val="2"/>
            <w:tcBorders>
              <w:top w:val="none"/>
              <w:left w:val="none"/>
              <w:bottom w:val="single" w:color="D0D8E0" w:sz="1"/>
              <w:right w:val="none"/>
            </w:tcBorders>
            <w:tcMar>
              <w:top w:type="dxa" w:w="60"/>
              <w:left w:type="dxa" w:w="120"/>
              <w:bottom w:type="dxa" w:w="60"/>
              <w:right w:type="dxa" w:w="120"/>
            </w:tcMar>
          </w:tcPr>
          <w:p>
            <w:r>
              <w:rPr>
                <w:rFonts w:ascii="Calibri" w:eastAsia="Microsoft YaHei"/>
                <w:color w:val="1A2B40"/>
                <w:sz w:val="20"/>
                <w:szCs w:val="20"/>
              </w:rPr>
              <w:t xml:space="preserve">apps/backend/database_schema.sql</w:t>
            </w:r>
          </w:p>
        </w:tc>
      </w:tr>
      <w:tr>
        <w:tc>
          <w:tcPr>
            <w:tcW w:type="pct" w:w="15%"/>
            <w:tcBorders>
              <w:top w:val="none"/>
              <w:left w:val="none"/>
              <w:bottom w:val="single" w:color="D0D8E0" w:sz="1"/>
              <w:right w:val="none"/>
            </w:tcBorders>
            <w:tcMar>
              <w:top w:type="dxa" w:w="60"/>
              <w:left w:type="dxa" w:w="120"/>
              <w:bottom w:type="dxa" w:w="60"/>
              <w:right w:type="dxa" w:w="120"/>
            </w:tcMar>
          </w:tcPr>
          <w:p>
            <w:r>
              <w:rPr>
                <w:rFonts w:ascii="Calibri" w:eastAsia="Microsoft YaHei"/>
                <w:b/>
                <w:bCs/>
                <w:color w:val="1A2B40"/>
                <w:sz w:val="20"/>
                <w:szCs w:val="20"/>
              </w:rPr>
              <w:t xml:space="preserve">Description:</w:t>
            </w:r>
          </w:p>
        </w:tc>
        <w:tc>
          <w:tcPr>
            <w:tcW w:type="pct" w:w="85%"/>
            <w:gridSpan w:val="2"/>
            <w:tcBorders>
              <w:top w:val="none"/>
              <w:left w:val="none"/>
              <w:bottom w:val="single" w:color="D0D8E0" w:sz="1"/>
              <w:right w:val="none"/>
            </w:tcBorders>
            <w:tcMar>
              <w:top w:type="dxa" w:w="60"/>
              <w:left w:type="dxa" w:w="120"/>
              <w:bottom w:type="dxa" w:w="60"/>
              <w:right w:type="dxa" w:w="120"/>
            </w:tcMar>
          </w:tcPr>
          <w:p>
            <w:r>
              <w:rPr>
                <w:rFonts w:ascii="Calibri" w:eastAsia="Microsoft YaHei"/>
                <w:color w:val="1A2B40"/>
                <w:sz w:val="20"/>
                <w:szCs w:val="20"/>
              </w:rPr>
              <w:t xml:space="preserve">Four tables in the database schema do not have Row-Level Security policies enabled. While most tables have the standard tenant_isolation RLS policy, these four tables are accessible to any authenticated user regardless of their organisation context. The core.user_organisation table is particularly sensitive because it maps users to organisations and defines their roles; without RLS, a user could potentially query other organisations' membership records. The gst.organisation_peppol_settings table contains InvoiceNow integration credentials that should be isolated per-organisation.</w:t>
            </w:r>
          </w:p>
        </w:tc>
      </w:tr>
      <w:tr>
        <w:tc>
          <w:tcPr>
            <w:tcW w:type="pct" w:w="15%"/>
            <w:tcBorders>
              <w:top w:val="none"/>
              <w:left w:val="none"/>
              <w:bottom w:val="single" w:color="D0D8E0" w:sz="1"/>
              <w:right w:val="none"/>
            </w:tcBorders>
            <w:tcMar>
              <w:top w:type="dxa" w:w="60"/>
              <w:left w:type="dxa" w:w="120"/>
              <w:bottom w:type="dxa" w:w="60"/>
              <w:right w:type="dxa" w:w="120"/>
            </w:tcMar>
          </w:tcPr>
          <w:p>
            <w:r>
              <w:rPr>
                <w:rFonts w:ascii="Calibri" w:eastAsia="Microsoft YaHei"/>
                <w:b/>
                <w:bCs/>
                <w:color w:val="1A2B40"/>
                <w:sz w:val="20"/>
                <w:szCs w:val="20"/>
              </w:rPr>
              <w:t xml:space="preserve">Recommendation:</w:t>
            </w:r>
          </w:p>
        </w:tc>
        <w:tc>
          <w:tcPr>
            <w:tcW w:type="pct" w:w="85%"/>
            <w:gridSpan w:val="2"/>
            <w:tcBorders>
              <w:top w:val="none"/>
              <w:left w:val="none"/>
              <w:bottom w:val="single" w:color="D0D8E0" w:sz="1"/>
              <w:right w:val="none"/>
            </w:tcBorders>
            <w:tcMar>
              <w:top w:type="dxa" w:w="60"/>
              <w:left w:type="dxa" w:w="120"/>
              <w:bottom w:type="dxa" w:w="60"/>
              <w:right w:type="dxa" w:w="120"/>
            </w:tcMar>
          </w:tcPr>
          <w:p>
            <w:r>
              <w:rPr>
                <w:rFonts w:ascii="Calibri" w:eastAsia="Microsoft YaHei"/>
                <w:color w:val="1A2B40"/>
                <w:sz w:val="20"/>
                <w:szCs w:val="20"/>
              </w:rPr>
              <w:t xml:space="preserve">Add ALTER TABLE ... ENABLE ROW LEVEL SECURITY and CREATE POLICY tenant_isolation statements for all four tables. For core.app_user and core.role, consider whether cross-tenant visibility is intended and add appropriate policies. For core.user_organisation and gst.organisation_peppol_settings, add org_id-based isolation policies matching the existing pattern.</w:t>
            </w:r>
          </w:p>
        </w:tc>
      </w:tr>
    </w:tbl>
    <w:p>
      <w:pPr>
        <w:pStyle w:val="Heading1"/>
        <w:spacing w:after="120" w:before="360"/>
      </w:pPr>
      <w:bookmarkStart w:id="100013" w:name="_Toc100013"/>
      <w:r>
        <w:rPr>
          <w:rFonts w:ascii="Calibri" w:eastAsia="SimHei"/>
          <w:b/>
          <w:bCs/>
          <w:color w:val="0A1628"/>
          <w:sz w:val="32"/>
          <w:szCs w:val="32"/>
        </w:rPr>
        <w:t xml:space="preserve">4. Medium Severity Findings</w:t>
      </w:r>
      <w:bookmarkEnd w:id="100013"/>
    </w:p>
    <w:p>
      <w:pPr>
        <w:spacing w:after="80" w:line="312"/>
        <w:jc w:val="both"/>
      </w:pPr>
      <w:r>
        <w:rPr>
          <w:rFonts w:ascii="Calibri" w:eastAsia="Microsoft YaHei"/>
          <w:color w:val="1A2B40"/>
          <w:sz w:val="22"/>
          <w:szCs w:val="22"/>
        </w:rPr>
        <w:t xml:space="preserve">The following issues represent degraded functionality, potential race conditions, or code quality concerns that should be addressed in the near term.</w:t>
      </w:r>
    </w:p>
    <w:p>
      <w:pPr>
        <w:pStyle w:val="Heading2"/>
        <w:spacing w:after="100" w:before="280"/>
      </w:pPr>
      <w:bookmarkStart w:id="100014" w:name="_Toc100014"/>
      <w:r>
        <w:rPr>
          <w:rFonts w:ascii="Calibri" w:eastAsia="SimHei"/>
          <w:b/>
          <w:bCs/>
          <w:color w:val="0A1628"/>
          <w:sz w:val="28"/>
          <w:szCs w:val="28"/>
        </w:rPr>
        <w:t xml:space="preserve">4.1 Service Layer Violations</w:t>
      </w:r>
      <w:bookmarkEnd w:id="100014"/>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0%"/>
            <w:tcBorders>
              <w:top w:val="single" w:color="D4875A" w:sz="2"/>
              <w:left w:val="none"/>
              <w:bottom w:val="single" w:color="D4875A" w:sz="2"/>
              <w:right w:val="none"/>
            </w:tcBorders>
            <w:shd w:fill="1A2330" w:val="clear"/>
            <w:tcMar>
              <w:top w:type="dxa" w:w="60"/>
              <w:left w:type="dxa" w:w="120"/>
              <w:bottom w:type="dxa" w:w="60"/>
              <w:right w:type="dxa" w:w="120"/>
            </w:tcMar>
          </w:tcPr>
          <w:p>
            <w:r>
              <w:rPr>
                <w:rFonts w:ascii="Calibri" w:eastAsia="Microsoft YaHei"/>
                <w:b/>
                <w:bCs/>
                <w:color w:val="FFFFFF"/>
                <w:sz w:val="20"/>
                <w:szCs w:val="20"/>
              </w:rPr>
              <w:t xml:space="preserve">ID</w:t>
            </w:r>
          </w:p>
        </w:tc>
        <w:tc>
          <w:tcPr>
            <w:tcW w:type="pct" w:w="12%"/>
            <w:tcBorders>
              <w:top w:val="single" w:color="D4875A" w:sz="2"/>
              <w:left w:val="none"/>
              <w:bottom w:val="single" w:color="D4875A" w:sz="2"/>
              <w:right w:val="none"/>
            </w:tcBorders>
            <w:shd w:fill="1A2330" w:val="clear"/>
            <w:tcMar>
              <w:top w:type="dxa" w:w="60"/>
              <w:left w:type="dxa" w:w="120"/>
              <w:bottom w:type="dxa" w:w="60"/>
              <w:right w:type="dxa" w:w="120"/>
            </w:tcMar>
          </w:tcPr>
          <w:p>
            <w:r>
              <w:rPr>
                <w:rFonts w:ascii="Calibri" w:eastAsia="Microsoft YaHei"/>
                <w:b/>
                <w:bCs/>
                <w:color w:val="FFFFFF"/>
                <w:sz w:val="20"/>
                <w:szCs w:val="20"/>
              </w:rPr>
              <w:t xml:space="preserve">Severity</w:t>
            </w:r>
          </w:p>
        </w:tc>
        <w:tc>
          <w:tcPr>
            <w:tcW w:type="pct" w:w="78%"/>
            <w:tcBorders>
              <w:top w:val="single" w:color="D4875A" w:sz="2"/>
              <w:left w:val="none"/>
              <w:bottom w:val="single" w:color="D4875A" w:sz="2"/>
              <w:right w:val="none"/>
            </w:tcBorders>
            <w:shd w:fill="1A2330" w:val="clear"/>
            <w:tcMar>
              <w:top w:type="dxa" w:w="60"/>
              <w:left w:type="dxa" w:w="120"/>
              <w:bottom w:type="dxa" w:w="60"/>
              <w:right w:type="dxa" w:w="120"/>
            </w:tcMar>
          </w:tcPr>
          <w:p>
            <w:r>
              <w:rPr>
                <w:rFonts w:ascii="Calibri" w:eastAsia="Microsoft YaHei"/>
                <w:b/>
                <w:bCs/>
                <w:color w:val="FFFFFF"/>
                <w:sz w:val="20"/>
                <w:szCs w:val="20"/>
              </w:rPr>
              <w:t xml:space="preserve">Title</w:t>
            </w:r>
          </w:p>
        </w:tc>
      </w:tr>
      <w:tr>
        <w:tc>
          <w:tcPr>
            <w:tcW w:type="pct" w:w="10%"/>
            <w:tcBorders>
              <w:top w:val="none"/>
              <w:left w:val="none"/>
              <w:bottom w:val="single" w:color="D0D8E0" w:sz="1"/>
              <w:right w:val="none"/>
            </w:tcBorders>
            <w:shd w:fill="FFFFFF" w:val="clear"/>
            <w:tcMar>
              <w:top w:type="dxa" w:w="60"/>
              <w:left w:type="dxa" w:w="120"/>
              <w:bottom w:type="dxa" w:w="60"/>
              <w:right w:type="dxa" w:w="120"/>
            </w:tcMar>
          </w:tcPr>
          <w:p>
            <w:r>
              <w:rPr>
                <w:rFonts w:ascii="Calibri" w:eastAsia="Microsoft YaHei"/>
                <w:color w:val="1A2B40"/>
                <w:sz w:val="20"/>
                <w:szCs w:val="20"/>
              </w:rPr>
              <w:t xml:space="preserve">M-01</w:t>
            </w:r>
          </w:p>
        </w:tc>
        <w:tc>
          <w:tcPr>
            <w:tcW w:type="pct" w:w="12%"/>
            <w:tcBorders>
              <w:top w:val="none"/>
              <w:left w:val="none"/>
              <w:bottom w:val="single" w:color="D0D8E0" w:sz="1"/>
              <w:right w:val="none"/>
            </w:tcBorders>
            <w:shd w:fill="FEF9E7" w:val="clear"/>
            <w:tcMar>
              <w:top w:type="dxa" w:w="60"/>
              <w:left w:type="dxa" w:w="120"/>
              <w:bottom w:type="dxa" w:w="60"/>
              <w:right w:type="dxa" w:w="120"/>
            </w:tcMar>
          </w:tcPr>
          <w:p>
            <w:r>
              <w:rPr>
                <w:rFonts w:ascii="Calibri" w:eastAsia="Microsoft YaHei"/>
                <w:b/>
                <w:bCs/>
                <w:color w:val="F39C12"/>
                <w:sz w:val="20"/>
                <w:szCs w:val="20"/>
              </w:rPr>
              <w:t xml:space="preserve">MEDIUM</w:t>
            </w:r>
          </w:p>
        </w:tc>
        <w:tc>
          <w:tcPr>
            <w:tcW w:type="pct" w:w="78%"/>
            <w:tcBorders>
              <w:top w:val="none"/>
              <w:left w:val="none"/>
              <w:bottom w:val="single" w:color="D0D8E0" w:sz="1"/>
              <w:right w:val="none"/>
            </w:tcBorders>
            <w:shd w:fill="FFFFFF" w:val="clear"/>
            <w:tcMar>
              <w:top w:type="dxa" w:w="60"/>
              <w:left w:type="dxa" w:w="120"/>
              <w:bottom w:type="dxa" w:w="60"/>
              <w:right w:type="dxa" w:w="120"/>
            </w:tcMar>
          </w:tcPr>
          <w:p>
            <w:r>
              <w:rPr>
                <w:rFonts w:ascii="Calibri" w:eastAsia="Microsoft YaHei"/>
                <w:color w:val="1A2B40"/>
                <w:sz w:val="20"/>
                <w:szCs w:val="20"/>
              </w:rPr>
              <w:t xml:space="preserve">Approximately 5 views contain direct ORM queries or business logic violating the Service Layer Pattern</w:t>
            </w:r>
          </w:p>
        </w:tc>
      </w:tr>
      <w:tr>
        <w:tc>
          <w:tcPr>
            <w:tcW w:type="pct" w:w="15%"/>
            <w:tcBorders>
              <w:top w:val="none"/>
              <w:left w:val="none"/>
              <w:bottom w:val="single" w:color="D0D8E0" w:sz="1"/>
              <w:right w:val="none"/>
            </w:tcBorders>
            <w:tcMar>
              <w:top w:type="dxa" w:w="60"/>
              <w:left w:type="dxa" w:w="120"/>
              <w:bottom w:type="dxa" w:w="60"/>
              <w:right w:type="dxa" w:w="120"/>
            </w:tcMar>
          </w:tcPr>
          <w:p>
            <w:r>
              <w:rPr>
                <w:rFonts w:ascii="Calibri" w:eastAsia="Microsoft YaHei"/>
                <w:b/>
                <w:bCs/>
                <w:color w:val="1A2B40"/>
                <w:sz w:val="20"/>
                <w:szCs w:val="20"/>
              </w:rPr>
              <w:t xml:space="preserve">Location:</w:t>
            </w:r>
          </w:p>
        </w:tc>
        <w:tc>
          <w:tcPr>
            <w:tcW w:type="pct" w:w="85%"/>
            <w:gridSpan w:val="2"/>
            <w:tcBorders>
              <w:top w:val="none"/>
              <w:left w:val="none"/>
              <w:bottom w:val="single" w:color="D0D8E0" w:sz="1"/>
              <w:right w:val="none"/>
            </w:tcBorders>
            <w:tcMar>
              <w:top w:type="dxa" w:w="60"/>
              <w:left w:type="dxa" w:w="120"/>
              <w:bottom w:type="dxa" w:w="60"/>
              <w:right w:type="dxa" w:w="120"/>
            </w:tcMar>
          </w:tcPr>
          <w:p>
            <w:r>
              <w:rPr>
                <w:rFonts w:ascii="Calibri" w:eastAsia="Microsoft YaHei"/>
                <w:color w:val="1A2B40"/>
                <w:sz w:val="20"/>
                <w:szCs w:val="20"/>
              </w:rPr>
              <w:t xml:space="preserve">JournalEntrySummaryView, DocumentSummaryView, AccountSearchView, ValidateBalanceView, FinancialReportView</w:t>
            </w:r>
          </w:p>
        </w:tc>
      </w:tr>
      <w:tr>
        <w:tc>
          <w:tcPr>
            <w:tcW w:type="pct" w:w="15%"/>
            <w:tcBorders>
              <w:top w:val="none"/>
              <w:left w:val="none"/>
              <w:bottom w:val="single" w:color="D0D8E0" w:sz="1"/>
              <w:right w:val="none"/>
            </w:tcBorders>
            <w:tcMar>
              <w:top w:type="dxa" w:w="60"/>
              <w:left w:type="dxa" w:w="120"/>
              <w:bottom w:type="dxa" w:w="60"/>
              <w:right w:type="dxa" w:w="120"/>
            </w:tcMar>
          </w:tcPr>
          <w:p>
            <w:r>
              <w:rPr>
                <w:rFonts w:ascii="Calibri" w:eastAsia="Microsoft YaHei"/>
                <w:b/>
                <w:bCs/>
                <w:color w:val="1A2B40"/>
                <w:sz w:val="20"/>
                <w:szCs w:val="20"/>
              </w:rPr>
              <w:t xml:space="preserve">Description:</w:t>
            </w:r>
          </w:p>
        </w:tc>
        <w:tc>
          <w:tcPr>
            <w:tcW w:type="pct" w:w="85%"/>
            <w:gridSpan w:val="2"/>
            <w:tcBorders>
              <w:top w:val="none"/>
              <w:left w:val="none"/>
              <w:bottom w:val="single" w:color="D0D8E0" w:sz="1"/>
              <w:right w:val="none"/>
            </w:tcBorders>
            <w:tcMar>
              <w:top w:type="dxa" w:w="60"/>
              <w:left w:type="dxa" w:w="120"/>
              <w:bottom w:type="dxa" w:w="60"/>
              <w:right w:type="dxa" w:w="120"/>
            </w:tcMar>
          </w:tcPr>
          <w:p>
            <w:r>
              <w:rPr>
                <w:rFonts w:ascii="Calibri" w:eastAsia="Microsoft YaHei"/>
                <w:color w:val="1A2B40"/>
                <w:sz w:val="20"/>
                <w:szCs w:val="20"/>
              </w:rPr>
              <w:t xml:space="preserve">The project mandates that ALL business logic reside in services/ modules with views serving as thin controllers. However, at least five views contain direct Django ORM queries and business logic that should be extracted into service layer methods. This makes the code harder to test independently and violates the documented architecture. The views include aggregation queries, filtering logic, and response formatting that should be in service classes.</w:t>
            </w:r>
          </w:p>
        </w:tc>
      </w:tr>
      <w:tr>
        <w:tc>
          <w:tcPr>
            <w:tcW w:type="pct" w:w="15%"/>
            <w:tcBorders>
              <w:top w:val="none"/>
              <w:left w:val="none"/>
              <w:bottom w:val="single" w:color="D0D8E0" w:sz="1"/>
              <w:right w:val="none"/>
            </w:tcBorders>
            <w:tcMar>
              <w:top w:type="dxa" w:w="60"/>
              <w:left w:type="dxa" w:w="120"/>
              <w:bottom w:type="dxa" w:w="60"/>
              <w:right w:type="dxa" w:w="120"/>
            </w:tcMar>
          </w:tcPr>
          <w:p>
            <w:r>
              <w:rPr>
                <w:rFonts w:ascii="Calibri" w:eastAsia="Microsoft YaHei"/>
                <w:b/>
                <w:bCs/>
                <w:color w:val="1A2B40"/>
                <w:sz w:val="20"/>
                <w:szCs w:val="20"/>
              </w:rPr>
              <w:t xml:space="preserve">Recommendation:</w:t>
            </w:r>
          </w:p>
        </w:tc>
        <w:tc>
          <w:tcPr>
            <w:tcW w:type="pct" w:w="85%"/>
            <w:gridSpan w:val="2"/>
            <w:tcBorders>
              <w:top w:val="none"/>
              <w:left w:val="none"/>
              <w:bottom w:val="single" w:color="D0D8E0" w:sz="1"/>
              <w:right w:val="none"/>
            </w:tcBorders>
            <w:tcMar>
              <w:top w:type="dxa" w:w="60"/>
              <w:left w:type="dxa" w:w="120"/>
              <w:bottom w:type="dxa" w:w="60"/>
              <w:right w:type="dxa" w:w="120"/>
            </w:tcMar>
          </w:tcPr>
          <w:p>
            <w:r>
              <w:rPr>
                <w:rFonts w:ascii="Calibri" w:eastAsia="Microsoft YaHei"/>
                <w:color w:val="1A2B40"/>
                <w:sz w:val="20"/>
                <w:szCs w:val="20"/>
              </w:rPr>
              <w:t xml:space="preserve">Extract all business logic from these views into corresponding service methods. Views should only handle request parsing, service delegation, and response formatting. This maintains testability and adheres to the documented architecture.</w:t>
            </w:r>
          </w:p>
        </w:tc>
      </w:tr>
    </w:tbl>
    <w:p>
      <w:pPr>
        <w:spacing w:before="150"/>
      </w:pPr>
    </w:p>
    <w:p>
      <w:pPr>
        <w:pStyle w:val="Heading2"/>
        <w:spacing w:after="100" w:before="280"/>
      </w:pPr>
      <w:bookmarkStart w:id="100015" w:name="_Toc100015"/>
      <w:r>
        <w:rPr>
          <w:rFonts w:ascii="Calibri" w:eastAsia="SimHei"/>
          <w:b/>
          <w:bCs/>
          <w:color w:val="0A1628"/>
          <w:sz w:val="28"/>
          <w:szCs w:val="28"/>
        </w:rPr>
        <w:t xml:space="preserve">4.2 FE-003: Hardcoded GST Rate</w:t>
      </w:r>
      <w:bookmarkEnd w:id="100015"/>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0%"/>
            <w:tcBorders>
              <w:top w:val="single" w:color="D4875A" w:sz="2"/>
              <w:left w:val="none"/>
              <w:bottom w:val="single" w:color="D4875A" w:sz="2"/>
              <w:right w:val="none"/>
            </w:tcBorders>
            <w:shd w:fill="1A2330" w:val="clear"/>
            <w:tcMar>
              <w:top w:type="dxa" w:w="60"/>
              <w:left w:type="dxa" w:w="120"/>
              <w:bottom w:type="dxa" w:w="60"/>
              <w:right w:type="dxa" w:w="120"/>
            </w:tcMar>
          </w:tcPr>
          <w:p>
            <w:r>
              <w:rPr>
                <w:rFonts w:ascii="Calibri" w:eastAsia="Microsoft YaHei"/>
                <w:b/>
                <w:bCs/>
                <w:color w:val="FFFFFF"/>
                <w:sz w:val="20"/>
                <w:szCs w:val="20"/>
              </w:rPr>
              <w:t xml:space="preserve">ID</w:t>
            </w:r>
          </w:p>
        </w:tc>
        <w:tc>
          <w:tcPr>
            <w:tcW w:type="pct" w:w="12%"/>
            <w:tcBorders>
              <w:top w:val="single" w:color="D4875A" w:sz="2"/>
              <w:left w:val="none"/>
              <w:bottom w:val="single" w:color="D4875A" w:sz="2"/>
              <w:right w:val="none"/>
            </w:tcBorders>
            <w:shd w:fill="1A2330" w:val="clear"/>
            <w:tcMar>
              <w:top w:type="dxa" w:w="60"/>
              <w:left w:type="dxa" w:w="120"/>
              <w:bottom w:type="dxa" w:w="60"/>
              <w:right w:type="dxa" w:w="120"/>
            </w:tcMar>
          </w:tcPr>
          <w:p>
            <w:r>
              <w:rPr>
                <w:rFonts w:ascii="Calibri" w:eastAsia="Microsoft YaHei"/>
                <w:b/>
                <w:bCs/>
                <w:color w:val="FFFFFF"/>
                <w:sz w:val="20"/>
                <w:szCs w:val="20"/>
              </w:rPr>
              <w:t xml:space="preserve">Severity</w:t>
            </w:r>
          </w:p>
        </w:tc>
        <w:tc>
          <w:tcPr>
            <w:tcW w:type="pct" w:w="78%"/>
            <w:tcBorders>
              <w:top w:val="single" w:color="D4875A" w:sz="2"/>
              <w:left w:val="none"/>
              <w:bottom w:val="single" w:color="D4875A" w:sz="2"/>
              <w:right w:val="none"/>
            </w:tcBorders>
            <w:shd w:fill="1A2330" w:val="clear"/>
            <w:tcMar>
              <w:top w:type="dxa" w:w="60"/>
              <w:left w:type="dxa" w:w="120"/>
              <w:bottom w:type="dxa" w:w="60"/>
              <w:right w:type="dxa" w:w="120"/>
            </w:tcMar>
          </w:tcPr>
          <w:p>
            <w:r>
              <w:rPr>
                <w:rFonts w:ascii="Calibri" w:eastAsia="Microsoft YaHei"/>
                <w:b/>
                <w:bCs/>
                <w:color w:val="FFFFFF"/>
                <w:sz w:val="20"/>
                <w:szCs w:val="20"/>
              </w:rPr>
              <w:t xml:space="preserve">Title</w:t>
            </w:r>
          </w:p>
        </w:tc>
      </w:tr>
      <w:tr>
        <w:tc>
          <w:tcPr>
            <w:tcW w:type="pct" w:w="10%"/>
            <w:tcBorders>
              <w:top w:val="none"/>
              <w:left w:val="none"/>
              <w:bottom w:val="single" w:color="D0D8E0" w:sz="1"/>
              <w:right w:val="none"/>
            </w:tcBorders>
            <w:shd w:fill="FFFFFF" w:val="clear"/>
            <w:tcMar>
              <w:top w:type="dxa" w:w="60"/>
              <w:left w:type="dxa" w:w="120"/>
              <w:bottom w:type="dxa" w:w="60"/>
              <w:right w:type="dxa" w:w="120"/>
            </w:tcMar>
          </w:tcPr>
          <w:p>
            <w:r>
              <w:rPr>
                <w:rFonts w:ascii="Calibri" w:eastAsia="Microsoft YaHei"/>
                <w:color w:val="1A2B40"/>
                <w:sz w:val="20"/>
                <w:szCs w:val="20"/>
              </w:rPr>
              <w:t xml:space="preserve">M-02</w:t>
            </w:r>
          </w:p>
        </w:tc>
        <w:tc>
          <w:tcPr>
            <w:tcW w:type="pct" w:w="12%"/>
            <w:tcBorders>
              <w:top w:val="none"/>
              <w:left w:val="none"/>
              <w:bottom w:val="single" w:color="D0D8E0" w:sz="1"/>
              <w:right w:val="none"/>
            </w:tcBorders>
            <w:shd w:fill="FEF9E7" w:val="clear"/>
            <w:tcMar>
              <w:top w:type="dxa" w:w="60"/>
              <w:left w:type="dxa" w:w="120"/>
              <w:bottom w:type="dxa" w:w="60"/>
              <w:right w:type="dxa" w:w="120"/>
            </w:tcMar>
          </w:tcPr>
          <w:p>
            <w:r>
              <w:rPr>
                <w:rFonts w:ascii="Calibri" w:eastAsia="Microsoft YaHei"/>
                <w:b/>
                <w:bCs/>
                <w:color w:val="F39C12"/>
                <w:sz w:val="20"/>
                <w:szCs w:val="20"/>
              </w:rPr>
              <w:t xml:space="preserve">MEDIUM</w:t>
            </w:r>
          </w:p>
        </w:tc>
        <w:tc>
          <w:tcPr>
            <w:tcW w:type="pct" w:w="78%"/>
            <w:tcBorders>
              <w:top w:val="none"/>
              <w:left w:val="none"/>
              <w:bottom w:val="single" w:color="D0D8E0" w:sz="1"/>
              <w:right w:val="none"/>
            </w:tcBorders>
            <w:shd w:fill="FFFFFF" w:val="clear"/>
            <w:tcMar>
              <w:top w:type="dxa" w:w="60"/>
              <w:left w:type="dxa" w:w="120"/>
              <w:bottom w:type="dxa" w:w="60"/>
              <w:right w:type="dxa" w:w="120"/>
            </w:tcMar>
          </w:tcPr>
          <w:p>
            <w:r>
              <w:rPr>
                <w:rFonts w:ascii="Calibri" w:eastAsia="Microsoft YaHei"/>
                <w:color w:val="1A2B40"/>
                <w:sz w:val="20"/>
                <w:szCs w:val="20"/>
              </w:rPr>
              <w:t xml:space="preserve">GST rate 9% is hardcoded in gst-engine.ts instead of being fetched from the API</w:t>
            </w:r>
          </w:p>
        </w:tc>
      </w:tr>
      <w:tr>
        <w:tc>
          <w:tcPr>
            <w:tcW w:type="pct" w:w="15%"/>
            <w:tcBorders>
              <w:top w:val="none"/>
              <w:left w:val="none"/>
              <w:bottom w:val="single" w:color="D0D8E0" w:sz="1"/>
              <w:right w:val="none"/>
            </w:tcBorders>
            <w:tcMar>
              <w:top w:type="dxa" w:w="60"/>
              <w:left w:type="dxa" w:w="120"/>
              <w:bottom w:type="dxa" w:w="60"/>
              <w:right w:type="dxa" w:w="120"/>
            </w:tcMar>
          </w:tcPr>
          <w:p>
            <w:r>
              <w:rPr>
                <w:rFonts w:ascii="Calibri" w:eastAsia="Microsoft YaHei"/>
                <w:b/>
                <w:bCs/>
                <w:color w:val="1A2B40"/>
                <w:sz w:val="20"/>
                <w:szCs w:val="20"/>
              </w:rPr>
              <w:t xml:space="preserve">Location:</w:t>
            </w:r>
          </w:p>
        </w:tc>
        <w:tc>
          <w:tcPr>
            <w:tcW w:type="pct" w:w="85%"/>
            <w:gridSpan w:val="2"/>
            <w:tcBorders>
              <w:top w:val="none"/>
              <w:left w:val="none"/>
              <w:bottom w:val="single" w:color="D0D8E0" w:sz="1"/>
              <w:right w:val="none"/>
            </w:tcBorders>
            <w:tcMar>
              <w:top w:type="dxa" w:w="60"/>
              <w:left w:type="dxa" w:w="120"/>
              <w:bottom w:type="dxa" w:w="60"/>
              <w:right w:type="dxa" w:w="120"/>
            </w:tcMar>
          </w:tcPr>
          <w:p>
            <w:r>
              <w:rPr>
                <w:rFonts w:ascii="Calibri" w:eastAsia="Microsoft YaHei"/>
                <w:color w:val="1A2B40"/>
                <w:sz w:val="20"/>
                <w:szCs w:val="20"/>
              </w:rPr>
              <w:t xml:space="preserve">apps/web/src/lib/gst-engine.ts</w:t>
            </w:r>
          </w:p>
        </w:tc>
      </w:tr>
      <w:tr>
        <w:tc>
          <w:tcPr>
            <w:tcW w:type="pct" w:w="15%"/>
            <w:tcBorders>
              <w:top w:val="none"/>
              <w:left w:val="none"/>
              <w:bottom w:val="single" w:color="D0D8E0" w:sz="1"/>
              <w:right w:val="none"/>
            </w:tcBorders>
            <w:tcMar>
              <w:top w:type="dxa" w:w="60"/>
              <w:left w:type="dxa" w:w="120"/>
              <w:bottom w:type="dxa" w:w="60"/>
              <w:right w:type="dxa" w:w="120"/>
            </w:tcMar>
          </w:tcPr>
          <w:p>
            <w:r>
              <w:rPr>
                <w:rFonts w:ascii="Calibri" w:eastAsia="Microsoft YaHei"/>
                <w:b/>
                <w:bCs/>
                <w:color w:val="1A2B40"/>
                <w:sz w:val="20"/>
                <w:szCs w:val="20"/>
              </w:rPr>
              <w:t xml:space="preserve">Description:</w:t>
            </w:r>
          </w:p>
        </w:tc>
        <w:tc>
          <w:tcPr>
            <w:tcW w:type="pct" w:w="85%"/>
            <w:gridSpan w:val="2"/>
            <w:tcBorders>
              <w:top w:val="none"/>
              <w:left w:val="none"/>
              <w:bottom w:val="single" w:color="D0D8E0" w:sz="1"/>
              <w:right w:val="none"/>
            </w:tcBorders>
            <w:tcMar>
              <w:top w:type="dxa" w:w="60"/>
              <w:left w:type="dxa" w:w="120"/>
              <w:bottom w:type="dxa" w:w="60"/>
              <w:right w:type="dxa" w:w="120"/>
            </w:tcMar>
          </w:tcPr>
          <w:p>
            <w:r>
              <w:rPr>
                <w:rFonts w:ascii="Calibri" w:eastAsia="Microsoft YaHei"/>
                <w:color w:val="1A2B40"/>
                <w:sz w:val="20"/>
                <w:szCs w:val="20"/>
              </w:rPr>
              <w:t xml:space="preserve">The frontend GST calculation engine hardcodes the GST rate as 9%. While this matches the current Singapore GST rate, it creates a maintenance risk if the rate changes (as it did from 7% to 8% to 9% in recent years). The backend already has the tax code infrastructure to serve the correct rate dynamically. If the rate changes and the frontend is not redeployed simultaneously, invoice previews will show incorrect GST amounts while the authoritative backend calculation remains correct, creating confusion for users.</w:t>
            </w:r>
          </w:p>
        </w:tc>
      </w:tr>
      <w:tr>
        <w:tc>
          <w:tcPr>
            <w:tcW w:type="pct" w:w="15%"/>
            <w:tcBorders>
              <w:top w:val="none"/>
              <w:left w:val="none"/>
              <w:bottom w:val="single" w:color="D0D8E0" w:sz="1"/>
              <w:right w:val="none"/>
            </w:tcBorders>
            <w:tcMar>
              <w:top w:type="dxa" w:w="60"/>
              <w:left w:type="dxa" w:w="120"/>
              <w:bottom w:type="dxa" w:w="60"/>
              <w:right w:type="dxa" w:w="120"/>
            </w:tcMar>
          </w:tcPr>
          <w:p>
            <w:r>
              <w:rPr>
                <w:rFonts w:ascii="Calibri" w:eastAsia="Microsoft YaHei"/>
                <w:b/>
                <w:bCs/>
                <w:color w:val="1A2B40"/>
                <w:sz w:val="20"/>
                <w:szCs w:val="20"/>
              </w:rPr>
              <w:t xml:space="preserve">Recommendation:</w:t>
            </w:r>
          </w:p>
        </w:tc>
        <w:tc>
          <w:tcPr>
            <w:tcW w:type="pct" w:w="85%"/>
            <w:gridSpan w:val="2"/>
            <w:tcBorders>
              <w:top w:val="none"/>
              <w:left w:val="none"/>
              <w:bottom w:val="single" w:color="D0D8E0" w:sz="1"/>
              <w:right w:val="none"/>
            </w:tcBorders>
            <w:tcMar>
              <w:top w:type="dxa" w:w="60"/>
              <w:left w:type="dxa" w:w="120"/>
              <w:bottom w:type="dxa" w:w="60"/>
              <w:right w:type="dxa" w:w="120"/>
            </w:tcMar>
          </w:tcPr>
          <w:p>
            <w:r>
              <w:rPr>
                <w:rFonts w:ascii="Calibri" w:eastAsia="Microsoft YaHei"/>
                <w:color w:val="1A2B40"/>
                <w:sz w:val="20"/>
                <w:szCs w:val="20"/>
              </w:rPr>
              <w:t xml:space="preserve">Fetch the GST rate from the backend API (e.g., via the tax codes endpoint) when the application loads or when an organisation is selected. Cache the rate in TanStack Query and use it in gst-engine.ts. Keep the hardcoded value as a fallback only.</w:t>
            </w:r>
          </w:p>
        </w:tc>
      </w:tr>
    </w:tbl>
    <w:p>
      <w:pPr>
        <w:spacing w:before="150"/>
      </w:pPr>
    </w:p>
    <w:p>
      <w:pPr>
        <w:pStyle w:val="Heading2"/>
        <w:spacing w:after="100" w:before="280"/>
      </w:pPr>
      <w:bookmarkStart w:id="100016" w:name="_Toc100016"/>
      <w:r>
        <w:rPr>
          <w:rFonts w:ascii="Calibri" w:eastAsia="SimHei"/>
          <w:b/>
          <w:bCs/>
          <w:color w:val="0A1628"/>
          <w:sz w:val="28"/>
          <w:szCs w:val="28"/>
        </w:rPr>
        <w:t xml:space="preserve">4.3 FE-005: Invoices Page Uses Mock Data</w:t>
      </w:r>
      <w:bookmarkEnd w:id="100016"/>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0%"/>
            <w:tcBorders>
              <w:top w:val="single" w:color="D4875A" w:sz="2"/>
              <w:left w:val="none"/>
              <w:bottom w:val="single" w:color="D4875A" w:sz="2"/>
              <w:right w:val="none"/>
            </w:tcBorders>
            <w:shd w:fill="1A2330" w:val="clear"/>
            <w:tcMar>
              <w:top w:type="dxa" w:w="60"/>
              <w:left w:type="dxa" w:w="120"/>
              <w:bottom w:type="dxa" w:w="60"/>
              <w:right w:type="dxa" w:w="120"/>
            </w:tcMar>
          </w:tcPr>
          <w:p>
            <w:r>
              <w:rPr>
                <w:rFonts w:ascii="Calibri" w:eastAsia="Microsoft YaHei"/>
                <w:b/>
                <w:bCs/>
                <w:color w:val="FFFFFF"/>
                <w:sz w:val="20"/>
                <w:szCs w:val="20"/>
              </w:rPr>
              <w:t xml:space="preserve">ID</w:t>
            </w:r>
          </w:p>
        </w:tc>
        <w:tc>
          <w:tcPr>
            <w:tcW w:type="pct" w:w="12%"/>
            <w:tcBorders>
              <w:top w:val="single" w:color="D4875A" w:sz="2"/>
              <w:left w:val="none"/>
              <w:bottom w:val="single" w:color="D4875A" w:sz="2"/>
              <w:right w:val="none"/>
            </w:tcBorders>
            <w:shd w:fill="1A2330" w:val="clear"/>
            <w:tcMar>
              <w:top w:type="dxa" w:w="60"/>
              <w:left w:type="dxa" w:w="120"/>
              <w:bottom w:type="dxa" w:w="60"/>
              <w:right w:type="dxa" w:w="120"/>
            </w:tcMar>
          </w:tcPr>
          <w:p>
            <w:r>
              <w:rPr>
                <w:rFonts w:ascii="Calibri" w:eastAsia="Microsoft YaHei"/>
                <w:b/>
                <w:bCs/>
                <w:color w:val="FFFFFF"/>
                <w:sz w:val="20"/>
                <w:szCs w:val="20"/>
              </w:rPr>
              <w:t xml:space="preserve">Severity</w:t>
            </w:r>
          </w:p>
        </w:tc>
        <w:tc>
          <w:tcPr>
            <w:tcW w:type="pct" w:w="78%"/>
            <w:tcBorders>
              <w:top w:val="single" w:color="D4875A" w:sz="2"/>
              <w:left w:val="none"/>
              <w:bottom w:val="single" w:color="D4875A" w:sz="2"/>
              <w:right w:val="none"/>
            </w:tcBorders>
            <w:shd w:fill="1A2330" w:val="clear"/>
            <w:tcMar>
              <w:top w:type="dxa" w:w="60"/>
              <w:left w:type="dxa" w:w="120"/>
              <w:bottom w:type="dxa" w:w="60"/>
              <w:right w:type="dxa" w:w="120"/>
            </w:tcMar>
          </w:tcPr>
          <w:p>
            <w:r>
              <w:rPr>
                <w:rFonts w:ascii="Calibri" w:eastAsia="Microsoft YaHei"/>
                <w:b/>
                <w:bCs/>
                <w:color w:val="FFFFFF"/>
                <w:sz w:val="20"/>
                <w:szCs w:val="20"/>
              </w:rPr>
              <w:t xml:space="preserve">Title</w:t>
            </w:r>
          </w:p>
        </w:tc>
      </w:tr>
      <w:tr>
        <w:tc>
          <w:tcPr>
            <w:tcW w:type="pct" w:w="10%"/>
            <w:tcBorders>
              <w:top w:val="none"/>
              <w:left w:val="none"/>
              <w:bottom w:val="single" w:color="D0D8E0" w:sz="1"/>
              <w:right w:val="none"/>
            </w:tcBorders>
            <w:shd w:fill="FFFFFF" w:val="clear"/>
            <w:tcMar>
              <w:top w:type="dxa" w:w="60"/>
              <w:left w:type="dxa" w:w="120"/>
              <w:bottom w:type="dxa" w:w="60"/>
              <w:right w:type="dxa" w:w="120"/>
            </w:tcMar>
          </w:tcPr>
          <w:p>
            <w:r>
              <w:rPr>
                <w:rFonts w:ascii="Calibri" w:eastAsia="Microsoft YaHei"/>
                <w:color w:val="1A2B40"/>
                <w:sz w:val="20"/>
                <w:szCs w:val="20"/>
              </w:rPr>
              <w:t xml:space="preserve">M-03</w:t>
            </w:r>
          </w:p>
        </w:tc>
        <w:tc>
          <w:tcPr>
            <w:tcW w:type="pct" w:w="12%"/>
            <w:tcBorders>
              <w:top w:val="none"/>
              <w:left w:val="none"/>
              <w:bottom w:val="single" w:color="D0D8E0" w:sz="1"/>
              <w:right w:val="none"/>
            </w:tcBorders>
            <w:shd w:fill="FEF9E7" w:val="clear"/>
            <w:tcMar>
              <w:top w:type="dxa" w:w="60"/>
              <w:left w:type="dxa" w:w="120"/>
              <w:bottom w:type="dxa" w:w="60"/>
              <w:right w:type="dxa" w:w="120"/>
            </w:tcMar>
          </w:tcPr>
          <w:p>
            <w:r>
              <w:rPr>
                <w:rFonts w:ascii="Calibri" w:eastAsia="Microsoft YaHei"/>
                <w:b/>
                <w:bCs/>
                <w:color w:val="F39C12"/>
                <w:sz w:val="20"/>
                <w:szCs w:val="20"/>
              </w:rPr>
              <w:t xml:space="preserve">MEDIUM</w:t>
            </w:r>
          </w:p>
        </w:tc>
        <w:tc>
          <w:tcPr>
            <w:tcW w:type="pct" w:w="78%"/>
            <w:tcBorders>
              <w:top w:val="none"/>
              <w:left w:val="none"/>
              <w:bottom w:val="single" w:color="D0D8E0" w:sz="1"/>
              <w:right w:val="none"/>
            </w:tcBorders>
            <w:shd w:fill="FFFFFF" w:val="clear"/>
            <w:tcMar>
              <w:top w:type="dxa" w:w="60"/>
              <w:left w:type="dxa" w:w="120"/>
              <w:bottom w:type="dxa" w:w="60"/>
              <w:right w:type="dxa" w:w="120"/>
            </w:tcMar>
          </w:tcPr>
          <w:p>
            <w:r>
              <w:rPr>
                <w:rFonts w:ascii="Calibri" w:eastAsia="Microsoft YaHei"/>
                <w:color w:val="1A2B40"/>
                <w:sz w:val="20"/>
                <w:szCs w:val="20"/>
              </w:rPr>
              <w:t xml:space="preserve">Invoices page renders mock/hardcoded data instead of fetching from API hooks</w:t>
            </w:r>
          </w:p>
        </w:tc>
      </w:tr>
      <w:tr>
        <w:tc>
          <w:tcPr>
            <w:tcW w:type="pct" w:w="15%"/>
            <w:tcBorders>
              <w:top w:val="none"/>
              <w:left w:val="none"/>
              <w:bottom w:val="single" w:color="D0D8E0" w:sz="1"/>
              <w:right w:val="none"/>
            </w:tcBorders>
            <w:tcMar>
              <w:top w:type="dxa" w:w="60"/>
              <w:left w:type="dxa" w:w="120"/>
              <w:bottom w:type="dxa" w:w="60"/>
              <w:right w:type="dxa" w:w="120"/>
            </w:tcMar>
          </w:tcPr>
          <w:p>
            <w:r>
              <w:rPr>
                <w:rFonts w:ascii="Calibri" w:eastAsia="Microsoft YaHei"/>
                <w:b/>
                <w:bCs/>
                <w:color w:val="1A2B40"/>
                <w:sz w:val="20"/>
                <w:szCs w:val="20"/>
              </w:rPr>
              <w:t xml:space="preserve">Location:</w:t>
            </w:r>
          </w:p>
        </w:tc>
        <w:tc>
          <w:tcPr>
            <w:tcW w:type="pct" w:w="85%"/>
            <w:gridSpan w:val="2"/>
            <w:tcBorders>
              <w:top w:val="none"/>
              <w:left w:val="none"/>
              <w:bottom w:val="single" w:color="D0D8E0" w:sz="1"/>
              <w:right w:val="none"/>
            </w:tcBorders>
            <w:tcMar>
              <w:top w:type="dxa" w:w="60"/>
              <w:left w:type="dxa" w:w="120"/>
              <w:bottom w:type="dxa" w:w="60"/>
              <w:right w:type="dxa" w:w="120"/>
            </w:tcMar>
          </w:tcPr>
          <w:p>
            <w:r>
              <w:rPr>
                <w:rFonts w:ascii="Calibri" w:eastAsia="Microsoft YaHei"/>
                <w:color w:val="1A2B40"/>
                <w:sz w:val="20"/>
                <w:szCs w:val="20"/>
              </w:rPr>
              <w:t xml:space="preserve">apps/web/src/app/(dashboard)/invoices/page.tsx</w:t>
            </w:r>
          </w:p>
        </w:tc>
      </w:tr>
      <w:tr>
        <w:tc>
          <w:tcPr>
            <w:tcW w:type="pct" w:w="15%"/>
            <w:tcBorders>
              <w:top w:val="none"/>
              <w:left w:val="none"/>
              <w:bottom w:val="single" w:color="D0D8E0" w:sz="1"/>
              <w:right w:val="none"/>
            </w:tcBorders>
            <w:tcMar>
              <w:top w:type="dxa" w:w="60"/>
              <w:left w:type="dxa" w:w="120"/>
              <w:bottom w:type="dxa" w:w="60"/>
              <w:right w:type="dxa" w:w="120"/>
            </w:tcMar>
          </w:tcPr>
          <w:p>
            <w:r>
              <w:rPr>
                <w:rFonts w:ascii="Calibri" w:eastAsia="Microsoft YaHei"/>
                <w:b/>
                <w:bCs/>
                <w:color w:val="1A2B40"/>
                <w:sz w:val="20"/>
                <w:szCs w:val="20"/>
              </w:rPr>
              <w:t xml:space="preserve">Description:</w:t>
            </w:r>
          </w:p>
        </w:tc>
        <w:tc>
          <w:tcPr>
            <w:tcW w:type="pct" w:w="85%"/>
            <w:gridSpan w:val="2"/>
            <w:tcBorders>
              <w:top w:val="none"/>
              <w:left w:val="none"/>
              <w:bottom w:val="single" w:color="D0D8E0" w:sz="1"/>
              <w:right w:val="none"/>
            </w:tcBorders>
            <w:tcMar>
              <w:top w:type="dxa" w:w="60"/>
              <w:left w:type="dxa" w:w="120"/>
              <w:bottom w:type="dxa" w:w="60"/>
              <w:right w:type="dxa" w:w="120"/>
            </w:tcMar>
          </w:tcPr>
          <w:p>
            <w:r>
              <w:rPr>
                <w:rFonts w:ascii="Calibri" w:eastAsia="Microsoft YaHei"/>
                <w:color w:val="1A2B40"/>
                <w:sz w:val="20"/>
                <w:szCs w:val="20"/>
              </w:rPr>
              <w:t xml:space="preserve">The invoices listing page currently renders mock data instead of using the existing useInvoices hook to fetch real data from the backend API. This means the invoices page shows fictional data that does not reflect the actual database state. The useInvoices hook exists and is functional, but it is not connected to this page. This creates a disconnect where users see sample invoices that do not exist in their organisation, potentially causing confusion and making the invoicing workflow non-functional.</w:t>
            </w:r>
          </w:p>
        </w:tc>
      </w:tr>
      <w:tr>
        <w:tc>
          <w:tcPr>
            <w:tcW w:type="pct" w:w="15%"/>
            <w:tcBorders>
              <w:top w:val="none"/>
              <w:left w:val="none"/>
              <w:bottom w:val="single" w:color="D0D8E0" w:sz="1"/>
              <w:right w:val="none"/>
            </w:tcBorders>
            <w:tcMar>
              <w:top w:type="dxa" w:w="60"/>
              <w:left w:type="dxa" w:w="120"/>
              <w:bottom w:type="dxa" w:w="60"/>
              <w:right w:type="dxa" w:w="120"/>
            </w:tcMar>
          </w:tcPr>
          <w:p>
            <w:r>
              <w:rPr>
                <w:rFonts w:ascii="Calibri" w:eastAsia="Microsoft YaHei"/>
                <w:b/>
                <w:bCs/>
                <w:color w:val="1A2B40"/>
                <w:sz w:val="20"/>
                <w:szCs w:val="20"/>
              </w:rPr>
              <w:t xml:space="preserve">Recommendation:</w:t>
            </w:r>
          </w:p>
        </w:tc>
        <w:tc>
          <w:tcPr>
            <w:tcW w:type="pct" w:w="85%"/>
            <w:gridSpan w:val="2"/>
            <w:tcBorders>
              <w:top w:val="none"/>
              <w:left w:val="none"/>
              <w:bottom w:val="single" w:color="D0D8E0" w:sz="1"/>
              <w:right w:val="none"/>
            </w:tcBorders>
            <w:tcMar>
              <w:top w:type="dxa" w:w="60"/>
              <w:left w:type="dxa" w:w="120"/>
              <w:bottom w:type="dxa" w:w="60"/>
              <w:right w:type="dxa" w:w="120"/>
            </w:tcMar>
          </w:tcPr>
          <w:p>
            <w:r>
              <w:rPr>
                <w:rFonts w:ascii="Calibri" w:eastAsia="Microsoft YaHei"/>
                <w:color w:val="1A2B40"/>
                <w:sz w:val="20"/>
                <w:szCs w:val="20"/>
              </w:rPr>
              <w:t xml:space="preserve">Replace the mock data with a proper useQuery hook call using the existing useInvoices hook. Handle loading, error, and empty states appropriately per the project's UI guidelines.</w:t>
            </w:r>
          </w:p>
        </w:tc>
      </w:tr>
    </w:tbl>
    <w:p>
      <w:pPr>
        <w:spacing w:before="150"/>
      </w:pPr>
    </w:p>
    <w:p>
      <w:pPr>
        <w:pStyle w:val="Heading2"/>
        <w:spacing w:after="100" w:before="280"/>
      </w:pPr>
      <w:bookmarkStart w:id="100017" w:name="_Toc100017"/>
      <w:r>
        <w:rPr>
          <w:rFonts w:ascii="Calibri" w:eastAsia="SimHei"/>
          <w:b/>
          <w:bCs/>
          <w:color w:val="0A1628"/>
          <w:sz w:val="28"/>
          <w:szCs w:val="28"/>
        </w:rPr>
        <w:t xml:space="preserve">4.4 FE-011: FormData Sent via JSON Client</w:t>
      </w:r>
      <w:bookmarkEnd w:id="100017"/>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0%"/>
            <w:tcBorders>
              <w:top w:val="single" w:color="D4875A" w:sz="2"/>
              <w:left w:val="none"/>
              <w:bottom w:val="single" w:color="D4875A" w:sz="2"/>
              <w:right w:val="none"/>
            </w:tcBorders>
            <w:shd w:fill="1A2330" w:val="clear"/>
            <w:tcMar>
              <w:top w:type="dxa" w:w="60"/>
              <w:left w:type="dxa" w:w="120"/>
              <w:bottom w:type="dxa" w:w="60"/>
              <w:right w:type="dxa" w:w="120"/>
            </w:tcMar>
          </w:tcPr>
          <w:p>
            <w:r>
              <w:rPr>
                <w:rFonts w:ascii="Calibri" w:eastAsia="Microsoft YaHei"/>
                <w:b/>
                <w:bCs/>
                <w:color w:val="FFFFFF"/>
                <w:sz w:val="20"/>
                <w:szCs w:val="20"/>
              </w:rPr>
              <w:t xml:space="preserve">ID</w:t>
            </w:r>
          </w:p>
        </w:tc>
        <w:tc>
          <w:tcPr>
            <w:tcW w:type="pct" w:w="12%"/>
            <w:tcBorders>
              <w:top w:val="single" w:color="D4875A" w:sz="2"/>
              <w:left w:val="none"/>
              <w:bottom w:val="single" w:color="D4875A" w:sz="2"/>
              <w:right w:val="none"/>
            </w:tcBorders>
            <w:shd w:fill="1A2330" w:val="clear"/>
            <w:tcMar>
              <w:top w:type="dxa" w:w="60"/>
              <w:left w:type="dxa" w:w="120"/>
              <w:bottom w:type="dxa" w:w="60"/>
              <w:right w:type="dxa" w:w="120"/>
            </w:tcMar>
          </w:tcPr>
          <w:p>
            <w:r>
              <w:rPr>
                <w:rFonts w:ascii="Calibri" w:eastAsia="Microsoft YaHei"/>
                <w:b/>
                <w:bCs/>
                <w:color w:val="FFFFFF"/>
                <w:sz w:val="20"/>
                <w:szCs w:val="20"/>
              </w:rPr>
              <w:t xml:space="preserve">Severity</w:t>
            </w:r>
          </w:p>
        </w:tc>
        <w:tc>
          <w:tcPr>
            <w:tcW w:type="pct" w:w="78%"/>
            <w:tcBorders>
              <w:top w:val="single" w:color="D4875A" w:sz="2"/>
              <w:left w:val="none"/>
              <w:bottom w:val="single" w:color="D4875A" w:sz="2"/>
              <w:right w:val="none"/>
            </w:tcBorders>
            <w:shd w:fill="1A2330" w:val="clear"/>
            <w:tcMar>
              <w:top w:type="dxa" w:w="60"/>
              <w:left w:type="dxa" w:w="120"/>
              <w:bottom w:type="dxa" w:w="60"/>
              <w:right w:type="dxa" w:w="120"/>
            </w:tcMar>
          </w:tcPr>
          <w:p>
            <w:r>
              <w:rPr>
                <w:rFonts w:ascii="Calibri" w:eastAsia="Microsoft YaHei"/>
                <w:b/>
                <w:bCs/>
                <w:color w:val="FFFFFF"/>
                <w:sz w:val="20"/>
                <w:szCs w:val="20"/>
              </w:rPr>
              <w:t xml:space="preserve">Title</w:t>
            </w:r>
          </w:p>
        </w:tc>
      </w:tr>
      <w:tr>
        <w:tc>
          <w:tcPr>
            <w:tcW w:type="pct" w:w="10%"/>
            <w:tcBorders>
              <w:top w:val="none"/>
              <w:left w:val="none"/>
              <w:bottom w:val="single" w:color="D0D8E0" w:sz="1"/>
              <w:right w:val="none"/>
            </w:tcBorders>
            <w:shd w:fill="FFFFFF" w:val="clear"/>
            <w:tcMar>
              <w:top w:type="dxa" w:w="60"/>
              <w:left w:type="dxa" w:w="120"/>
              <w:bottom w:type="dxa" w:w="60"/>
              <w:right w:type="dxa" w:w="120"/>
            </w:tcMar>
          </w:tcPr>
          <w:p>
            <w:r>
              <w:rPr>
                <w:rFonts w:ascii="Calibri" w:eastAsia="Microsoft YaHei"/>
                <w:color w:val="1A2B40"/>
                <w:sz w:val="20"/>
                <w:szCs w:val="20"/>
              </w:rPr>
              <w:t xml:space="preserve">M-04</w:t>
            </w:r>
          </w:p>
        </w:tc>
        <w:tc>
          <w:tcPr>
            <w:tcW w:type="pct" w:w="12%"/>
            <w:tcBorders>
              <w:top w:val="none"/>
              <w:left w:val="none"/>
              <w:bottom w:val="single" w:color="D0D8E0" w:sz="1"/>
              <w:right w:val="none"/>
            </w:tcBorders>
            <w:shd w:fill="FEF9E7" w:val="clear"/>
            <w:tcMar>
              <w:top w:type="dxa" w:w="60"/>
              <w:left w:type="dxa" w:w="120"/>
              <w:bottom w:type="dxa" w:w="60"/>
              <w:right w:type="dxa" w:w="120"/>
            </w:tcMar>
          </w:tcPr>
          <w:p>
            <w:r>
              <w:rPr>
                <w:rFonts w:ascii="Calibri" w:eastAsia="Microsoft YaHei"/>
                <w:b/>
                <w:bCs/>
                <w:color w:val="F39C12"/>
                <w:sz w:val="20"/>
                <w:szCs w:val="20"/>
              </w:rPr>
              <w:t xml:space="preserve">MEDIUM</w:t>
            </w:r>
          </w:p>
        </w:tc>
        <w:tc>
          <w:tcPr>
            <w:tcW w:type="pct" w:w="78%"/>
            <w:tcBorders>
              <w:top w:val="none"/>
              <w:left w:val="none"/>
              <w:bottom w:val="single" w:color="D0D8E0" w:sz="1"/>
              <w:right w:val="none"/>
            </w:tcBorders>
            <w:shd w:fill="FFFFFF" w:val="clear"/>
            <w:tcMar>
              <w:top w:type="dxa" w:w="60"/>
              <w:left w:type="dxa" w:w="120"/>
              <w:bottom w:type="dxa" w:w="60"/>
              <w:right w:type="dxa" w:w="120"/>
            </w:tcMar>
          </w:tcPr>
          <w:p>
            <w:r>
              <w:rPr>
                <w:rFonts w:ascii="Calibri" w:eastAsia="Microsoft YaHei"/>
                <w:color w:val="1A2B40"/>
                <w:sz w:val="20"/>
                <w:szCs w:val="20"/>
              </w:rPr>
              <w:t xml:space="preserve">CSV bank statement import sends FormData via JSON API client, which will fail</w:t>
            </w:r>
          </w:p>
        </w:tc>
      </w:tr>
      <w:tr>
        <w:tc>
          <w:tcPr>
            <w:tcW w:type="pct" w:w="15%"/>
            <w:tcBorders>
              <w:top w:val="none"/>
              <w:left w:val="none"/>
              <w:bottom w:val="single" w:color="D0D8E0" w:sz="1"/>
              <w:right w:val="none"/>
            </w:tcBorders>
            <w:tcMar>
              <w:top w:type="dxa" w:w="60"/>
              <w:left w:type="dxa" w:w="120"/>
              <w:bottom w:type="dxa" w:w="60"/>
              <w:right w:type="dxa" w:w="120"/>
            </w:tcMar>
          </w:tcPr>
          <w:p>
            <w:r>
              <w:rPr>
                <w:rFonts w:ascii="Calibri" w:eastAsia="Microsoft YaHei"/>
                <w:b/>
                <w:bCs/>
                <w:color w:val="1A2B40"/>
                <w:sz w:val="20"/>
                <w:szCs w:val="20"/>
              </w:rPr>
              <w:t xml:space="preserve">Location:</w:t>
            </w:r>
          </w:p>
        </w:tc>
        <w:tc>
          <w:tcPr>
            <w:tcW w:type="pct" w:w="85%"/>
            <w:gridSpan w:val="2"/>
            <w:tcBorders>
              <w:top w:val="none"/>
              <w:left w:val="none"/>
              <w:bottom w:val="single" w:color="D0D8E0" w:sz="1"/>
              <w:right w:val="none"/>
            </w:tcBorders>
            <w:tcMar>
              <w:top w:type="dxa" w:w="60"/>
              <w:left w:type="dxa" w:w="120"/>
              <w:bottom w:type="dxa" w:w="60"/>
              <w:right w:type="dxa" w:w="120"/>
            </w:tcMar>
          </w:tcPr>
          <w:p>
            <w:r>
              <w:rPr>
                <w:rFonts w:ascii="Calibri" w:eastAsia="Microsoft YaHei"/>
                <w:color w:val="1A2B40"/>
                <w:sz w:val="20"/>
                <w:szCs w:val="20"/>
              </w:rPr>
              <w:t xml:space="preserve">apps/web/src/app/(dashboard)/banking/components/import-transactions-form.tsx</w:t>
            </w:r>
          </w:p>
        </w:tc>
      </w:tr>
      <w:tr>
        <w:tc>
          <w:tcPr>
            <w:tcW w:type="pct" w:w="15%"/>
            <w:tcBorders>
              <w:top w:val="none"/>
              <w:left w:val="none"/>
              <w:bottom w:val="single" w:color="D0D8E0" w:sz="1"/>
              <w:right w:val="none"/>
            </w:tcBorders>
            <w:tcMar>
              <w:top w:type="dxa" w:w="60"/>
              <w:left w:type="dxa" w:w="120"/>
              <w:bottom w:type="dxa" w:w="60"/>
              <w:right w:type="dxa" w:w="120"/>
            </w:tcMar>
          </w:tcPr>
          <w:p>
            <w:r>
              <w:rPr>
                <w:rFonts w:ascii="Calibri" w:eastAsia="Microsoft YaHei"/>
                <w:b/>
                <w:bCs/>
                <w:color w:val="1A2B40"/>
                <w:sz w:val="20"/>
                <w:szCs w:val="20"/>
              </w:rPr>
              <w:t xml:space="preserve">Description:</w:t>
            </w:r>
          </w:p>
        </w:tc>
        <w:tc>
          <w:tcPr>
            <w:tcW w:type="pct" w:w="85%"/>
            <w:gridSpan w:val="2"/>
            <w:tcBorders>
              <w:top w:val="none"/>
              <w:left w:val="none"/>
              <w:bottom w:val="single" w:color="D0D8E0" w:sz="1"/>
              <w:right w:val="none"/>
            </w:tcBorders>
            <w:tcMar>
              <w:top w:type="dxa" w:w="60"/>
              <w:left w:type="dxa" w:w="120"/>
              <w:bottom w:type="dxa" w:w="60"/>
              <w:right w:type="dxa" w:w="120"/>
            </w:tcMar>
          </w:tcPr>
          <w:p>
            <w:r>
              <w:rPr>
                <w:rFonts w:ascii="Calibri" w:eastAsia="Microsoft YaHei"/>
                <w:color w:val="1A2B40"/>
                <w:sz w:val="20"/>
                <w:szCs w:val="20"/>
              </w:rPr>
              <w:t xml:space="preserve">The CSV import form attempts to send a file upload (FormData) through the standard JSON-based API client. The JSON client sets Content-Type to application/json and serializes the body with JSON.stringify(), which cannot handle FormData objects. File uploads must use Content-Type: multipart/form-data. This means the bank transaction CSV import feature is non-functional, preventing users from reconciling bank statements, which is a core workflow in the banking module.</w:t>
            </w:r>
          </w:p>
        </w:tc>
      </w:tr>
      <w:tr>
        <w:tc>
          <w:tcPr>
            <w:tcW w:type="pct" w:w="15%"/>
            <w:tcBorders>
              <w:top w:val="none"/>
              <w:left w:val="none"/>
              <w:bottom w:val="single" w:color="D0D8E0" w:sz="1"/>
              <w:right w:val="none"/>
            </w:tcBorders>
            <w:tcMar>
              <w:top w:type="dxa" w:w="60"/>
              <w:left w:type="dxa" w:w="120"/>
              <w:bottom w:type="dxa" w:w="60"/>
              <w:right w:type="dxa" w:w="120"/>
            </w:tcMar>
          </w:tcPr>
          <w:p>
            <w:r>
              <w:rPr>
                <w:rFonts w:ascii="Calibri" w:eastAsia="Microsoft YaHei"/>
                <w:b/>
                <w:bCs/>
                <w:color w:val="1A2B40"/>
                <w:sz w:val="20"/>
                <w:szCs w:val="20"/>
              </w:rPr>
              <w:t xml:space="preserve">Recommendation:</w:t>
            </w:r>
          </w:p>
        </w:tc>
        <w:tc>
          <w:tcPr>
            <w:tcW w:type="pct" w:w="85%"/>
            <w:gridSpan w:val="2"/>
            <w:tcBorders>
              <w:top w:val="none"/>
              <w:left w:val="none"/>
              <w:bottom w:val="single" w:color="D0D8E0" w:sz="1"/>
              <w:right w:val="none"/>
            </w:tcBorders>
            <w:tcMar>
              <w:top w:type="dxa" w:w="60"/>
              <w:left w:type="dxa" w:w="120"/>
              <w:bottom w:type="dxa" w:w="60"/>
              <w:right w:type="dxa" w:w="120"/>
            </w:tcMar>
          </w:tcPr>
          <w:p>
            <w:r>
              <w:rPr>
                <w:rFonts w:ascii="Calibri" w:eastAsia="Microsoft YaHei"/>
                <w:color w:val="1A2B40"/>
                <w:sz w:val="20"/>
                <w:szCs w:val="20"/>
              </w:rPr>
              <w:t xml:space="preserve">Create a separate file upload function in api-client.ts that uses FormData with Content-Type: multipart/form-data. Update the import form to use this function instead of the standard JSON client.</w:t>
            </w:r>
          </w:p>
        </w:tc>
      </w:tr>
    </w:tbl>
    <w:p>
      <w:pPr>
        <w:spacing w:before="150"/>
      </w:pPr>
    </w:p>
    <w:p>
      <w:pPr>
        <w:pStyle w:val="Heading2"/>
        <w:spacing w:after="100" w:before="280"/>
      </w:pPr>
      <w:bookmarkStart w:id="100018" w:name="_Toc100018"/>
      <w:r>
        <w:rPr>
          <w:rFonts w:ascii="Calibri" w:eastAsia="SimHei"/>
          <w:b/>
          <w:bCs/>
          <w:color w:val="0A1628"/>
          <w:sz w:val="28"/>
          <w:szCs w:val="28"/>
        </w:rPr>
        <w:t xml:space="preserve">4.5 J-03: Race Condition in Journal Entry Numbering</w:t>
      </w:r>
      <w:bookmarkEnd w:id="100018"/>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0%"/>
            <w:tcBorders>
              <w:top w:val="single" w:color="D4875A" w:sz="2"/>
              <w:left w:val="none"/>
              <w:bottom w:val="single" w:color="D4875A" w:sz="2"/>
              <w:right w:val="none"/>
            </w:tcBorders>
            <w:shd w:fill="1A2330" w:val="clear"/>
            <w:tcMar>
              <w:top w:type="dxa" w:w="60"/>
              <w:left w:type="dxa" w:w="120"/>
              <w:bottom w:type="dxa" w:w="60"/>
              <w:right w:type="dxa" w:w="120"/>
            </w:tcMar>
          </w:tcPr>
          <w:p>
            <w:r>
              <w:rPr>
                <w:rFonts w:ascii="Calibri" w:eastAsia="Microsoft YaHei"/>
                <w:b/>
                <w:bCs/>
                <w:color w:val="FFFFFF"/>
                <w:sz w:val="20"/>
                <w:szCs w:val="20"/>
              </w:rPr>
              <w:t xml:space="preserve">ID</w:t>
            </w:r>
          </w:p>
        </w:tc>
        <w:tc>
          <w:tcPr>
            <w:tcW w:type="pct" w:w="12%"/>
            <w:tcBorders>
              <w:top w:val="single" w:color="D4875A" w:sz="2"/>
              <w:left w:val="none"/>
              <w:bottom w:val="single" w:color="D4875A" w:sz="2"/>
              <w:right w:val="none"/>
            </w:tcBorders>
            <w:shd w:fill="1A2330" w:val="clear"/>
            <w:tcMar>
              <w:top w:type="dxa" w:w="60"/>
              <w:left w:type="dxa" w:w="120"/>
              <w:bottom w:type="dxa" w:w="60"/>
              <w:right w:type="dxa" w:w="120"/>
            </w:tcMar>
          </w:tcPr>
          <w:p>
            <w:r>
              <w:rPr>
                <w:rFonts w:ascii="Calibri" w:eastAsia="Microsoft YaHei"/>
                <w:b/>
                <w:bCs/>
                <w:color w:val="FFFFFF"/>
                <w:sz w:val="20"/>
                <w:szCs w:val="20"/>
              </w:rPr>
              <w:t xml:space="preserve">Severity</w:t>
            </w:r>
          </w:p>
        </w:tc>
        <w:tc>
          <w:tcPr>
            <w:tcW w:type="pct" w:w="78%"/>
            <w:tcBorders>
              <w:top w:val="single" w:color="D4875A" w:sz="2"/>
              <w:left w:val="none"/>
              <w:bottom w:val="single" w:color="D4875A" w:sz="2"/>
              <w:right w:val="none"/>
            </w:tcBorders>
            <w:shd w:fill="1A2330" w:val="clear"/>
            <w:tcMar>
              <w:top w:type="dxa" w:w="60"/>
              <w:left w:type="dxa" w:w="120"/>
              <w:bottom w:type="dxa" w:w="60"/>
              <w:right w:type="dxa" w:w="120"/>
            </w:tcMar>
          </w:tcPr>
          <w:p>
            <w:r>
              <w:rPr>
                <w:rFonts w:ascii="Calibri" w:eastAsia="Microsoft YaHei"/>
                <w:b/>
                <w:bCs/>
                <w:color w:val="FFFFFF"/>
                <w:sz w:val="20"/>
                <w:szCs w:val="20"/>
              </w:rPr>
              <w:t xml:space="preserve">Title</w:t>
            </w:r>
          </w:p>
        </w:tc>
      </w:tr>
      <w:tr>
        <w:tc>
          <w:tcPr>
            <w:tcW w:type="pct" w:w="10%"/>
            <w:tcBorders>
              <w:top w:val="none"/>
              <w:left w:val="none"/>
              <w:bottom w:val="single" w:color="D0D8E0" w:sz="1"/>
              <w:right w:val="none"/>
            </w:tcBorders>
            <w:shd w:fill="FFFFFF" w:val="clear"/>
            <w:tcMar>
              <w:top w:type="dxa" w:w="60"/>
              <w:left w:type="dxa" w:w="120"/>
              <w:bottom w:type="dxa" w:w="60"/>
              <w:right w:type="dxa" w:w="120"/>
            </w:tcMar>
          </w:tcPr>
          <w:p>
            <w:r>
              <w:rPr>
                <w:rFonts w:ascii="Calibri" w:eastAsia="Microsoft YaHei"/>
                <w:color w:val="1A2B40"/>
                <w:sz w:val="20"/>
                <w:szCs w:val="20"/>
              </w:rPr>
              <w:t xml:space="preserve">M-05</w:t>
            </w:r>
          </w:p>
        </w:tc>
        <w:tc>
          <w:tcPr>
            <w:tcW w:type="pct" w:w="12%"/>
            <w:tcBorders>
              <w:top w:val="none"/>
              <w:left w:val="none"/>
              <w:bottom w:val="single" w:color="D0D8E0" w:sz="1"/>
              <w:right w:val="none"/>
            </w:tcBorders>
            <w:shd w:fill="FEF9E7" w:val="clear"/>
            <w:tcMar>
              <w:top w:type="dxa" w:w="60"/>
              <w:left w:type="dxa" w:w="120"/>
              <w:bottom w:type="dxa" w:w="60"/>
              <w:right w:type="dxa" w:w="120"/>
            </w:tcMar>
          </w:tcPr>
          <w:p>
            <w:r>
              <w:rPr>
                <w:rFonts w:ascii="Calibri" w:eastAsia="Microsoft YaHei"/>
                <w:b/>
                <w:bCs/>
                <w:color w:val="F39C12"/>
                <w:sz w:val="20"/>
                <w:szCs w:val="20"/>
              </w:rPr>
              <w:t xml:space="preserve">MEDIUM</w:t>
            </w:r>
          </w:p>
        </w:tc>
        <w:tc>
          <w:tcPr>
            <w:tcW w:type="pct" w:w="78%"/>
            <w:tcBorders>
              <w:top w:val="none"/>
              <w:left w:val="none"/>
              <w:bottom w:val="single" w:color="D0D8E0" w:sz="1"/>
              <w:right w:val="none"/>
            </w:tcBorders>
            <w:shd w:fill="FFFFFF" w:val="clear"/>
            <w:tcMar>
              <w:top w:type="dxa" w:w="60"/>
              <w:left w:type="dxa" w:w="120"/>
              <w:bottom w:type="dxa" w:w="60"/>
              <w:right w:type="dxa" w:w="120"/>
            </w:tcMar>
          </w:tcPr>
          <w:p>
            <w:r>
              <w:rPr>
                <w:rFonts w:ascii="Calibri" w:eastAsia="Microsoft YaHei"/>
                <w:color w:val="1A2B40"/>
                <w:sz w:val="20"/>
                <w:szCs w:val="20"/>
              </w:rPr>
              <w:t xml:space="preserve">Journal entry numbering lacks select_for_update(), risking duplicate numbers under concurrent access</w:t>
            </w:r>
          </w:p>
        </w:tc>
      </w:tr>
      <w:tr>
        <w:tc>
          <w:tcPr>
            <w:tcW w:type="pct" w:w="15%"/>
            <w:tcBorders>
              <w:top w:val="none"/>
              <w:left w:val="none"/>
              <w:bottom w:val="single" w:color="D0D8E0" w:sz="1"/>
              <w:right w:val="none"/>
            </w:tcBorders>
            <w:tcMar>
              <w:top w:type="dxa" w:w="60"/>
              <w:left w:type="dxa" w:w="120"/>
              <w:bottom w:type="dxa" w:w="60"/>
              <w:right w:type="dxa" w:w="120"/>
            </w:tcMar>
          </w:tcPr>
          <w:p>
            <w:r>
              <w:rPr>
                <w:rFonts w:ascii="Calibri" w:eastAsia="Microsoft YaHei"/>
                <w:b/>
                <w:bCs/>
                <w:color w:val="1A2B40"/>
                <w:sz w:val="20"/>
                <w:szCs w:val="20"/>
              </w:rPr>
              <w:t xml:space="preserve">Location:</w:t>
            </w:r>
          </w:p>
        </w:tc>
        <w:tc>
          <w:tcPr>
            <w:tcW w:type="pct" w:w="85%"/>
            <w:gridSpan w:val="2"/>
            <w:tcBorders>
              <w:top w:val="none"/>
              <w:left w:val="none"/>
              <w:bottom w:val="single" w:color="D0D8E0" w:sz="1"/>
              <w:right w:val="none"/>
            </w:tcBorders>
            <w:tcMar>
              <w:top w:type="dxa" w:w="60"/>
              <w:left w:type="dxa" w:w="120"/>
              <w:bottom w:type="dxa" w:w="60"/>
              <w:right w:type="dxa" w:w="120"/>
            </w:tcMar>
          </w:tcPr>
          <w:p>
            <w:r>
              <w:rPr>
                <w:rFonts w:ascii="Calibri" w:eastAsia="Microsoft YaHei"/>
                <w:color w:val="1A2B40"/>
                <w:sz w:val="20"/>
                <w:szCs w:val="20"/>
              </w:rPr>
              <w:t xml:space="preserve">apps/backend/apps/journal/services.py</w:t>
            </w:r>
          </w:p>
        </w:tc>
      </w:tr>
      <w:tr>
        <w:tc>
          <w:tcPr>
            <w:tcW w:type="pct" w:w="15%"/>
            <w:tcBorders>
              <w:top w:val="none"/>
              <w:left w:val="none"/>
              <w:bottom w:val="single" w:color="D0D8E0" w:sz="1"/>
              <w:right w:val="none"/>
            </w:tcBorders>
            <w:tcMar>
              <w:top w:type="dxa" w:w="60"/>
              <w:left w:type="dxa" w:w="120"/>
              <w:bottom w:type="dxa" w:w="60"/>
              <w:right w:type="dxa" w:w="120"/>
            </w:tcMar>
          </w:tcPr>
          <w:p>
            <w:r>
              <w:rPr>
                <w:rFonts w:ascii="Calibri" w:eastAsia="Microsoft YaHei"/>
                <w:b/>
                <w:bCs/>
                <w:color w:val="1A2B40"/>
                <w:sz w:val="20"/>
                <w:szCs w:val="20"/>
              </w:rPr>
              <w:t xml:space="preserve">Description:</w:t>
            </w:r>
          </w:p>
        </w:tc>
        <w:tc>
          <w:tcPr>
            <w:tcW w:type="pct" w:w="85%"/>
            <w:gridSpan w:val="2"/>
            <w:tcBorders>
              <w:top w:val="none"/>
              <w:left w:val="none"/>
              <w:bottom w:val="single" w:color="D0D8E0" w:sz="1"/>
              <w:right w:val="none"/>
            </w:tcBorders>
            <w:tcMar>
              <w:top w:type="dxa" w:w="60"/>
              <w:left w:type="dxa" w:w="120"/>
              <w:bottom w:type="dxa" w:w="60"/>
              <w:right w:type="dxa" w:w="120"/>
            </w:tcMar>
          </w:tcPr>
          <w:p>
            <w:r>
              <w:rPr>
                <w:rFonts w:ascii="Calibri" w:eastAsia="Microsoft YaHei"/>
                <w:color w:val="1A2B40"/>
                <w:sz w:val="20"/>
                <w:szCs w:val="20"/>
              </w:rPr>
              <w:t xml:space="preserve">The journal entry numbering system uses the document_sequence table but does not call select_for_update() when reading the current sequence value. Under concurrent access (multiple users creating entries simultaneously), two transactions could read the same sequence value and generate duplicate entry numbers. While the database's FOR UPDATE mechanism is documented in the codebase for document numbering, it appears the journal module does not fully implement this pattern. Duplicate entry numbers would violate the document numbering integrity required for audit compliance.</w:t>
            </w:r>
          </w:p>
        </w:tc>
      </w:tr>
      <w:tr>
        <w:tc>
          <w:tcPr>
            <w:tcW w:type="pct" w:w="15%"/>
            <w:tcBorders>
              <w:top w:val="none"/>
              <w:left w:val="none"/>
              <w:bottom w:val="single" w:color="D0D8E0" w:sz="1"/>
              <w:right w:val="none"/>
            </w:tcBorders>
            <w:tcMar>
              <w:top w:type="dxa" w:w="60"/>
              <w:left w:type="dxa" w:w="120"/>
              <w:bottom w:type="dxa" w:w="60"/>
              <w:right w:type="dxa" w:w="120"/>
            </w:tcMar>
          </w:tcPr>
          <w:p>
            <w:r>
              <w:rPr>
                <w:rFonts w:ascii="Calibri" w:eastAsia="Microsoft YaHei"/>
                <w:b/>
                <w:bCs/>
                <w:color w:val="1A2B40"/>
                <w:sz w:val="20"/>
                <w:szCs w:val="20"/>
              </w:rPr>
              <w:t xml:space="preserve">Recommendation:</w:t>
            </w:r>
          </w:p>
        </w:tc>
        <w:tc>
          <w:tcPr>
            <w:tcW w:type="pct" w:w="85%"/>
            <w:gridSpan w:val="2"/>
            <w:tcBorders>
              <w:top w:val="none"/>
              <w:left w:val="none"/>
              <w:bottom w:val="single" w:color="D0D8E0" w:sz="1"/>
              <w:right w:val="none"/>
            </w:tcBorders>
            <w:tcMar>
              <w:top w:type="dxa" w:w="60"/>
              <w:left w:type="dxa" w:w="120"/>
              <w:bottom w:type="dxa" w:w="60"/>
              <w:right w:type="dxa" w:w="120"/>
            </w:tcMar>
          </w:tcPr>
          <w:p>
            <w:r>
              <w:rPr>
                <w:rFonts w:ascii="Calibri" w:eastAsia="Microsoft YaHei"/>
                <w:color w:val="1A2B40"/>
                <w:sz w:val="20"/>
                <w:szCs w:val="20"/>
              </w:rPr>
              <w:t xml:space="preserve">Add select_for_update() to the document_sequence query in the journal entry creation path. Ensure the entire sequence increment and document creation is wrapped in transaction.atomic().</w:t>
            </w:r>
          </w:p>
        </w:tc>
      </w:tr>
    </w:tbl>
    <w:p>
      <w:pPr>
        <w:spacing w:before="150"/>
      </w:pPr>
    </w:p>
    <w:p>
      <w:pPr>
        <w:pStyle w:val="Heading2"/>
        <w:spacing w:after="100" w:before="280"/>
      </w:pPr>
      <w:bookmarkStart w:id="100019" w:name="_Toc100019"/>
      <w:r>
        <w:rPr>
          <w:rFonts w:ascii="Calibri" w:eastAsia="SimHei"/>
          <w:b/>
          <w:bCs/>
          <w:color w:val="0A1628"/>
          <w:sz w:val="28"/>
          <w:szCs w:val="28"/>
        </w:rPr>
        <w:t xml:space="preserve">4.6 H-01: SET LOCAL RLS Depends on ATOMIC_REQUESTS</w:t>
      </w:r>
      <w:bookmarkEnd w:id="100019"/>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0%"/>
            <w:tcBorders>
              <w:top w:val="single" w:color="D4875A" w:sz="2"/>
              <w:left w:val="none"/>
              <w:bottom w:val="single" w:color="D4875A" w:sz="2"/>
              <w:right w:val="none"/>
            </w:tcBorders>
            <w:shd w:fill="1A2330" w:val="clear"/>
            <w:tcMar>
              <w:top w:type="dxa" w:w="60"/>
              <w:left w:type="dxa" w:w="120"/>
              <w:bottom w:type="dxa" w:w="60"/>
              <w:right w:type="dxa" w:w="120"/>
            </w:tcMar>
          </w:tcPr>
          <w:p>
            <w:r>
              <w:rPr>
                <w:rFonts w:ascii="Calibri" w:eastAsia="Microsoft YaHei"/>
                <w:b/>
                <w:bCs/>
                <w:color w:val="FFFFFF"/>
                <w:sz w:val="20"/>
                <w:szCs w:val="20"/>
              </w:rPr>
              <w:t xml:space="preserve">ID</w:t>
            </w:r>
          </w:p>
        </w:tc>
        <w:tc>
          <w:tcPr>
            <w:tcW w:type="pct" w:w="12%"/>
            <w:tcBorders>
              <w:top w:val="single" w:color="D4875A" w:sz="2"/>
              <w:left w:val="none"/>
              <w:bottom w:val="single" w:color="D4875A" w:sz="2"/>
              <w:right w:val="none"/>
            </w:tcBorders>
            <w:shd w:fill="1A2330" w:val="clear"/>
            <w:tcMar>
              <w:top w:type="dxa" w:w="60"/>
              <w:left w:type="dxa" w:w="120"/>
              <w:bottom w:type="dxa" w:w="60"/>
              <w:right w:type="dxa" w:w="120"/>
            </w:tcMar>
          </w:tcPr>
          <w:p>
            <w:r>
              <w:rPr>
                <w:rFonts w:ascii="Calibri" w:eastAsia="Microsoft YaHei"/>
                <w:b/>
                <w:bCs/>
                <w:color w:val="FFFFFF"/>
                <w:sz w:val="20"/>
                <w:szCs w:val="20"/>
              </w:rPr>
              <w:t xml:space="preserve">Severity</w:t>
            </w:r>
          </w:p>
        </w:tc>
        <w:tc>
          <w:tcPr>
            <w:tcW w:type="pct" w:w="78%"/>
            <w:tcBorders>
              <w:top w:val="single" w:color="D4875A" w:sz="2"/>
              <w:left w:val="none"/>
              <w:bottom w:val="single" w:color="D4875A" w:sz="2"/>
              <w:right w:val="none"/>
            </w:tcBorders>
            <w:shd w:fill="1A2330" w:val="clear"/>
            <w:tcMar>
              <w:top w:type="dxa" w:w="60"/>
              <w:left w:type="dxa" w:w="120"/>
              <w:bottom w:type="dxa" w:w="60"/>
              <w:right w:type="dxa" w:w="120"/>
            </w:tcMar>
          </w:tcPr>
          <w:p>
            <w:r>
              <w:rPr>
                <w:rFonts w:ascii="Calibri" w:eastAsia="Microsoft YaHei"/>
                <w:b/>
                <w:bCs/>
                <w:color w:val="FFFFFF"/>
                <w:sz w:val="20"/>
                <w:szCs w:val="20"/>
              </w:rPr>
              <w:t xml:space="preserve">Title</w:t>
            </w:r>
          </w:p>
        </w:tc>
      </w:tr>
      <w:tr>
        <w:tc>
          <w:tcPr>
            <w:tcW w:type="pct" w:w="10%"/>
            <w:tcBorders>
              <w:top w:val="none"/>
              <w:left w:val="none"/>
              <w:bottom w:val="single" w:color="D0D8E0" w:sz="1"/>
              <w:right w:val="none"/>
            </w:tcBorders>
            <w:shd w:fill="FFFFFF" w:val="clear"/>
            <w:tcMar>
              <w:top w:type="dxa" w:w="60"/>
              <w:left w:type="dxa" w:w="120"/>
              <w:bottom w:type="dxa" w:w="60"/>
              <w:right w:type="dxa" w:w="120"/>
            </w:tcMar>
          </w:tcPr>
          <w:p>
            <w:r>
              <w:rPr>
                <w:rFonts w:ascii="Calibri" w:eastAsia="Microsoft YaHei"/>
                <w:color w:val="1A2B40"/>
                <w:sz w:val="20"/>
                <w:szCs w:val="20"/>
              </w:rPr>
              <w:t xml:space="preserve">M-06</w:t>
            </w:r>
          </w:p>
        </w:tc>
        <w:tc>
          <w:tcPr>
            <w:tcW w:type="pct" w:w="12%"/>
            <w:tcBorders>
              <w:top w:val="none"/>
              <w:left w:val="none"/>
              <w:bottom w:val="single" w:color="D0D8E0" w:sz="1"/>
              <w:right w:val="none"/>
            </w:tcBorders>
            <w:shd w:fill="FEF9E7" w:val="clear"/>
            <w:tcMar>
              <w:top w:type="dxa" w:w="60"/>
              <w:left w:type="dxa" w:w="120"/>
              <w:bottom w:type="dxa" w:w="60"/>
              <w:right w:type="dxa" w:w="120"/>
            </w:tcMar>
          </w:tcPr>
          <w:p>
            <w:r>
              <w:rPr>
                <w:rFonts w:ascii="Calibri" w:eastAsia="Microsoft YaHei"/>
                <w:b/>
                <w:bCs/>
                <w:color w:val="F39C12"/>
                <w:sz w:val="20"/>
                <w:szCs w:val="20"/>
              </w:rPr>
              <w:t xml:space="preserve">MEDIUM</w:t>
            </w:r>
          </w:p>
        </w:tc>
        <w:tc>
          <w:tcPr>
            <w:tcW w:type="pct" w:w="78%"/>
            <w:tcBorders>
              <w:top w:val="none"/>
              <w:left w:val="none"/>
              <w:bottom w:val="single" w:color="D0D8E0" w:sz="1"/>
              <w:right w:val="none"/>
            </w:tcBorders>
            <w:shd w:fill="FFFFFF" w:val="clear"/>
            <w:tcMar>
              <w:top w:type="dxa" w:w="60"/>
              <w:left w:type="dxa" w:w="120"/>
              <w:bottom w:type="dxa" w:w="60"/>
              <w:right w:type="dxa" w:w="120"/>
            </w:tcMar>
          </w:tcPr>
          <w:p>
            <w:r>
              <w:rPr>
                <w:rFonts w:ascii="Calibri" w:eastAsia="Microsoft YaHei"/>
                <w:color w:val="1A2B40"/>
                <w:sz w:val="20"/>
                <w:szCs w:val="20"/>
              </w:rPr>
              <w:t xml:space="preserve">RLS SET LOCAL relies on ATOMIC_REQUESTS=True with no guard or assertion</w:t>
            </w:r>
          </w:p>
        </w:tc>
      </w:tr>
      <w:tr>
        <w:tc>
          <w:tcPr>
            <w:tcW w:type="pct" w:w="15%"/>
            <w:tcBorders>
              <w:top w:val="none"/>
              <w:left w:val="none"/>
              <w:bottom w:val="single" w:color="D0D8E0" w:sz="1"/>
              <w:right w:val="none"/>
            </w:tcBorders>
            <w:tcMar>
              <w:top w:type="dxa" w:w="60"/>
              <w:left w:type="dxa" w:w="120"/>
              <w:bottom w:type="dxa" w:w="60"/>
              <w:right w:type="dxa" w:w="120"/>
            </w:tcMar>
          </w:tcPr>
          <w:p>
            <w:r>
              <w:rPr>
                <w:rFonts w:ascii="Calibri" w:eastAsia="Microsoft YaHei"/>
                <w:b/>
                <w:bCs/>
                <w:color w:val="1A2B40"/>
                <w:sz w:val="20"/>
                <w:szCs w:val="20"/>
              </w:rPr>
              <w:t xml:space="preserve">Location:</w:t>
            </w:r>
          </w:p>
        </w:tc>
        <w:tc>
          <w:tcPr>
            <w:tcW w:type="pct" w:w="85%"/>
            <w:gridSpan w:val="2"/>
            <w:tcBorders>
              <w:top w:val="none"/>
              <w:left w:val="none"/>
              <w:bottom w:val="single" w:color="D0D8E0" w:sz="1"/>
              <w:right w:val="none"/>
            </w:tcBorders>
            <w:tcMar>
              <w:top w:type="dxa" w:w="60"/>
              <w:left w:type="dxa" w:w="120"/>
              <w:bottom w:type="dxa" w:w="60"/>
              <w:right w:type="dxa" w:w="120"/>
            </w:tcMar>
          </w:tcPr>
          <w:p>
            <w:r>
              <w:rPr>
                <w:rFonts w:ascii="Calibri" w:eastAsia="Microsoft YaHei"/>
                <w:color w:val="1A2B40"/>
                <w:sz w:val="20"/>
                <w:szCs w:val="20"/>
              </w:rPr>
              <w:t xml:space="preserve">apps/backend/common/middleware/tenant_context.py</w:t>
            </w:r>
          </w:p>
        </w:tc>
      </w:tr>
      <w:tr>
        <w:tc>
          <w:tcPr>
            <w:tcW w:type="pct" w:w="15%"/>
            <w:tcBorders>
              <w:top w:val="none"/>
              <w:left w:val="none"/>
              <w:bottom w:val="single" w:color="D0D8E0" w:sz="1"/>
              <w:right w:val="none"/>
            </w:tcBorders>
            <w:tcMar>
              <w:top w:type="dxa" w:w="60"/>
              <w:left w:type="dxa" w:w="120"/>
              <w:bottom w:type="dxa" w:w="60"/>
              <w:right w:type="dxa" w:w="120"/>
            </w:tcMar>
          </w:tcPr>
          <w:p>
            <w:r>
              <w:rPr>
                <w:rFonts w:ascii="Calibri" w:eastAsia="Microsoft YaHei"/>
                <w:b/>
                <w:bCs/>
                <w:color w:val="1A2B40"/>
                <w:sz w:val="20"/>
                <w:szCs w:val="20"/>
              </w:rPr>
              <w:t xml:space="preserve">Description:</w:t>
            </w:r>
          </w:p>
        </w:tc>
        <w:tc>
          <w:tcPr>
            <w:tcW w:type="pct" w:w="85%"/>
            <w:gridSpan w:val="2"/>
            <w:tcBorders>
              <w:top w:val="none"/>
              <w:left w:val="none"/>
              <w:bottom w:val="single" w:color="D0D8E0" w:sz="1"/>
              <w:right w:val="none"/>
            </w:tcBorders>
            <w:tcMar>
              <w:top w:type="dxa" w:w="60"/>
              <w:left w:type="dxa" w:w="120"/>
              <w:bottom w:type="dxa" w:w="60"/>
              <w:right w:type="dxa" w:w="120"/>
            </w:tcMar>
          </w:tcPr>
          <w:p>
            <w:r>
              <w:rPr>
                <w:rFonts w:ascii="Calibri" w:eastAsia="Microsoft YaHei"/>
                <w:color w:val="1A2B40"/>
                <w:sz w:val="20"/>
                <w:szCs w:val="20"/>
              </w:rPr>
              <w:t xml:space="preserve">The TenantContextMiddleware uses SET LOCAL to set PostgreSQL session variables for RLS. The SET LOCAL command only persists within the current transaction, and its effectiveness depends entirely on ATOMIC_REQUESTS=True being set in Django settings. If ATOMIC_REQUESTS is ever disabled (which could happen during performance tuning), SET LOCAL would have no effect and RLS would not enforce tenant isolation, causing silent cross-tenant data leakage. There is no assertion or guard to detect this condition.</w:t>
            </w:r>
          </w:p>
        </w:tc>
      </w:tr>
      <w:tr>
        <w:tc>
          <w:tcPr>
            <w:tcW w:type="pct" w:w="15%"/>
            <w:tcBorders>
              <w:top w:val="none"/>
              <w:left w:val="none"/>
              <w:bottom w:val="single" w:color="D0D8E0" w:sz="1"/>
              <w:right w:val="none"/>
            </w:tcBorders>
            <w:tcMar>
              <w:top w:type="dxa" w:w="60"/>
              <w:left w:type="dxa" w:w="120"/>
              <w:bottom w:type="dxa" w:w="60"/>
              <w:right w:type="dxa" w:w="120"/>
            </w:tcMar>
          </w:tcPr>
          <w:p>
            <w:r>
              <w:rPr>
                <w:rFonts w:ascii="Calibri" w:eastAsia="Microsoft YaHei"/>
                <w:b/>
                <w:bCs/>
                <w:color w:val="1A2B40"/>
                <w:sz w:val="20"/>
                <w:szCs w:val="20"/>
              </w:rPr>
              <w:t xml:space="preserve">Recommendation:</w:t>
            </w:r>
          </w:p>
        </w:tc>
        <w:tc>
          <w:tcPr>
            <w:tcW w:type="pct" w:w="85%"/>
            <w:gridSpan w:val="2"/>
            <w:tcBorders>
              <w:top w:val="none"/>
              <w:left w:val="none"/>
              <w:bottom w:val="single" w:color="D0D8E0" w:sz="1"/>
              <w:right w:val="none"/>
            </w:tcBorders>
            <w:tcMar>
              <w:top w:type="dxa" w:w="60"/>
              <w:left w:type="dxa" w:w="120"/>
              <w:bottom w:type="dxa" w:w="60"/>
              <w:right w:type="dxa" w:w="120"/>
            </w:tcMar>
          </w:tcPr>
          <w:p>
            <w:r>
              <w:rPr>
                <w:rFonts w:ascii="Calibri" w:eastAsia="Microsoft YaHei"/>
                <w:color w:val="1A2B40"/>
                <w:sz w:val="20"/>
                <w:szCs w:val="20"/>
              </w:rPr>
              <w:t xml:space="preserve">Add an assertion or runtime check in TenantContextMiddleware that verifies ATOMIC_REQUESTS is True. If it is not, raise an ImproperlyConfigured exception or log a critical error. Consider using SET (without LOCAL) with an explicit RESET at the end of the request as a more robust alternative.</w:t>
            </w:r>
          </w:p>
        </w:tc>
      </w:tr>
    </w:tbl>
    <w:p>
      <w:pPr>
        <w:spacing w:before="150"/>
      </w:pPr>
    </w:p>
    <w:p>
      <w:pPr>
        <w:pStyle w:val="Heading2"/>
        <w:spacing w:after="100" w:before="280"/>
      </w:pPr>
      <w:bookmarkStart w:id="100020" w:name="_Toc100020"/>
      <w:r>
        <w:rPr>
          <w:rFonts w:ascii="Calibri" w:eastAsia="SimHei"/>
          <w:b/>
          <w:bCs/>
          <w:color w:val="0A1628"/>
          <w:sz w:val="28"/>
          <w:szCs w:val="28"/>
        </w:rPr>
        <w:t xml:space="preserve">4.7 H-02: Service Settings Drops RLS Middleware</w:t>
      </w:r>
      <w:bookmarkEnd w:id="100020"/>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0%"/>
            <w:tcBorders>
              <w:top w:val="single" w:color="D4875A" w:sz="2"/>
              <w:left w:val="none"/>
              <w:bottom w:val="single" w:color="D4875A" w:sz="2"/>
              <w:right w:val="none"/>
            </w:tcBorders>
            <w:shd w:fill="1A2330" w:val="clear"/>
            <w:tcMar>
              <w:top w:type="dxa" w:w="60"/>
              <w:left w:type="dxa" w:w="120"/>
              <w:bottom w:type="dxa" w:w="60"/>
              <w:right w:type="dxa" w:w="120"/>
            </w:tcMar>
          </w:tcPr>
          <w:p>
            <w:r>
              <w:rPr>
                <w:rFonts w:ascii="Calibri" w:eastAsia="Microsoft YaHei"/>
                <w:b/>
                <w:bCs/>
                <w:color w:val="FFFFFF"/>
                <w:sz w:val="20"/>
                <w:szCs w:val="20"/>
              </w:rPr>
              <w:t xml:space="preserve">ID</w:t>
            </w:r>
          </w:p>
        </w:tc>
        <w:tc>
          <w:tcPr>
            <w:tcW w:type="pct" w:w="12%"/>
            <w:tcBorders>
              <w:top w:val="single" w:color="D4875A" w:sz="2"/>
              <w:left w:val="none"/>
              <w:bottom w:val="single" w:color="D4875A" w:sz="2"/>
              <w:right w:val="none"/>
            </w:tcBorders>
            <w:shd w:fill="1A2330" w:val="clear"/>
            <w:tcMar>
              <w:top w:type="dxa" w:w="60"/>
              <w:left w:type="dxa" w:w="120"/>
              <w:bottom w:type="dxa" w:w="60"/>
              <w:right w:type="dxa" w:w="120"/>
            </w:tcMar>
          </w:tcPr>
          <w:p>
            <w:r>
              <w:rPr>
                <w:rFonts w:ascii="Calibri" w:eastAsia="Microsoft YaHei"/>
                <w:b/>
                <w:bCs/>
                <w:color w:val="FFFFFF"/>
                <w:sz w:val="20"/>
                <w:szCs w:val="20"/>
              </w:rPr>
              <w:t xml:space="preserve">Severity</w:t>
            </w:r>
          </w:p>
        </w:tc>
        <w:tc>
          <w:tcPr>
            <w:tcW w:type="pct" w:w="78%"/>
            <w:tcBorders>
              <w:top w:val="single" w:color="D4875A" w:sz="2"/>
              <w:left w:val="none"/>
              <w:bottom w:val="single" w:color="D4875A" w:sz="2"/>
              <w:right w:val="none"/>
            </w:tcBorders>
            <w:shd w:fill="1A2330" w:val="clear"/>
            <w:tcMar>
              <w:top w:type="dxa" w:w="60"/>
              <w:left w:type="dxa" w:w="120"/>
              <w:bottom w:type="dxa" w:w="60"/>
              <w:right w:type="dxa" w:w="120"/>
            </w:tcMar>
          </w:tcPr>
          <w:p>
            <w:r>
              <w:rPr>
                <w:rFonts w:ascii="Calibri" w:eastAsia="Microsoft YaHei"/>
                <w:b/>
                <w:bCs/>
                <w:color w:val="FFFFFF"/>
                <w:sz w:val="20"/>
                <w:szCs w:val="20"/>
              </w:rPr>
              <w:t xml:space="preserve">Title</w:t>
            </w:r>
          </w:p>
        </w:tc>
      </w:tr>
      <w:tr>
        <w:tc>
          <w:tcPr>
            <w:tcW w:type="pct" w:w="10%"/>
            <w:tcBorders>
              <w:top w:val="none"/>
              <w:left w:val="none"/>
              <w:bottom w:val="single" w:color="D0D8E0" w:sz="1"/>
              <w:right w:val="none"/>
            </w:tcBorders>
            <w:shd w:fill="FFFFFF" w:val="clear"/>
            <w:tcMar>
              <w:top w:type="dxa" w:w="60"/>
              <w:left w:type="dxa" w:w="120"/>
              <w:bottom w:type="dxa" w:w="60"/>
              <w:right w:type="dxa" w:w="120"/>
            </w:tcMar>
          </w:tcPr>
          <w:p>
            <w:r>
              <w:rPr>
                <w:rFonts w:ascii="Calibri" w:eastAsia="Microsoft YaHei"/>
                <w:color w:val="1A2B40"/>
                <w:sz w:val="20"/>
                <w:szCs w:val="20"/>
              </w:rPr>
              <w:t xml:space="preserve">M-07</w:t>
            </w:r>
          </w:p>
        </w:tc>
        <w:tc>
          <w:tcPr>
            <w:tcW w:type="pct" w:w="12%"/>
            <w:tcBorders>
              <w:top w:val="none"/>
              <w:left w:val="none"/>
              <w:bottom w:val="single" w:color="D0D8E0" w:sz="1"/>
              <w:right w:val="none"/>
            </w:tcBorders>
            <w:shd w:fill="FEF9E7" w:val="clear"/>
            <w:tcMar>
              <w:top w:type="dxa" w:w="60"/>
              <w:left w:type="dxa" w:w="120"/>
              <w:bottom w:type="dxa" w:w="60"/>
              <w:right w:type="dxa" w:w="120"/>
            </w:tcMar>
          </w:tcPr>
          <w:p>
            <w:r>
              <w:rPr>
                <w:rFonts w:ascii="Calibri" w:eastAsia="Microsoft YaHei"/>
                <w:b/>
                <w:bCs/>
                <w:color w:val="F39C12"/>
                <w:sz w:val="20"/>
                <w:szCs w:val="20"/>
              </w:rPr>
              <w:t xml:space="preserve">MEDIUM</w:t>
            </w:r>
          </w:p>
        </w:tc>
        <w:tc>
          <w:tcPr>
            <w:tcW w:type="pct" w:w="78%"/>
            <w:tcBorders>
              <w:top w:val="none"/>
              <w:left w:val="none"/>
              <w:bottom w:val="single" w:color="D0D8E0" w:sz="1"/>
              <w:right w:val="none"/>
            </w:tcBorders>
            <w:shd w:fill="FFFFFF" w:val="clear"/>
            <w:tcMar>
              <w:top w:type="dxa" w:w="60"/>
              <w:left w:type="dxa" w:w="120"/>
              <w:bottom w:type="dxa" w:w="60"/>
              <w:right w:type="dxa" w:w="120"/>
            </w:tcMar>
          </w:tcPr>
          <w:p>
            <w:r>
              <w:rPr>
                <w:rFonts w:ascii="Calibri" w:eastAsia="Microsoft YaHei"/>
                <w:color w:val="1A2B40"/>
                <w:sz w:val="20"/>
                <w:szCs w:val="20"/>
              </w:rPr>
              <w:t xml:space="preserve">service.py settings file drops TenantContextMiddleware and AuditContextMiddleware</w:t>
            </w:r>
          </w:p>
        </w:tc>
      </w:tr>
      <w:tr>
        <w:tc>
          <w:tcPr>
            <w:tcW w:type="pct" w:w="15%"/>
            <w:tcBorders>
              <w:top w:val="none"/>
              <w:left w:val="none"/>
              <w:bottom w:val="single" w:color="D0D8E0" w:sz="1"/>
              <w:right w:val="none"/>
            </w:tcBorders>
            <w:tcMar>
              <w:top w:type="dxa" w:w="60"/>
              <w:left w:type="dxa" w:w="120"/>
              <w:bottom w:type="dxa" w:w="60"/>
              <w:right w:type="dxa" w:w="120"/>
            </w:tcMar>
          </w:tcPr>
          <w:p>
            <w:r>
              <w:rPr>
                <w:rFonts w:ascii="Calibri" w:eastAsia="Microsoft YaHei"/>
                <w:b/>
                <w:bCs/>
                <w:color w:val="1A2B40"/>
                <w:sz w:val="20"/>
                <w:szCs w:val="20"/>
              </w:rPr>
              <w:t xml:space="preserve">Location:</w:t>
            </w:r>
          </w:p>
        </w:tc>
        <w:tc>
          <w:tcPr>
            <w:tcW w:type="pct" w:w="85%"/>
            <w:gridSpan w:val="2"/>
            <w:tcBorders>
              <w:top w:val="none"/>
              <w:left w:val="none"/>
              <w:bottom w:val="single" w:color="D0D8E0" w:sz="1"/>
              <w:right w:val="none"/>
            </w:tcBorders>
            <w:tcMar>
              <w:top w:type="dxa" w:w="60"/>
              <w:left w:type="dxa" w:w="120"/>
              <w:bottom w:type="dxa" w:w="60"/>
              <w:right w:type="dxa" w:w="120"/>
            </w:tcMar>
          </w:tcPr>
          <w:p>
            <w:r>
              <w:rPr>
                <w:rFonts w:ascii="Calibri" w:eastAsia="Microsoft YaHei"/>
                <w:color w:val="1A2B40"/>
                <w:sz w:val="20"/>
                <w:szCs w:val="20"/>
              </w:rPr>
              <w:t xml:space="preserve">apps/backend/config/settings/service.py</w:t>
            </w:r>
          </w:p>
        </w:tc>
      </w:tr>
      <w:tr>
        <w:tc>
          <w:tcPr>
            <w:tcW w:type="pct" w:w="15%"/>
            <w:tcBorders>
              <w:top w:val="none"/>
              <w:left w:val="none"/>
              <w:bottom w:val="single" w:color="D0D8E0" w:sz="1"/>
              <w:right w:val="none"/>
            </w:tcBorders>
            <w:tcMar>
              <w:top w:type="dxa" w:w="60"/>
              <w:left w:type="dxa" w:w="120"/>
              <w:bottom w:type="dxa" w:w="60"/>
              <w:right w:type="dxa" w:w="120"/>
            </w:tcMar>
          </w:tcPr>
          <w:p>
            <w:r>
              <w:rPr>
                <w:rFonts w:ascii="Calibri" w:eastAsia="Microsoft YaHei"/>
                <w:b/>
                <w:bCs/>
                <w:color w:val="1A2B40"/>
                <w:sz w:val="20"/>
                <w:szCs w:val="20"/>
              </w:rPr>
              <w:t xml:space="preserve">Description:</w:t>
            </w:r>
          </w:p>
        </w:tc>
        <w:tc>
          <w:tcPr>
            <w:tcW w:type="pct" w:w="85%"/>
            <w:gridSpan w:val="2"/>
            <w:tcBorders>
              <w:top w:val="none"/>
              <w:left w:val="none"/>
              <w:bottom w:val="single" w:color="D0D8E0" w:sz="1"/>
              <w:right w:val="none"/>
            </w:tcBorders>
            <w:tcMar>
              <w:top w:type="dxa" w:w="60"/>
              <w:left w:type="dxa" w:w="120"/>
              <w:bottom w:type="dxa" w:w="60"/>
              <w:right w:type="dxa" w:w="120"/>
            </w:tcMar>
          </w:tcPr>
          <w:p>
            <w:r>
              <w:rPr>
                <w:rFonts w:ascii="Calibri" w:eastAsia="Microsoft YaHei"/>
                <w:color w:val="1A2B40"/>
                <w:sz w:val="20"/>
                <w:szCs w:val="20"/>
              </w:rPr>
              <w:t xml:space="preserve">The service.py settings file (used for Celery workers) removes both TenantContextMiddleware and AuditContextMiddleware from the middleware chain. This means Celery tasks run without any RLS context, potentially accessing data across all organisations. While Celery tasks may need to explicitly set their own context, removing the middleware entirely means there is no safety net if a task forgets to set the org context, leading to potential cross-tenant data access.</w:t>
            </w:r>
          </w:p>
        </w:tc>
      </w:tr>
      <w:tr>
        <w:tc>
          <w:tcPr>
            <w:tcW w:type="pct" w:w="15%"/>
            <w:tcBorders>
              <w:top w:val="none"/>
              <w:left w:val="none"/>
              <w:bottom w:val="single" w:color="D0D8E0" w:sz="1"/>
              <w:right w:val="none"/>
            </w:tcBorders>
            <w:tcMar>
              <w:top w:type="dxa" w:w="60"/>
              <w:left w:type="dxa" w:w="120"/>
              <w:bottom w:type="dxa" w:w="60"/>
              <w:right w:type="dxa" w:w="120"/>
            </w:tcMar>
          </w:tcPr>
          <w:p>
            <w:r>
              <w:rPr>
                <w:rFonts w:ascii="Calibri" w:eastAsia="Microsoft YaHei"/>
                <w:b/>
                <w:bCs/>
                <w:color w:val="1A2B40"/>
                <w:sz w:val="20"/>
                <w:szCs w:val="20"/>
              </w:rPr>
              <w:t xml:space="preserve">Recommendation:</w:t>
            </w:r>
          </w:p>
        </w:tc>
        <w:tc>
          <w:tcPr>
            <w:tcW w:type="pct" w:w="85%"/>
            <w:gridSpan w:val="2"/>
            <w:tcBorders>
              <w:top w:val="none"/>
              <w:left w:val="none"/>
              <w:bottom w:val="single" w:color="D0D8E0" w:sz="1"/>
              <w:right w:val="none"/>
            </w:tcBorders>
            <w:tcMar>
              <w:top w:type="dxa" w:w="60"/>
              <w:left w:type="dxa" w:w="120"/>
              <w:bottom w:type="dxa" w:w="60"/>
              <w:right w:type="dxa" w:w="120"/>
            </w:tcMar>
          </w:tcPr>
          <w:p>
            <w:r>
              <w:rPr>
                <w:rFonts w:ascii="Calibri" w:eastAsia="Microsoft YaHei"/>
                <w:color w:val="1A2B40"/>
                <w:sz w:val="20"/>
                <w:szCs w:val="20"/>
              </w:rPr>
              <w:t xml:space="preserve">Either retain TenantContextMiddleware in the service settings (with modifications for Celery compatibility) or implement a Celery task mixin/decorator that explicitly sets the RLS context before executing any database operations. Add a safety check that logs a warning if a task accesses the database without RLS context.</w:t>
            </w:r>
          </w:p>
        </w:tc>
      </w:tr>
    </w:tbl>
    <w:p>
      <w:pPr>
        <w:spacing w:before="150"/>
      </w:pPr>
    </w:p>
    <w:p>
      <w:pPr>
        <w:pStyle w:val="Heading2"/>
        <w:spacing w:after="100" w:before="280"/>
      </w:pPr>
      <w:bookmarkStart w:id="100021" w:name="_Toc100021"/>
      <w:r>
        <w:rPr>
          <w:rFonts w:ascii="Calibri" w:eastAsia="SimHei"/>
          <w:b/>
          <w:bCs/>
          <w:color w:val="0A1628"/>
          <w:sz w:val="28"/>
          <w:szCs w:val="28"/>
        </w:rPr>
        <w:t xml:space="preserve">4.8 Remaining Medium Findings</w:t>
      </w:r>
      <w:bookmarkEnd w:id="100021"/>
    </w:p>
    <w:p>
      <w:pPr>
        <w:spacing w:after="80" w:line="312"/>
        <w:jc w:val="both"/>
      </w:pPr>
      <w:r>
        <w:rPr>
          <w:rFonts w:ascii="Calibri" w:eastAsia="Microsoft YaHei"/>
          <w:color w:val="1A2B40"/>
          <w:sz w:val="22"/>
          <w:szCs w:val="22"/>
        </w:rPr>
        <w:t xml:space="preserve">The following additional medium-severity issues were identified during the audit:</w:t>
      </w:r>
    </w:p>
    <w:p>
      <w:pPr>
        <w:spacing w:after="60" w:line="312"/>
        <w:ind w:left="480"/>
        <w:jc w:val="left"/>
      </w:pPr>
      <w:r>
        <w:rPr>
          <w:rFonts w:ascii="Calibri" w:eastAsia="Microsoft YaHei"/>
          <w:color w:val="D4875A"/>
          <w:sz w:val="22"/>
          <w:szCs w:val="22"/>
        </w:rPr>
        <w:t xml:space="preserve">•  </w:t>
      </w:r>
      <w:r>
        <w:rPr>
          <w:rFonts w:ascii="Calibri" w:eastAsia="Microsoft YaHei"/>
          <w:color w:val="1A2B40"/>
          <w:sz w:val="22"/>
          <w:szCs w:val="22"/>
        </w:rPr>
        <w:t xml:space="preserve">FE-007: isGSTRegistered={true} is hardcoded in the new invoice page instead of being dynamically determined from the organisation's settings, causing incorrect GST behaviour for non-GST registered businesses.</w:t>
      </w:r>
    </w:p>
    <w:p>
      <w:pPr>
        <w:spacing w:after="60" w:line="312"/>
        <w:ind w:left="480"/>
        <w:jc w:val="left"/>
      </w:pPr>
      <w:r>
        <w:rPr>
          <w:rFonts w:ascii="Calibri" w:eastAsia="Microsoft YaHei"/>
          <w:color w:val="D4875A"/>
          <w:sz w:val="22"/>
          <w:szCs w:val="22"/>
        </w:rPr>
        <w:t xml:space="preserve">•  </w:t>
      </w:r>
      <w:r>
        <w:rPr>
          <w:rFonts w:ascii="Calibri" w:eastAsia="Microsoft YaHei"/>
          <w:color w:val="1A2B40"/>
          <w:sz w:val="22"/>
          <w:szCs w:val="22"/>
        </w:rPr>
        <w:t xml:space="preserve">FE-012: useToast hook has a stale state listener bug where the [state] dependency array causes the listener to not update when state changes, potentially causing toast notifications to be missed.</w:t>
      </w:r>
    </w:p>
    <w:p>
      <w:pPr>
        <w:spacing w:after="60" w:line="312"/>
        <w:ind w:left="480"/>
        <w:jc w:val="left"/>
      </w:pPr>
      <w:r>
        <w:rPr>
          <w:rFonts w:ascii="Calibri" w:eastAsia="Microsoft YaHei"/>
          <w:color w:val="D4875A"/>
          <w:sz w:val="22"/>
          <w:szCs w:val="22"/>
        </w:rPr>
        <w:t xml:space="preserve">•  </w:t>
      </w:r>
      <w:r>
        <w:rPr>
          <w:rFonts w:ascii="Calibri" w:eastAsia="Microsoft YaHei"/>
          <w:color w:val="1A2B40"/>
          <w:sz w:val="22"/>
          <w:szCs w:val="22"/>
        </w:rPr>
        <w:t xml:space="preserve">FE-010: Duplicate formatCurrency functions exist with different output formats in different parts of the frontend, leading to inconsistent currency display.</w:t>
      </w:r>
    </w:p>
    <w:p>
      <w:pPr>
        <w:spacing w:after="60" w:line="312"/>
        <w:ind w:left="480"/>
        <w:jc w:val="left"/>
      </w:pPr>
      <w:r>
        <w:rPr>
          <w:rFonts w:ascii="Calibri" w:eastAsia="Microsoft YaHei"/>
          <w:color w:val="D4875A"/>
          <w:sz w:val="22"/>
          <w:szCs w:val="22"/>
        </w:rPr>
        <w:t xml:space="preserve">•  </w:t>
      </w:r>
      <w:r>
        <w:rPr>
          <w:rFonts w:ascii="Calibri" w:eastAsia="Microsoft YaHei"/>
          <w:color w:val="1A2B40"/>
          <w:sz w:val="22"/>
          <w:szCs w:val="22"/>
        </w:rPr>
        <w:t xml:space="preserve">B-01/B-02: Race conditions in payment allocation where concurrent allocations could over-allocate a payment amount due to missing select_for_update() on the payment record.</w:t>
      </w:r>
    </w:p>
    <w:p>
      <w:pPr>
        <w:pStyle w:val="Heading1"/>
        <w:spacing w:after="120" w:before="360"/>
      </w:pPr>
      <w:bookmarkStart w:id="100022" w:name="_Toc100022"/>
      <w:r>
        <w:rPr>
          <w:rFonts w:ascii="Calibri" w:eastAsia="SimHei"/>
          <w:b/>
          <w:bCs/>
          <w:color w:val="0A1628"/>
          <w:sz w:val="32"/>
          <w:szCs w:val="32"/>
        </w:rPr>
        <w:t xml:space="preserve">5. Low &amp; Informational Findings</w:t>
      </w:r>
      <w:bookmarkEnd w:id="100022"/>
    </w:p>
    <w:p>
      <w:pPr>
        <w:pStyle w:val="Heading2"/>
        <w:spacing w:after="100" w:before="280"/>
      </w:pPr>
      <w:bookmarkStart w:id="100023" w:name="_Toc100023"/>
      <w:r>
        <w:rPr>
          <w:rFonts w:ascii="Calibri" w:eastAsia="SimHei"/>
          <w:b/>
          <w:bCs/>
          <w:color w:val="0A1628"/>
          <w:sz w:val="28"/>
          <w:szCs w:val="28"/>
        </w:rPr>
        <w:t xml:space="preserve">5.1 Low Severity</w:t>
      </w:r>
      <w:bookmarkEnd w:id="100023"/>
    </w:p>
    <w:p>
      <w:pPr>
        <w:spacing w:after="60" w:line="312"/>
        <w:ind w:left="480"/>
        <w:jc w:val="left"/>
      </w:pPr>
      <w:r>
        <w:rPr>
          <w:rFonts w:ascii="Calibri" w:eastAsia="Microsoft YaHei"/>
          <w:color w:val="D4875A"/>
          <w:sz w:val="22"/>
          <w:szCs w:val="22"/>
        </w:rPr>
        <w:t xml:space="preserve">•  </w:t>
      </w:r>
      <w:r>
        <w:rPr>
          <w:rFonts w:ascii="Calibri" w:eastAsia="Microsoft YaHei"/>
          <w:color w:val="1A2B40"/>
          <w:sz w:val="22"/>
          <w:szCs w:val="22"/>
        </w:rPr>
        <w:t xml:space="preserve">H-03: InvoiceLine inherits from BaseModel instead of TenantModel, inconsistent with InvoiceDocument which uses TenantModel. This creates ambiguity about which base class to use for tenant-scoped models.</w:t>
      </w:r>
    </w:p>
    <w:p>
      <w:pPr>
        <w:spacing w:after="60" w:line="312"/>
        <w:ind w:left="480"/>
        <w:jc w:val="left"/>
      </w:pPr>
      <w:r>
        <w:rPr>
          <w:rFonts w:ascii="Calibri" w:eastAsia="Microsoft YaHei"/>
          <w:color w:val="D4875A"/>
          <w:sz w:val="22"/>
          <w:szCs w:val="22"/>
        </w:rPr>
        <w:t xml:space="preserve">•  </w:t>
      </w:r>
      <w:r>
        <w:rPr>
          <w:rFonts w:ascii="Calibri" w:eastAsia="Microsoft YaHei"/>
          <w:color w:val="1A2B40"/>
          <w:sz w:val="22"/>
          <w:szCs w:val="22"/>
        </w:rPr>
        <w:t xml:space="preserve">H-04/H-05: OrganisationSetting and ExchangeRate models are missing db_column specifications for 4 fields each, likely causing schema mismatches that could result in runtime query errors.</w:t>
      </w:r>
    </w:p>
    <w:p>
      <w:pPr>
        <w:spacing w:after="60" w:line="312"/>
        <w:ind w:left="480"/>
        <w:jc w:val="left"/>
      </w:pPr>
      <w:r>
        <w:rPr>
          <w:rFonts w:ascii="Calibri" w:eastAsia="Microsoft YaHei"/>
          <w:color w:val="D4875A"/>
          <w:sz w:val="22"/>
          <w:szCs w:val="22"/>
        </w:rPr>
        <w:t xml:space="preserve">•  </w:t>
      </w:r>
      <w:r>
        <w:rPr>
          <w:rFonts w:ascii="Calibri" w:eastAsia="Microsoft YaHei"/>
          <w:color w:val="1A2B40"/>
          <w:sz w:val="22"/>
          <w:szCs w:val="22"/>
        </w:rPr>
        <w:t xml:space="preserve">H-06: custom_exception_handler has an unreachable ValidationError catch block (dead code path), reducing the effectiveness of error handling for validation errors.</w:t>
      </w:r>
    </w:p>
    <w:p>
      <w:pPr>
        <w:spacing w:after="60" w:line="312"/>
        <w:ind w:left="480"/>
        <w:jc w:val="left"/>
      </w:pPr>
      <w:r>
        <w:rPr>
          <w:rFonts w:ascii="Calibri" w:eastAsia="Microsoft YaHei"/>
          <w:color w:val="D4875A"/>
          <w:sz w:val="22"/>
          <w:szCs w:val="22"/>
        </w:rPr>
        <w:t xml:space="preserve">•  </w:t>
      </w:r>
      <w:r>
        <w:rPr>
          <w:rFonts w:ascii="Calibri" w:eastAsia="Microsoft YaHei"/>
          <w:color w:val="1A2B40"/>
          <w:sz w:val="22"/>
          <w:szCs w:val="22"/>
        </w:rPr>
        <w:t xml:space="preserve">FE-004: BankAccountsTabProps uses any[] type, violating the TypeScript strict mode mandate of no any types.</w:t>
      </w:r>
    </w:p>
    <w:p>
      <w:pPr>
        <w:spacing w:after="60" w:line="312"/>
        <w:ind w:left="480"/>
        <w:jc w:val="left"/>
      </w:pPr>
      <w:r>
        <w:rPr>
          <w:rFonts w:ascii="Calibri" w:eastAsia="Microsoft YaHei"/>
          <w:color w:val="D4875A"/>
          <w:sz w:val="22"/>
          <w:szCs w:val="22"/>
        </w:rPr>
        <w:t xml:space="preserve">•  </w:t>
      </w:r>
      <w:r>
        <w:rPr>
          <w:rFonts w:ascii="Calibri" w:eastAsia="Microsoft YaHei"/>
          <w:color w:val="1A2B40"/>
          <w:sz w:val="22"/>
          <w:szCs w:val="22"/>
        </w:rPr>
        <w:t xml:space="preserve">FE-006: Raw HTML input element used instead of Shadcn Input component in one location, violating the UI library discipline mandate.</w:t>
      </w:r>
    </w:p>
    <w:p>
      <w:pPr>
        <w:pStyle w:val="Heading2"/>
        <w:spacing w:after="100" w:before="280"/>
      </w:pPr>
      <w:bookmarkStart w:id="100024" w:name="_Toc100024"/>
      <w:r>
        <w:rPr>
          <w:rFonts w:ascii="Calibri" w:eastAsia="SimHei"/>
          <w:b/>
          <w:bCs/>
          <w:color w:val="0A1628"/>
          <w:sz w:val="28"/>
          <w:szCs w:val="28"/>
        </w:rPr>
        <w:t xml:space="preserve">5.2 Informational</w:t>
      </w:r>
      <w:bookmarkEnd w:id="100024"/>
    </w:p>
    <w:p>
      <w:pPr>
        <w:spacing w:after="60" w:line="312"/>
        <w:ind w:left="480"/>
        <w:jc w:val="left"/>
      </w:pPr>
      <w:r>
        <w:rPr>
          <w:rFonts w:ascii="Calibri" w:eastAsia="Microsoft YaHei"/>
          <w:color w:val="D4875A"/>
          <w:sz w:val="22"/>
          <w:szCs w:val="22"/>
        </w:rPr>
        <w:t xml:space="preserve">•  </w:t>
      </w:r>
      <w:r>
        <w:rPr>
          <w:rFonts w:ascii="Calibri" w:eastAsia="Microsoft YaHei"/>
          <w:color w:val="1A2B40"/>
          <w:sz w:val="22"/>
          <w:szCs w:val="22"/>
        </w:rPr>
        <w:t xml:space="preserve">DB-002/003: Missing indexes on bank_transaction(org_id) and document_line(org_id) could cause slow queries as data grows. Consider adding these for production performance.</w:t>
      </w:r>
    </w:p>
    <w:p>
      <w:pPr>
        <w:spacing w:after="60" w:line="312"/>
        <w:ind w:left="480"/>
        <w:jc w:val="left"/>
      </w:pPr>
      <w:r>
        <w:rPr>
          <w:rFonts w:ascii="Calibri" w:eastAsia="Microsoft YaHei"/>
          <w:color w:val="D4875A"/>
          <w:sz w:val="22"/>
          <w:szCs w:val="22"/>
        </w:rPr>
        <w:t xml:space="preserve">•  </w:t>
      </w:r>
      <w:r>
        <w:rPr>
          <w:rFonts w:ascii="Calibri" w:eastAsia="Microsoft YaHei"/>
          <w:color w:val="1A2B40"/>
          <w:sz w:val="22"/>
          <w:szCs w:val="22"/>
        </w:rPr>
        <w:t xml:space="preserve">DB-006: System roles with NULL org_id have no tenant isolation, which may be intentional but should be explicitly documented.</w:t>
      </w:r>
    </w:p>
    <w:p>
      <w:pPr>
        <w:spacing w:after="60" w:line="312"/>
        <w:ind w:left="480"/>
        <w:jc w:val="left"/>
      </w:pPr>
      <w:r>
        <w:rPr>
          <w:rFonts w:ascii="Calibri" w:eastAsia="Microsoft YaHei"/>
          <w:color w:val="D4875A"/>
          <w:sz w:val="22"/>
          <w:szCs w:val="22"/>
        </w:rPr>
        <w:t xml:space="preserve">•  </w:t>
      </w:r>
      <w:r>
        <w:rPr>
          <w:rFonts w:ascii="Calibri" w:eastAsia="Microsoft YaHei"/>
          <w:color w:val="1A2B40"/>
          <w:sz w:val="22"/>
          <w:szCs w:val="22"/>
        </w:rPr>
        <w:t xml:space="preserve">Multiple documentation files reference SECURITY_AUDIT.md and E2E_TEST_EXECUTION_SUMMARY.md, but these files do not exist in the repository.</w:t>
      </w:r>
    </w:p>
    <w:p>
      <w:pPr>
        <w:spacing w:after="60" w:line="312"/>
        <w:ind w:left="480"/>
        <w:jc w:val="left"/>
      </w:pPr>
      <w:r>
        <w:rPr>
          <w:rFonts w:ascii="Calibri" w:eastAsia="Microsoft YaHei"/>
          <w:color w:val="D4875A"/>
          <w:sz w:val="22"/>
          <w:szCs w:val="22"/>
        </w:rPr>
        <w:t xml:space="preserve">•  </w:t>
      </w:r>
      <w:r>
        <w:rPr>
          <w:rFonts w:ascii="Calibri" w:eastAsia="Microsoft YaHei"/>
          <w:color w:val="1A2B40"/>
          <w:sz w:val="22"/>
          <w:szCs w:val="22"/>
        </w:rPr>
        <w:t xml:space="preserve">Dead symlink: Agent-Browser-howto.md points to /home/pete/.openclaw/workspace/Agent-Browser-howto.md which does not exist.</w:t>
      </w:r>
    </w:p>
    <w:p>
      <w:pPr>
        <w:pStyle w:val="Heading1"/>
        <w:spacing w:after="120" w:before="360"/>
      </w:pPr>
      <w:bookmarkStart w:id="100025" w:name="_Toc100025"/>
      <w:r>
        <w:rPr>
          <w:rFonts w:ascii="Calibri" w:eastAsia="SimHei"/>
          <w:b/>
          <w:bCs/>
          <w:color w:val="0A1628"/>
          <w:sz w:val="32"/>
          <w:szCs w:val="32"/>
        </w:rPr>
        <w:t xml:space="preserve">6. Documentation-Code Alignment Audit</w:t>
      </w:r>
      <w:bookmarkEnd w:id="100025"/>
    </w:p>
    <w:p>
      <w:pPr>
        <w:spacing w:after="80" w:line="312"/>
        <w:jc w:val="both"/>
      </w:pPr>
      <w:r>
        <w:rPr>
          <w:rFonts w:ascii="Calibri" w:eastAsia="Microsoft YaHei"/>
          <w:color w:val="1A2B40"/>
          <w:sz w:val="22"/>
          <w:szCs w:val="22"/>
        </w:rPr>
        <w:t xml:space="preserve">A critical part of this audit was verifying the claims made across the six primary documentation files (CLAUDE.md, AGENTS.md, GEMINI.md, README.md, Project_Architecture_Document.md, API_CLI_Usage_Guide.md) against the actual codebase. Documentation accuracy is especially important for LedgerSG because these files serve as the primary onboarding and reference material for both human developers and AI coding agents. Misaligned documentation can lead to incorrect assumptions, wasted debugging time, and architectural violations.</w:t>
      </w:r>
    </w:p>
    <w:p>
      <w:pPr>
        <w:pStyle w:val="Heading2"/>
        <w:spacing w:after="100" w:before="280"/>
      </w:pPr>
      <w:bookmarkStart w:id="100026" w:name="_Toc100026"/>
      <w:r>
        <w:rPr>
          <w:rFonts w:ascii="Calibri" w:eastAsia="SimHei"/>
          <w:b/>
          <w:bCs/>
          <w:color w:val="0A1628"/>
          <w:sz w:val="28"/>
          <w:szCs w:val="28"/>
        </w:rPr>
        <w:t xml:space="preserve">6.1 Alignment Summary</w:t>
      </w:r>
      <w:bookmarkEnd w:id="100026"/>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0%"/>
            <w:tcBorders>
              <w:top w:val="single" w:color="D4875A" w:sz="2"/>
              <w:left w:val="none"/>
              <w:bottom w:val="single" w:color="D4875A" w:sz="2"/>
              <w:right w:val="none"/>
            </w:tcBorders>
            <w:shd w:fill="1A2330" w:val="clear"/>
            <w:tcMar>
              <w:top w:type="dxa" w:w="60"/>
              <w:left w:type="dxa" w:w="120"/>
              <w:bottom w:type="dxa" w:w="60"/>
              <w:right w:type="dxa" w:w="120"/>
            </w:tcMar>
          </w:tcPr>
          <w:p>
            <w:r>
              <w:rPr>
                <w:rFonts w:ascii="Calibri" w:eastAsia="Microsoft YaHei"/>
                <w:b/>
                <w:bCs/>
                <w:color w:val="FFFFFF"/>
                <w:sz w:val="20"/>
                <w:szCs w:val="20"/>
              </w:rPr>
              <w:t xml:space="preserve">Claim</w:t>
            </w:r>
          </w:p>
        </w:tc>
        <w:tc>
          <w:tcPr>
            <w:tcW w:type="pct" w:w="30%"/>
            <w:tcBorders>
              <w:top w:val="single" w:color="D4875A" w:sz="2"/>
              <w:left w:val="none"/>
              <w:bottom w:val="single" w:color="D4875A" w:sz="2"/>
              <w:right w:val="none"/>
            </w:tcBorders>
            <w:shd w:fill="1A2330" w:val="clear"/>
            <w:tcMar>
              <w:top w:type="dxa" w:w="60"/>
              <w:left w:type="dxa" w:w="120"/>
              <w:bottom w:type="dxa" w:w="60"/>
              <w:right w:type="dxa" w:w="120"/>
            </w:tcMar>
          </w:tcPr>
          <w:p>
            <w:r>
              <w:rPr>
                <w:rFonts w:ascii="Calibri" w:eastAsia="Microsoft YaHei"/>
                <w:b/>
                <w:bCs/>
                <w:color w:val="FFFFFF"/>
                <w:sz w:val="20"/>
                <w:szCs w:val="20"/>
              </w:rPr>
              <w:t xml:space="preserve">Source</w:t>
            </w:r>
          </w:p>
        </w:tc>
        <w:tc>
          <w:tcPr>
            <w:tcW w:type="pct" w:w="30%"/>
            <w:tcBorders>
              <w:top w:val="single" w:color="D4875A" w:sz="2"/>
              <w:left w:val="none"/>
              <w:bottom w:val="single" w:color="D4875A" w:sz="2"/>
              <w:right w:val="none"/>
            </w:tcBorders>
            <w:shd w:fill="1A2330" w:val="clear"/>
            <w:tcMar>
              <w:top w:type="dxa" w:w="60"/>
              <w:left w:type="dxa" w:w="120"/>
              <w:bottom w:type="dxa" w:w="60"/>
              <w:right w:type="dxa" w:w="120"/>
            </w:tcMar>
          </w:tcPr>
          <w:p>
            <w:r>
              <w:rPr>
                <w:rFonts w:ascii="Calibri" w:eastAsia="Microsoft YaHei"/>
                <w:b/>
                <w:bCs/>
                <w:color w:val="FFFFFF"/>
                <w:sz w:val="20"/>
                <w:szCs w:val="20"/>
              </w:rPr>
              <w:t xml:space="preserve">Actual</w:t>
            </w:r>
          </w:p>
        </w:tc>
        <w:tc>
          <w:tcPr>
            <w:tcW w:type="pct" w:w="30%"/>
            <w:tcBorders>
              <w:top w:val="single" w:color="D4875A" w:sz="2"/>
              <w:left w:val="none"/>
              <w:bottom w:val="single" w:color="D4875A" w:sz="2"/>
              <w:right w:val="none"/>
            </w:tcBorders>
            <w:shd w:fill="1A2330" w:val="clear"/>
            <w:tcMar>
              <w:top w:type="dxa" w:w="60"/>
              <w:left w:type="dxa" w:w="120"/>
              <w:bottom w:type="dxa" w:w="60"/>
              <w:right w:type="dxa" w:w="120"/>
            </w:tcMar>
          </w:tcPr>
          <w:p>
            <w:r>
              <w:rPr>
                <w:rFonts w:ascii="Calibri" w:eastAsia="Microsoft YaHei"/>
                <w:b/>
                <w:bCs/>
                <w:color w:val="FFFFFF"/>
                <w:sz w:val="20"/>
                <w:szCs w:val="20"/>
              </w:rPr>
              <w:t xml:space="preserve">Aligned?</w:t>
            </w:r>
          </w:p>
        </w:tc>
      </w:tr>
      <w:tr>
        <w:tc>
          <w:tcPr>
            <w:tcW w:type="pct" w:w="10%"/>
            <w:tcBorders>
              <w:top w:val="none"/>
              <w:left w:val="none"/>
              <w:bottom w:val="single" w:color="D0D8E0" w:sz="1"/>
              <w:right w:val="none"/>
            </w:tcBorders>
            <w:shd w:fill="F4F8FC" w:val="clear"/>
            <w:tcMar>
              <w:top w:type="dxa" w:w="60"/>
              <w:left w:type="dxa" w:w="120"/>
              <w:bottom w:type="dxa" w:w="60"/>
              <w:right w:type="dxa" w:w="120"/>
            </w:tcMar>
          </w:tcPr>
          <w:p>
            <w:r>
              <w:rPr>
                <w:rFonts w:ascii="Calibri" w:eastAsia="Microsoft YaHei"/>
                <w:color w:val="1A2B40"/>
                <w:sz w:val="20"/>
                <w:szCs w:val="20"/>
              </w:rPr>
              <w:t xml:space="preserve">94/87/83 API endpoints</w:t>
            </w:r>
          </w:p>
        </w:tc>
        <w:tc>
          <w:tcPr>
            <w:tcW w:type="pct" w:w="30%"/>
            <w:tcBorders>
              <w:top w:val="none"/>
              <w:left w:val="none"/>
              <w:bottom w:val="single" w:color="D0D8E0" w:sz="1"/>
              <w:right w:val="none"/>
            </w:tcBorders>
            <w:shd w:fill="F4F8FC" w:val="clear"/>
            <w:tcMar>
              <w:top w:type="dxa" w:w="60"/>
              <w:left w:type="dxa" w:w="120"/>
              <w:bottom w:type="dxa" w:w="60"/>
              <w:right w:type="dxa" w:w="120"/>
            </w:tcMar>
          </w:tcPr>
          <w:p>
            <w:r>
              <w:rPr>
                <w:rFonts w:ascii="Calibri" w:eastAsia="Microsoft YaHei"/>
                <w:color w:val="1A2B40"/>
                <w:sz w:val="20"/>
                <w:szCs w:val="20"/>
              </w:rPr>
              <w:t xml:space="preserve">Multiple docs</w:t>
            </w:r>
          </w:p>
        </w:tc>
        <w:tc>
          <w:tcPr>
            <w:tcW w:type="pct" w:w="30%"/>
            <w:tcBorders>
              <w:top w:val="none"/>
              <w:left w:val="none"/>
              <w:bottom w:val="single" w:color="D0D8E0" w:sz="1"/>
              <w:right w:val="none"/>
            </w:tcBorders>
            <w:shd w:fill="F4F8FC" w:val="clear"/>
            <w:tcMar>
              <w:top w:type="dxa" w:w="60"/>
              <w:left w:type="dxa" w:w="120"/>
              <w:bottom w:type="dxa" w:w="60"/>
              <w:right w:type="dxa" w:w="120"/>
            </w:tcMar>
          </w:tcPr>
          <w:p>
            <w:r>
              <w:rPr>
                <w:rFonts w:ascii="Calibri" w:eastAsia="Microsoft YaHei"/>
                <w:color w:val="1A2B40"/>
                <w:sz w:val="20"/>
                <w:szCs w:val="20"/>
              </w:rPr>
              <w:t xml:space="preserve">82 unique resolvable paths</w:t>
            </w:r>
          </w:p>
        </w:tc>
        <w:tc>
          <w:tcPr>
            <w:tcW w:type="pct" w:w="30%"/>
            <w:tcBorders>
              <w:top w:val="none"/>
              <w:left w:val="none"/>
              <w:bottom w:val="single" w:color="D0D8E0" w:sz="1"/>
              <w:right w:val="none"/>
            </w:tcBorders>
            <w:shd w:fill="F4F8FC" w:val="clear"/>
            <w:tcMar>
              <w:top w:type="dxa" w:w="60"/>
              <w:left w:type="dxa" w:w="120"/>
              <w:bottom w:type="dxa" w:w="60"/>
              <w:right w:type="dxa" w:w="120"/>
            </w:tcMar>
          </w:tcPr>
          <w:p>
            <w:r>
              <w:rPr>
                <w:rFonts w:ascii="Calibri" w:eastAsia="Microsoft YaHei"/>
                <w:color w:val="1A2B40"/>
                <w:sz w:val="20"/>
                <w:szCs w:val="20"/>
              </w:rPr>
              <w:t xml:space="preserve">No</w:t>
            </w:r>
          </w:p>
        </w:tc>
      </w:tr>
      <w:tr>
        <w:tc>
          <w:tcPr>
            <w:tcW w:type="pct" w:w="10%"/>
            <w:tcBorders>
              <w:top w:val="none"/>
              <w:left w:val="none"/>
              <w:bottom w:val="single" w:color="D0D8E0" w:sz="1"/>
              <w:right w:val="none"/>
            </w:tcBorders>
            <w:shd w:fill="FFFFFF" w:val="clear"/>
            <w:tcMar>
              <w:top w:type="dxa" w:w="60"/>
              <w:left w:type="dxa" w:w="120"/>
              <w:bottom w:type="dxa" w:w="60"/>
              <w:right w:type="dxa" w:w="120"/>
            </w:tcMar>
          </w:tcPr>
          <w:p>
            <w:r>
              <w:rPr>
                <w:rFonts w:ascii="Calibri" w:eastAsia="Microsoft YaHei"/>
                <w:color w:val="1A2B40"/>
                <w:sz w:val="20"/>
                <w:szCs w:val="20"/>
              </w:rPr>
              <w:t xml:space="preserve">30 database tables</w:t>
            </w:r>
          </w:p>
        </w:tc>
        <w:tc>
          <w:tcPr>
            <w:tcW w:type="pct" w:w="30%"/>
            <w:tcBorders>
              <w:top w:val="none"/>
              <w:left w:val="none"/>
              <w:bottom w:val="single" w:color="D0D8E0" w:sz="1"/>
              <w:right w:val="none"/>
            </w:tcBorders>
            <w:shd w:fill="FFFFFF" w:val="clear"/>
            <w:tcMar>
              <w:top w:type="dxa" w:w="60"/>
              <w:left w:type="dxa" w:w="120"/>
              <w:bottom w:type="dxa" w:w="60"/>
              <w:right w:type="dxa" w:w="120"/>
            </w:tcMar>
          </w:tcPr>
          <w:p>
            <w:r>
              <w:rPr>
                <w:rFonts w:ascii="Calibri" w:eastAsia="Microsoft YaHei"/>
                <w:color w:val="1A2B40"/>
                <w:sz w:val="20"/>
                <w:szCs w:val="20"/>
              </w:rPr>
              <w:t xml:space="preserve">PAD, GEMINI.md</w:t>
            </w:r>
          </w:p>
        </w:tc>
        <w:tc>
          <w:tcPr>
            <w:tcW w:type="pct" w:w="30%"/>
            <w:tcBorders>
              <w:top w:val="none"/>
              <w:left w:val="none"/>
              <w:bottom w:val="single" w:color="D0D8E0" w:sz="1"/>
              <w:right w:val="none"/>
            </w:tcBorders>
            <w:shd w:fill="FFFFFF" w:val="clear"/>
            <w:tcMar>
              <w:top w:type="dxa" w:w="60"/>
              <w:left w:type="dxa" w:w="120"/>
              <w:bottom w:type="dxa" w:w="60"/>
              <w:right w:type="dxa" w:w="120"/>
            </w:tcMar>
          </w:tcPr>
          <w:p>
            <w:r>
              <w:rPr>
                <w:rFonts w:ascii="Calibri" w:eastAsia="Microsoft YaHei"/>
                <w:color w:val="1A2B40"/>
                <w:sz w:val="20"/>
                <w:szCs w:val="20"/>
              </w:rPr>
              <w:t xml:space="preserve">29 tables</w:t>
            </w:r>
          </w:p>
        </w:tc>
        <w:tc>
          <w:tcPr>
            <w:tcW w:type="pct" w:w="30%"/>
            <w:tcBorders>
              <w:top w:val="none"/>
              <w:left w:val="none"/>
              <w:bottom w:val="single" w:color="D0D8E0" w:sz="1"/>
              <w:right w:val="none"/>
            </w:tcBorders>
            <w:shd w:fill="FFFFFF" w:val="clear"/>
            <w:tcMar>
              <w:top w:type="dxa" w:w="60"/>
              <w:left w:type="dxa" w:w="120"/>
              <w:bottom w:type="dxa" w:w="60"/>
              <w:right w:type="dxa" w:w="120"/>
            </w:tcMar>
          </w:tcPr>
          <w:p>
            <w:r>
              <w:rPr>
                <w:rFonts w:ascii="Calibri" w:eastAsia="Microsoft YaHei"/>
                <w:color w:val="1A2B40"/>
                <w:sz w:val="20"/>
                <w:szCs w:val="20"/>
              </w:rPr>
              <w:t xml:space="preserve">No</w:t>
            </w:r>
          </w:p>
        </w:tc>
      </w:tr>
      <w:tr>
        <w:tc>
          <w:tcPr>
            <w:tcW w:type="pct" w:w="10%"/>
            <w:tcBorders>
              <w:top w:val="none"/>
              <w:left w:val="none"/>
              <w:bottom w:val="single" w:color="D0D8E0" w:sz="1"/>
              <w:right w:val="none"/>
            </w:tcBorders>
            <w:shd w:fill="F4F8FC" w:val="clear"/>
            <w:tcMar>
              <w:top w:type="dxa" w:w="60"/>
              <w:left w:type="dxa" w:w="120"/>
              <w:bottom w:type="dxa" w:w="60"/>
              <w:right w:type="dxa" w:w="120"/>
            </w:tcMar>
          </w:tcPr>
          <w:p>
            <w:r>
              <w:rPr>
                <w:rFonts w:ascii="Calibri" w:eastAsia="Microsoft YaHei"/>
                <w:color w:val="1A2B40"/>
                <w:sz w:val="20"/>
                <w:szCs w:val="20"/>
              </w:rPr>
              <w:t xml:space="preserve">22 Django models</w:t>
            </w:r>
          </w:p>
        </w:tc>
        <w:tc>
          <w:tcPr>
            <w:tcW w:type="pct" w:w="30%"/>
            <w:tcBorders>
              <w:top w:val="none"/>
              <w:left w:val="none"/>
              <w:bottom w:val="single" w:color="D0D8E0" w:sz="1"/>
              <w:right w:val="none"/>
            </w:tcBorders>
            <w:shd w:fill="F4F8FC" w:val="clear"/>
            <w:tcMar>
              <w:top w:type="dxa" w:w="60"/>
              <w:left w:type="dxa" w:w="120"/>
              <w:bottom w:type="dxa" w:w="60"/>
              <w:right w:type="dxa" w:w="120"/>
            </w:tcMar>
          </w:tcPr>
          <w:p>
            <w:r>
              <w:rPr>
                <w:rFonts w:ascii="Calibri" w:eastAsia="Microsoft YaHei"/>
                <w:color w:val="1A2B40"/>
                <w:sz w:val="20"/>
                <w:szCs w:val="20"/>
              </w:rPr>
              <w:t xml:space="preserve">AGENTS.md</w:t>
            </w:r>
          </w:p>
        </w:tc>
        <w:tc>
          <w:tcPr>
            <w:tcW w:type="pct" w:w="30%"/>
            <w:tcBorders>
              <w:top w:val="none"/>
              <w:left w:val="none"/>
              <w:bottom w:val="single" w:color="D0D8E0" w:sz="1"/>
              <w:right w:val="none"/>
            </w:tcBorders>
            <w:shd w:fill="F4F8FC" w:val="clear"/>
            <w:tcMar>
              <w:top w:type="dxa" w:w="60"/>
              <w:left w:type="dxa" w:w="120"/>
              <w:bottom w:type="dxa" w:w="60"/>
              <w:right w:type="dxa" w:w="120"/>
            </w:tcMar>
          </w:tcPr>
          <w:p>
            <w:r>
              <w:rPr>
                <w:rFonts w:ascii="Calibri" w:eastAsia="Microsoft YaHei"/>
                <w:color w:val="1A2B40"/>
                <w:sz w:val="20"/>
                <w:szCs w:val="20"/>
              </w:rPr>
              <w:t xml:space="preserve">27 model classes</w:t>
            </w:r>
          </w:p>
        </w:tc>
        <w:tc>
          <w:tcPr>
            <w:tcW w:type="pct" w:w="30%"/>
            <w:tcBorders>
              <w:top w:val="none"/>
              <w:left w:val="none"/>
              <w:bottom w:val="single" w:color="D0D8E0" w:sz="1"/>
              <w:right w:val="none"/>
            </w:tcBorders>
            <w:shd w:fill="F4F8FC" w:val="clear"/>
            <w:tcMar>
              <w:top w:type="dxa" w:w="60"/>
              <w:left w:type="dxa" w:w="120"/>
              <w:bottom w:type="dxa" w:w="60"/>
              <w:right w:type="dxa" w:w="120"/>
            </w:tcMar>
          </w:tcPr>
          <w:p>
            <w:r>
              <w:rPr>
                <w:rFonts w:ascii="Calibri" w:eastAsia="Microsoft YaHei"/>
                <w:color w:val="1A2B40"/>
                <w:sz w:val="20"/>
                <w:szCs w:val="20"/>
              </w:rPr>
              <w:t xml:space="preserve">No</w:t>
            </w:r>
          </w:p>
        </w:tc>
      </w:tr>
      <w:tr>
        <w:tc>
          <w:tcPr>
            <w:tcW w:type="pct" w:w="10%"/>
            <w:tcBorders>
              <w:top w:val="none"/>
              <w:left w:val="none"/>
              <w:bottom w:val="single" w:color="D0D8E0" w:sz="1"/>
              <w:right w:val="none"/>
            </w:tcBorders>
            <w:shd w:fill="FFFFFF" w:val="clear"/>
            <w:tcMar>
              <w:top w:type="dxa" w:w="60"/>
              <w:left w:type="dxa" w:w="120"/>
              <w:bottom w:type="dxa" w:w="60"/>
              <w:right w:type="dxa" w:w="120"/>
            </w:tcMar>
          </w:tcPr>
          <w:p>
            <w:r>
              <w:rPr>
                <w:rFonts w:ascii="Calibri" w:eastAsia="Microsoft YaHei"/>
                <w:color w:val="1A2B40"/>
                <w:sz w:val="20"/>
                <w:szCs w:val="20"/>
              </w:rPr>
              <w:t xml:space="preserve">7 schemas</w:t>
            </w:r>
          </w:p>
        </w:tc>
        <w:tc>
          <w:tcPr>
            <w:tcW w:type="pct" w:w="30%"/>
            <w:tcBorders>
              <w:top w:val="none"/>
              <w:left w:val="none"/>
              <w:bottom w:val="single" w:color="D0D8E0" w:sz="1"/>
              <w:right w:val="none"/>
            </w:tcBorders>
            <w:shd w:fill="FFFFFF" w:val="clear"/>
            <w:tcMar>
              <w:top w:type="dxa" w:w="60"/>
              <w:left w:type="dxa" w:w="120"/>
              <w:bottom w:type="dxa" w:w="60"/>
              <w:right w:type="dxa" w:w="120"/>
            </w:tcMar>
          </w:tcPr>
          <w:p>
            <w:r>
              <w:rPr>
                <w:rFonts w:ascii="Calibri" w:eastAsia="Microsoft YaHei"/>
                <w:color w:val="1A2B40"/>
                <w:sz w:val="20"/>
                <w:szCs w:val="20"/>
              </w:rPr>
              <w:t xml:space="preserve">All docs</w:t>
            </w:r>
          </w:p>
        </w:tc>
        <w:tc>
          <w:tcPr>
            <w:tcW w:type="pct" w:w="30%"/>
            <w:tcBorders>
              <w:top w:val="none"/>
              <w:left w:val="none"/>
              <w:bottom w:val="single" w:color="D0D8E0" w:sz="1"/>
              <w:right w:val="none"/>
            </w:tcBorders>
            <w:shd w:fill="FFFFFF" w:val="clear"/>
            <w:tcMar>
              <w:top w:type="dxa" w:w="60"/>
              <w:left w:type="dxa" w:w="120"/>
              <w:bottom w:type="dxa" w:w="60"/>
              <w:right w:type="dxa" w:w="120"/>
            </w:tcMar>
          </w:tcPr>
          <w:p>
            <w:r>
              <w:rPr>
                <w:rFonts w:ascii="Calibri" w:eastAsia="Microsoft YaHei"/>
                <w:color w:val="1A2B40"/>
                <w:sz w:val="20"/>
                <w:szCs w:val="20"/>
              </w:rPr>
              <w:t xml:space="preserve">7 schemas</w:t>
            </w:r>
          </w:p>
        </w:tc>
        <w:tc>
          <w:tcPr>
            <w:tcW w:type="pct" w:w="30%"/>
            <w:tcBorders>
              <w:top w:val="none"/>
              <w:left w:val="none"/>
              <w:bottom w:val="single" w:color="D0D8E0" w:sz="1"/>
              <w:right w:val="none"/>
            </w:tcBorders>
            <w:shd w:fill="FFFFFF" w:val="clear"/>
            <w:tcMar>
              <w:top w:type="dxa" w:w="60"/>
              <w:left w:type="dxa" w:w="120"/>
              <w:bottom w:type="dxa" w:w="60"/>
              <w:right w:type="dxa" w:w="120"/>
            </w:tcMar>
          </w:tcPr>
          <w:p>
            <w:r>
              <w:rPr>
                <w:rFonts w:ascii="Calibri" w:eastAsia="Microsoft YaHei"/>
                <w:color w:val="1A2B40"/>
                <w:sz w:val="20"/>
                <w:szCs w:val="20"/>
              </w:rPr>
              <w:t xml:space="preserve">Yes</w:t>
            </w:r>
          </w:p>
        </w:tc>
      </w:tr>
      <w:tr>
        <w:tc>
          <w:tcPr>
            <w:tcW w:type="pct" w:w="10%"/>
            <w:tcBorders>
              <w:top w:val="none"/>
              <w:left w:val="none"/>
              <w:bottom w:val="single" w:color="D0D8E0" w:sz="1"/>
              <w:right w:val="none"/>
            </w:tcBorders>
            <w:shd w:fill="F4F8FC" w:val="clear"/>
            <w:tcMar>
              <w:top w:type="dxa" w:w="60"/>
              <w:left w:type="dxa" w:w="120"/>
              <w:bottom w:type="dxa" w:w="60"/>
              <w:right w:type="dxa" w:w="120"/>
            </w:tcMar>
          </w:tcPr>
          <w:p>
            <w:r>
              <w:rPr>
                <w:rFonts w:ascii="Calibri" w:eastAsia="Microsoft YaHei"/>
                <w:color w:val="1A2B40"/>
                <w:sz w:val="20"/>
                <w:szCs w:val="20"/>
              </w:rPr>
              <w:t xml:space="preserve">Backend v0.3.4</w:t>
            </w:r>
          </w:p>
        </w:tc>
        <w:tc>
          <w:tcPr>
            <w:tcW w:type="pct" w:w="30%"/>
            <w:tcBorders>
              <w:top w:val="none"/>
              <w:left w:val="none"/>
              <w:bottom w:val="single" w:color="D0D8E0" w:sz="1"/>
              <w:right w:val="none"/>
            </w:tcBorders>
            <w:shd w:fill="F4F8FC" w:val="clear"/>
            <w:tcMar>
              <w:top w:type="dxa" w:w="60"/>
              <w:left w:type="dxa" w:w="120"/>
              <w:bottom w:type="dxa" w:w="60"/>
              <w:right w:type="dxa" w:w="120"/>
            </w:tcMar>
          </w:tcPr>
          <w:p>
            <w:r>
              <w:rPr>
                <w:rFonts w:ascii="Calibri" w:eastAsia="Microsoft YaHei"/>
                <w:color w:val="1A2B40"/>
                <w:sz w:val="20"/>
                <w:szCs w:val="20"/>
              </w:rPr>
              <w:t xml:space="preserve">CLAUDE.md, GEMINI.md</w:t>
            </w:r>
          </w:p>
        </w:tc>
        <w:tc>
          <w:tcPr>
            <w:tcW w:type="pct" w:w="30%"/>
            <w:tcBorders>
              <w:top w:val="none"/>
              <w:left w:val="none"/>
              <w:bottom w:val="single" w:color="D0D8E0" w:sz="1"/>
              <w:right w:val="none"/>
            </w:tcBorders>
            <w:shd w:fill="F4F8FC" w:val="clear"/>
            <w:tcMar>
              <w:top w:type="dxa" w:w="60"/>
              <w:left w:type="dxa" w:w="120"/>
              <w:bottom w:type="dxa" w:w="60"/>
              <w:right w:type="dxa" w:w="120"/>
            </w:tcMar>
          </w:tcPr>
          <w:p>
            <w:r>
              <w:rPr>
                <w:rFonts w:ascii="Calibri" w:eastAsia="Microsoft YaHei"/>
                <w:color w:val="1A2B40"/>
                <w:sz w:val="20"/>
                <w:szCs w:val="20"/>
              </w:rPr>
              <w:t xml:space="preserve">v0.3.4 in code</w:t>
            </w:r>
          </w:p>
        </w:tc>
        <w:tc>
          <w:tcPr>
            <w:tcW w:type="pct" w:w="30%"/>
            <w:tcBorders>
              <w:top w:val="none"/>
              <w:left w:val="none"/>
              <w:bottom w:val="single" w:color="D0D8E0" w:sz="1"/>
              <w:right w:val="none"/>
            </w:tcBorders>
            <w:shd w:fill="F4F8FC" w:val="clear"/>
            <w:tcMar>
              <w:top w:type="dxa" w:w="60"/>
              <w:left w:type="dxa" w:w="120"/>
              <w:bottom w:type="dxa" w:w="60"/>
              <w:right w:type="dxa" w:w="120"/>
            </w:tcMar>
          </w:tcPr>
          <w:p>
            <w:r>
              <w:rPr>
                <w:rFonts w:ascii="Calibri" w:eastAsia="Microsoft YaHei"/>
                <w:color w:val="1A2B40"/>
                <w:sz w:val="20"/>
                <w:szCs w:val="20"/>
              </w:rPr>
              <w:t xml:space="preserve">Partial</w:t>
            </w:r>
          </w:p>
        </w:tc>
      </w:tr>
      <w:tr>
        <w:tc>
          <w:tcPr>
            <w:tcW w:type="pct" w:w="10%"/>
            <w:tcBorders>
              <w:top w:val="none"/>
              <w:left w:val="none"/>
              <w:bottom w:val="single" w:color="D0D8E0" w:sz="1"/>
              <w:right w:val="none"/>
            </w:tcBorders>
            <w:shd w:fill="FFFFFF" w:val="clear"/>
            <w:tcMar>
              <w:top w:type="dxa" w:w="60"/>
              <w:left w:type="dxa" w:w="120"/>
              <w:bottom w:type="dxa" w:w="60"/>
              <w:right w:type="dxa" w:w="120"/>
            </w:tcMar>
          </w:tcPr>
          <w:p>
            <w:r>
              <w:rPr>
                <w:rFonts w:ascii="Calibri" w:eastAsia="Microsoft YaHei"/>
                <w:color w:val="1A2B40"/>
                <w:sz w:val="20"/>
                <w:szCs w:val="20"/>
              </w:rPr>
              <w:t xml:space="preserve">Backend v0.3.3</w:t>
            </w:r>
          </w:p>
        </w:tc>
        <w:tc>
          <w:tcPr>
            <w:tcW w:type="pct" w:w="30%"/>
            <w:tcBorders>
              <w:top w:val="none"/>
              <w:left w:val="none"/>
              <w:bottom w:val="single" w:color="D0D8E0" w:sz="1"/>
              <w:right w:val="none"/>
            </w:tcBorders>
            <w:shd w:fill="FFFFFF" w:val="clear"/>
            <w:tcMar>
              <w:top w:type="dxa" w:w="60"/>
              <w:left w:type="dxa" w:w="120"/>
              <w:bottom w:type="dxa" w:w="60"/>
              <w:right w:type="dxa" w:w="120"/>
            </w:tcMar>
          </w:tcPr>
          <w:p>
            <w:r>
              <w:rPr>
                <w:rFonts w:ascii="Calibri" w:eastAsia="Microsoft YaHei"/>
                <w:color w:val="1A2B40"/>
                <w:sz w:val="20"/>
                <w:szCs w:val="20"/>
              </w:rPr>
              <w:t xml:space="preserve">README.md, AGENTS.md</w:t>
            </w:r>
          </w:p>
        </w:tc>
        <w:tc>
          <w:tcPr>
            <w:tcW w:type="pct" w:w="30%"/>
            <w:tcBorders>
              <w:top w:val="none"/>
              <w:left w:val="none"/>
              <w:bottom w:val="single" w:color="D0D8E0" w:sz="1"/>
              <w:right w:val="none"/>
            </w:tcBorders>
            <w:shd w:fill="FFFFFF" w:val="clear"/>
            <w:tcMar>
              <w:top w:type="dxa" w:w="60"/>
              <w:left w:type="dxa" w:w="120"/>
              <w:bottom w:type="dxa" w:w="60"/>
              <w:right w:type="dxa" w:w="120"/>
            </w:tcMar>
          </w:tcPr>
          <w:p>
            <w:r>
              <w:rPr>
                <w:rFonts w:ascii="Calibri" w:eastAsia="Microsoft YaHei"/>
                <w:color w:val="1A2B40"/>
                <w:sz w:val="20"/>
                <w:szCs w:val="20"/>
              </w:rPr>
              <w:t xml:space="preserve">Conflicts with v0.3.4</w:t>
            </w:r>
          </w:p>
        </w:tc>
        <w:tc>
          <w:tcPr>
            <w:tcW w:type="pct" w:w="30%"/>
            <w:tcBorders>
              <w:top w:val="none"/>
              <w:left w:val="none"/>
              <w:bottom w:val="single" w:color="D0D8E0" w:sz="1"/>
              <w:right w:val="none"/>
            </w:tcBorders>
            <w:shd w:fill="FFFFFF" w:val="clear"/>
            <w:tcMar>
              <w:top w:type="dxa" w:w="60"/>
              <w:left w:type="dxa" w:w="120"/>
              <w:bottom w:type="dxa" w:w="60"/>
              <w:right w:type="dxa" w:w="120"/>
            </w:tcMar>
          </w:tcPr>
          <w:p>
            <w:r>
              <w:rPr>
                <w:rFonts w:ascii="Calibri" w:eastAsia="Microsoft YaHei"/>
                <w:color w:val="1A2B40"/>
                <w:sz w:val="20"/>
                <w:szCs w:val="20"/>
              </w:rPr>
              <w:t xml:space="preserve">No</w:t>
            </w:r>
          </w:p>
        </w:tc>
      </w:tr>
      <w:tr>
        <w:tc>
          <w:tcPr>
            <w:tcW w:type="pct" w:w="10%"/>
            <w:tcBorders>
              <w:top w:val="none"/>
              <w:left w:val="none"/>
              <w:bottom w:val="single" w:color="D0D8E0" w:sz="1"/>
              <w:right w:val="none"/>
            </w:tcBorders>
            <w:shd w:fill="F4F8FC" w:val="clear"/>
            <w:tcMar>
              <w:top w:type="dxa" w:w="60"/>
              <w:left w:type="dxa" w:w="120"/>
              <w:bottom w:type="dxa" w:w="60"/>
              <w:right w:type="dxa" w:w="120"/>
            </w:tcMar>
          </w:tcPr>
          <w:p>
            <w:r>
              <w:rPr>
                <w:rFonts w:ascii="Calibri" w:eastAsia="Microsoft YaHei"/>
                <w:color w:val="1A2B40"/>
                <w:sz w:val="20"/>
                <w:szCs w:val="20"/>
              </w:rPr>
              <w:t xml:space="preserve">28 tables</w:t>
            </w:r>
          </w:p>
        </w:tc>
        <w:tc>
          <w:tcPr>
            <w:tcW w:type="pct" w:w="30%"/>
            <w:tcBorders>
              <w:top w:val="none"/>
              <w:left w:val="none"/>
              <w:bottom w:val="single" w:color="D0D8E0" w:sz="1"/>
              <w:right w:val="none"/>
            </w:tcBorders>
            <w:shd w:fill="F4F8FC" w:val="clear"/>
            <w:tcMar>
              <w:top w:type="dxa" w:w="60"/>
              <w:left w:type="dxa" w:w="120"/>
              <w:bottom w:type="dxa" w:w="60"/>
              <w:right w:type="dxa" w:w="120"/>
            </w:tcMar>
          </w:tcPr>
          <w:p>
            <w:r>
              <w:rPr>
                <w:rFonts w:ascii="Calibri" w:eastAsia="Microsoft YaHei"/>
                <w:color w:val="1A2B40"/>
                <w:sz w:val="20"/>
                <w:szCs w:val="20"/>
              </w:rPr>
              <w:t xml:space="preserve">AGENTS.md</w:t>
            </w:r>
          </w:p>
        </w:tc>
        <w:tc>
          <w:tcPr>
            <w:tcW w:type="pct" w:w="30%"/>
            <w:tcBorders>
              <w:top w:val="none"/>
              <w:left w:val="none"/>
              <w:bottom w:val="single" w:color="D0D8E0" w:sz="1"/>
              <w:right w:val="none"/>
            </w:tcBorders>
            <w:shd w:fill="F4F8FC" w:val="clear"/>
            <w:tcMar>
              <w:top w:type="dxa" w:w="60"/>
              <w:left w:type="dxa" w:w="120"/>
              <w:bottom w:type="dxa" w:w="60"/>
              <w:right w:type="dxa" w:w="120"/>
            </w:tcMar>
          </w:tcPr>
          <w:p>
            <w:r>
              <w:rPr>
                <w:rFonts w:ascii="Calibri" w:eastAsia="Microsoft YaHei"/>
                <w:color w:val="1A2B40"/>
                <w:sz w:val="20"/>
                <w:szCs w:val="20"/>
              </w:rPr>
              <w:t xml:space="preserve">29 actual</w:t>
            </w:r>
          </w:p>
        </w:tc>
        <w:tc>
          <w:tcPr>
            <w:tcW w:type="pct" w:w="30%"/>
            <w:tcBorders>
              <w:top w:val="none"/>
              <w:left w:val="none"/>
              <w:bottom w:val="single" w:color="D0D8E0" w:sz="1"/>
              <w:right w:val="none"/>
            </w:tcBorders>
            <w:shd w:fill="F4F8FC" w:val="clear"/>
            <w:tcMar>
              <w:top w:type="dxa" w:w="60"/>
              <w:left w:type="dxa" w:w="120"/>
              <w:bottom w:type="dxa" w:w="60"/>
              <w:right w:type="dxa" w:w="120"/>
            </w:tcMar>
          </w:tcPr>
          <w:p>
            <w:r>
              <w:rPr>
                <w:rFonts w:ascii="Calibri" w:eastAsia="Microsoft YaHei"/>
                <w:color w:val="1A2B40"/>
                <w:sz w:val="20"/>
                <w:szCs w:val="20"/>
              </w:rPr>
              <w:t xml:space="preserve">No</w:t>
            </w:r>
          </w:p>
        </w:tc>
      </w:tr>
      <w:tr>
        <w:tc>
          <w:tcPr>
            <w:tcW w:type="pct" w:w="10%"/>
            <w:tcBorders>
              <w:top w:val="none"/>
              <w:left w:val="none"/>
              <w:bottom w:val="single" w:color="D0D8E0" w:sz="1"/>
              <w:right w:val="none"/>
            </w:tcBorders>
            <w:shd w:fill="FFFFFF" w:val="clear"/>
            <w:tcMar>
              <w:top w:type="dxa" w:w="60"/>
              <w:left w:type="dxa" w:w="120"/>
              <w:bottom w:type="dxa" w:w="60"/>
              <w:right w:type="dxa" w:w="120"/>
            </w:tcMar>
          </w:tcPr>
          <w:p>
            <w:r>
              <w:rPr>
                <w:rFonts w:ascii="Calibri" w:eastAsia="Microsoft YaHei"/>
                <w:color w:val="1A2B40"/>
                <w:sz w:val="20"/>
                <w:szCs w:val="20"/>
              </w:rPr>
              <w:t xml:space="preserve">middleware.ts at apps/web/</w:t>
            </w:r>
          </w:p>
        </w:tc>
        <w:tc>
          <w:tcPr>
            <w:tcW w:type="pct" w:w="30%"/>
            <w:tcBorders>
              <w:top w:val="none"/>
              <w:left w:val="none"/>
              <w:bottom w:val="single" w:color="D0D8E0" w:sz="1"/>
              <w:right w:val="none"/>
            </w:tcBorders>
            <w:shd w:fill="FFFFFF" w:val="clear"/>
            <w:tcMar>
              <w:top w:type="dxa" w:w="60"/>
              <w:left w:type="dxa" w:w="120"/>
              <w:bottom w:type="dxa" w:w="60"/>
              <w:right w:type="dxa" w:w="120"/>
            </w:tcMar>
          </w:tcPr>
          <w:p>
            <w:r>
              <w:rPr>
                <w:rFonts w:ascii="Calibri" w:eastAsia="Microsoft YaHei"/>
                <w:color w:val="1A2B40"/>
                <w:sz w:val="20"/>
                <w:szCs w:val="20"/>
              </w:rPr>
              <w:t xml:space="preserve">README.md</w:t>
            </w:r>
          </w:p>
        </w:tc>
        <w:tc>
          <w:tcPr>
            <w:tcW w:type="pct" w:w="30%"/>
            <w:tcBorders>
              <w:top w:val="none"/>
              <w:left w:val="none"/>
              <w:bottom w:val="single" w:color="D0D8E0" w:sz="1"/>
              <w:right w:val="none"/>
            </w:tcBorders>
            <w:shd w:fill="FFFFFF" w:val="clear"/>
            <w:tcMar>
              <w:top w:type="dxa" w:w="60"/>
              <w:left w:type="dxa" w:w="120"/>
              <w:bottom w:type="dxa" w:w="60"/>
              <w:right w:type="dxa" w:w="120"/>
            </w:tcMar>
          </w:tcPr>
          <w:p>
            <w:r>
              <w:rPr>
                <w:rFonts w:ascii="Calibri" w:eastAsia="Microsoft YaHei"/>
                <w:color w:val="1A2B40"/>
                <w:sz w:val="20"/>
                <w:szCs w:val="20"/>
              </w:rPr>
              <w:t xml:space="preserve">Actually at apps/web/src/middleware.ts</w:t>
            </w:r>
          </w:p>
        </w:tc>
        <w:tc>
          <w:tcPr>
            <w:tcW w:type="pct" w:w="30%"/>
            <w:tcBorders>
              <w:top w:val="none"/>
              <w:left w:val="none"/>
              <w:bottom w:val="single" w:color="D0D8E0" w:sz="1"/>
              <w:right w:val="none"/>
            </w:tcBorders>
            <w:shd w:fill="FFFFFF" w:val="clear"/>
            <w:tcMar>
              <w:top w:type="dxa" w:w="60"/>
              <w:left w:type="dxa" w:w="120"/>
              <w:bottom w:type="dxa" w:w="60"/>
              <w:right w:type="dxa" w:w="120"/>
            </w:tcMar>
          </w:tcPr>
          <w:p>
            <w:r>
              <w:rPr>
                <w:rFonts w:ascii="Calibri" w:eastAsia="Microsoft YaHei"/>
                <w:color w:val="1A2B40"/>
                <w:sz w:val="20"/>
                <w:szCs w:val="20"/>
              </w:rPr>
              <w:t xml:space="preserve">No</w:t>
            </w:r>
          </w:p>
        </w:tc>
      </w:tr>
      <w:tr>
        <w:tc>
          <w:tcPr>
            <w:tcW w:type="pct" w:w="10%"/>
            <w:tcBorders>
              <w:top w:val="none"/>
              <w:left w:val="none"/>
              <w:bottom w:val="single" w:color="D0D8E0" w:sz="1"/>
              <w:right w:val="none"/>
            </w:tcBorders>
            <w:shd w:fill="F4F8FC" w:val="clear"/>
            <w:tcMar>
              <w:top w:type="dxa" w:w="60"/>
              <w:left w:type="dxa" w:w="120"/>
              <w:bottom w:type="dxa" w:w="60"/>
              <w:right w:type="dxa" w:w="120"/>
            </w:tcMar>
          </w:tcPr>
          <w:p>
            <w:r>
              <w:rPr>
                <w:rFonts w:ascii="Calibri" w:eastAsia="Microsoft YaHei"/>
                <w:color w:val="1A2B40"/>
                <w:sz w:val="20"/>
                <w:szCs w:val="20"/>
              </w:rPr>
              <w:t xml:space="preserve">RLS on all tables</w:t>
            </w:r>
          </w:p>
        </w:tc>
        <w:tc>
          <w:tcPr>
            <w:tcW w:type="pct" w:w="30%"/>
            <w:tcBorders>
              <w:top w:val="none"/>
              <w:left w:val="none"/>
              <w:bottom w:val="single" w:color="D0D8E0" w:sz="1"/>
              <w:right w:val="none"/>
            </w:tcBorders>
            <w:shd w:fill="F4F8FC" w:val="clear"/>
            <w:tcMar>
              <w:top w:type="dxa" w:w="60"/>
              <w:left w:type="dxa" w:w="120"/>
              <w:bottom w:type="dxa" w:w="60"/>
              <w:right w:type="dxa" w:w="120"/>
            </w:tcMar>
          </w:tcPr>
          <w:p>
            <w:r>
              <w:rPr>
                <w:rFonts w:ascii="Calibri" w:eastAsia="Microsoft YaHei"/>
                <w:color w:val="1A2B40"/>
                <w:sz w:val="20"/>
                <w:szCs w:val="20"/>
              </w:rPr>
              <w:t xml:space="preserve">All docs</w:t>
            </w:r>
          </w:p>
        </w:tc>
        <w:tc>
          <w:tcPr>
            <w:tcW w:type="pct" w:w="30%"/>
            <w:tcBorders>
              <w:top w:val="none"/>
              <w:left w:val="none"/>
              <w:bottom w:val="single" w:color="D0D8E0" w:sz="1"/>
              <w:right w:val="none"/>
            </w:tcBorders>
            <w:shd w:fill="F4F8FC" w:val="clear"/>
            <w:tcMar>
              <w:top w:type="dxa" w:w="60"/>
              <w:left w:type="dxa" w:w="120"/>
              <w:bottom w:type="dxa" w:w="60"/>
              <w:right w:type="dxa" w:w="120"/>
            </w:tcMar>
          </w:tcPr>
          <w:p>
            <w:r>
              <w:rPr>
                <w:rFonts w:ascii="Calibri" w:eastAsia="Microsoft YaHei"/>
                <w:color w:val="1A2B40"/>
                <w:sz w:val="20"/>
                <w:szCs w:val="20"/>
              </w:rPr>
              <w:t xml:space="preserve">Missing on 4 tables</w:t>
            </w:r>
          </w:p>
        </w:tc>
        <w:tc>
          <w:tcPr>
            <w:tcW w:type="pct" w:w="30%"/>
            <w:tcBorders>
              <w:top w:val="none"/>
              <w:left w:val="none"/>
              <w:bottom w:val="single" w:color="D0D8E0" w:sz="1"/>
              <w:right w:val="none"/>
            </w:tcBorders>
            <w:shd w:fill="F4F8FC" w:val="clear"/>
            <w:tcMar>
              <w:top w:type="dxa" w:w="60"/>
              <w:left w:type="dxa" w:w="120"/>
              <w:bottom w:type="dxa" w:w="60"/>
              <w:right w:type="dxa" w:w="120"/>
            </w:tcMar>
          </w:tcPr>
          <w:p>
            <w:r>
              <w:rPr>
                <w:rFonts w:ascii="Calibri" w:eastAsia="Microsoft YaHei"/>
                <w:color w:val="1A2B40"/>
                <w:sz w:val="20"/>
                <w:szCs w:val="20"/>
              </w:rPr>
              <w:t xml:space="preserve">No</w:t>
            </w:r>
          </w:p>
        </w:tc>
      </w:tr>
      <w:tr>
        <w:tc>
          <w:tcPr>
            <w:tcW w:type="pct" w:w="10%"/>
            <w:tcBorders>
              <w:top w:val="none"/>
              <w:left w:val="none"/>
              <w:bottom w:val="single" w:color="D0D8E0" w:sz="1"/>
              <w:right w:val="none"/>
            </w:tcBorders>
            <w:shd w:fill="FFFFFF" w:val="clear"/>
            <w:tcMar>
              <w:top w:type="dxa" w:w="60"/>
              <w:left w:type="dxa" w:w="120"/>
              <w:bottom w:type="dxa" w:w="60"/>
              <w:right w:type="dxa" w:w="120"/>
            </w:tcMar>
          </w:tcPr>
          <w:p>
            <w:r>
              <w:rPr>
                <w:rFonts w:ascii="Calibri" w:eastAsia="Microsoft YaHei"/>
                <w:color w:val="1A2B40"/>
                <w:sz w:val="20"/>
                <w:szCs w:val="20"/>
              </w:rPr>
              <w:t xml:space="preserve">100% security score</w:t>
            </w:r>
          </w:p>
        </w:tc>
        <w:tc>
          <w:tcPr>
            <w:tcW w:type="pct" w:w="30%"/>
            <w:tcBorders>
              <w:top w:val="none"/>
              <w:left w:val="none"/>
              <w:bottom w:val="single" w:color="D0D8E0" w:sz="1"/>
              <w:right w:val="none"/>
            </w:tcBorders>
            <w:shd w:fill="FFFFFF" w:val="clear"/>
            <w:tcMar>
              <w:top w:type="dxa" w:w="60"/>
              <w:left w:type="dxa" w:w="120"/>
              <w:bottom w:type="dxa" w:w="60"/>
              <w:right w:type="dxa" w:w="120"/>
            </w:tcMar>
          </w:tcPr>
          <w:p>
            <w:r>
              <w:rPr>
                <w:rFonts w:ascii="Calibri" w:eastAsia="Microsoft YaHei"/>
                <w:color w:val="1A2B40"/>
                <w:sz w:val="20"/>
                <w:szCs w:val="20"/>
              </w:rPr>
              <w:t xml:space="preserve">All docs</w:t>
            </w:r>
          </w:p>
        </w:tc>
        <w:tc>
          <w:tcPr>
            <w:tcW w:type="pct" w:w="30%"/>
            <w:tcBorders>
              <w:top w:val="none"/>
              <w:left w:val="none"/>
              <w:bottom w:val="single" w:color="D0D8E0" w:sz="1"/>
              <w:right w:val="none"/>
            </w:tcBorders>
            <w:shd w:fill="FFFFFF" w:val="clear"/>
            <w:tcMar>
              <w:top w:type="dxa" w:w="60"/>
              <w:left w:type="dxa" w:w="120"/>
              <w:bottom w:type="dxa" w:w="60"/>
              <w:right w:type="dxa" w:w="120"/>
            </w:tcMar>
          </w:tcPr>
          <w:p>
            <w:r>
              <w:rPr>
                <w:rFonts w:ascii="Calibri" w:eastAsia="Microsoft YaHei"/>
                <w:color w:val="1A2B40"/>
                <w:sz w:val="20"/>
                <w:szCs w:val="20"/>
              </w:rPr>
              <w:t xml:space="preserve">CSP report-only, SEC-004/005 open</w:t>
            </w:r>
          </w:p>
        </w:tc>
        <w:tc>
          <w:tcPr>
            <w:tcW w:type="pct" w:w="30%"/>
            <w:tcBorders>
              <w:top w:val="none"/>
              <w:left w:val="none"/>
              <w:bottom w:val="single" w:color="D0D8E0" w:sz="1"/>
              <w:right w:val="none"/>
            </w:tcBorders>
            <w:shd w:fill="FFFFFF" w:val="clear"/>
            <w:tcMar>
              <w:top w:type="dxa" w:w="60"/>
              <w:left w:type="dxa" w:w="120"/>
              <w:bottom w:type="dxa" w:w="60"/>
              <w:right w:type="dxa" w:w="120"/>
            </w:tcMar>
          </w:tcPr>
          <w:p>
            <w:r>
              <w:rPr>
                <w:rFonts w:ascii="Calibri" w:eastAsia="Microsoft YaHei"/>
                <w:color w:val="1A2B40"/>
                <w:sz w:val="20"/>
                <w:szCs w:val="20"/>
              </w:rPr>
              <w:t xml:space="preserve">Overstated</w:t>
            </w:r>
          </w:p>
        </w:tc>
      </w:tr>
      <w:tr>
        <w:tc>
          <w:tcPr>
            <w:tcW w:type="pct" w:w="10%"/>
            <w:tcBorders>
              <w:top w:val="none"/>
              <w:left w:val="none"/>
              <w:bottom w:val="single" w:color="D0D8E0" w:sz="1"/>
              <w:right w:val="none"/>
            </w:tcBorders>
            <w:shd w:fill="F4F8FC" w:val="clear"/>
            <w:tcMar>
              <w:top w:type="dxa" w:w="60"/>
              <w:left w:type="dxa" w:w="120"/>
              <w:bottom w:type="dxa" w:w="60"/>
              <w:right w:type="dxa" w:w="120"/>
            </w:tcMar>
          </w:tcPr>
          <w:p>
            <w:r>
              <w:rPr>
                <w:rFonts w:ascii="Calibri" w:eastAsia="Microsoft YaHei"/>
                <w:color w:val="1A2B40"/>
                <w:sz w:val="20"/>
                <w:szCs w:val="20"/>
              </w:rPr>
              <w:t xml:space="preserve">app.current_org_id + app.current_user_id</w:t>
            </w:r>
          </w:p>
        </w:tc>
        <w:tc>
          <w:tcPr>
            <w:tcW w:type="pct" w:w="30%"/>
            <w:tcBorders>
              <w:top w:val="none"/>
              <w:left w:val="none"/>
              <w:bottom w:val="single" w:color="D0D8E0" w:sz="1"/>
              <w:right w:val="none"/>
            </w:tcBorders>
            <w:shd w:fill="F4F8FC" w:val="clear"/>
            <w:tcMar>
              <w:top w:type="dxa" w:w="60"/>
              <w:left w:type="dxa" w:w="120"/>
              <w:bottom w:type="dxa" w:w="60"/>
              <w:right w:type="dxa" w:w="120"/>
            </w:tcMar>
          </w:tcPr>
          <w:p>
            <w:r>
              <w:rPr>
                <w:rFonts w:ascii="Calibri" w:eastAsia="Microsoft YaHei"/>
                <w:color w:val="1A2B40"/>
                <w:sz w:val="20"/>
                <w:szCs w:val="20"/>
              </w:rPr>
              <w:t xml:space="preserve">PAD</w:t>
            </w:r>
          </w:p>
        </w:tc>
        <w:tc>
          <w:tcPr>
            <w:tcW w:type="pct" w:w="30%"/>
            <w:tcBorders>
              <w:top w:val="none"/>
              <w:left w:val="none"/>
              <w:bottom w:val="single" w:color="D0D8E0" w:sz="1"/>
              <w:right w:val="none"/>
            </w:tcBorders>
            <w:shd w:fill="F4F8FC" w:val="clear"/>
            <w:tcMar>
              <w:top w:type="dxa" w:w="60"/>
              <w:left w:type="dxa" w:w="120"/>
              <w:bottom w:type="dxa" w:w="60"/>
              <w:right w:type="dxa" w:w="120"/>
            </w:tcMar>
          </w:tcPr>
          <w:p>
            <w:r>
              <w:rPr>
                <w:rFonts w:ascii="Calibri" w:eastAsia="Microsoft YaHei"/>
                <w:color w:val="1A2B40"/>
                <w:sz w:val="20"/>
                <w:szCs w:val="20"/>
              </w:rPr>
              <w:t xml:space="preserve">Confirmed in code</w:t>
            </w:r>
          </w:p>
        </w:tc>
        <w:tc>
          <w:tcPr>
            <w:tcW w:type="pct" w:w="30%"/>
            <w:tcBorders>
              <w:top w:val="none"/>
              <w:left w:val="none"/>
              <w:bottom w:val="single" w:color="D0D8E0" w:sz="1"/>
              <w:right w:val="none"/>
            </w:tcBorders>
            <w:shd w:fill="F4F8FC" w:val="clear"/>
            <w:tcMar>
              <w:top w:type="dxa" w:w="60"/>
              <w:left w:type="dxa" w:w="120"/>
              <w:bottom w:type="dxa" w:w="60"/>
              <w:right w:type="dxa" w:w="120"/>
            </w:tcMar>
          </w:tcPr>
          <w:p>
            <w:r>
              <w:rPr>
                <w:rFonts w:ascii="Calibri" w:eastAsia="Microsoft YaHei"/>
                <w:color w:val="1A2B40"/>
                <w:sz w:val="20"/>
                <w:szCs w:val="20"/>
              </w:rPr>
              <w:t xml:space="preserve">Yes</w:t>
            </w:r>
          </w:p>
        </w:tc>
      </w:tr>
      <w:tr>
        <w:tc>
          <w:tcPr>
            <w:tcW w:type="pct" w:w="10%"/>
            <w:tcBorders>
              <w:top w:val="none"/>
              <w:left w:val="none"/>
              <w:bottom w:val="single" w:color="D0D8E0" w:sz="1"/>
              <w:right w:val="none"/>
            </w:tcBorders>
            <w:shd w:fill="FFFFFF" w:val="clear"/>
            <w:tcMar>
              <w:top w:type="dxa" w:w="60"/>
              <w:left w:type="dxa" w:w="120"/>
              <w:bottom w:type="dxa" w:w="60"/>
              <w:right w:type="dxa" w:w="120"/>
            </w:tcMar>
          </w:tcPr>
          <w:p>
            <w:r>
              <w:rPr>
                <w:rFonts w:ascii="Calibri" w:eastAsia="Microsoft YaHei"/>
                <w:color w:val="1A2B40"/>
                <w:sz w:val="20"/>
                <w:szCs w:val="20"/>
              </w:rPr>
              <w:t xml:space="preserve">9 list views return {results, count}</w:t>
            </w:r>
          </w:p>
        </w:tc>
        <w:tc>
          <w:tcPr>
            <w:tcW w:type="pct" w:w="30%"/>
            <w:tcBorders>
              <w:top w:val="none"/>
              <w:left w:val="none"/>
              <w:bottom w:val="single" w:color="D0D8E0" w:sz="1"/>
              <w:right w:val="none"/>
            </w:tcBorders>
            <w:shd w:fill="FFFFFF" w:val="clear"/>
            <w:tcMar>
              <w:top w:type="dxa" w:w="60"/>
              <w:left w:type="dxa" w:w="120"/>
              <w:bottom w:type="dxa" w:w="60"/>
              <w:right w:type="dxa" w:w="120"/>
            </w:tcMar>
          </w:tcPr>
          <w:p>
            <w:r>
              <w:rPr>
                <w:rFonts w:ascii="Calibri" w:eastAsia="Microsoft YaHei"/>
                <w:color w:val="1A2B40"/>
                <w:sz w:val="20"/>
                <w:szCs w:val="20"/>
              </w:rPr>
              <w:t xml:space="preserve">API Guide</w:t>
            </w:r>
          </w:p>
        </w:tc>
        <w:tc>
          <w:tcPr>
            <w:tcW w:type="pct" w:w="30%"/>
            <w:tcBorders>
              <w:top w:val="none"/>
              <w:left w:val="none"/>
              <w:bottom w:val="single" w:color="D0D8E0" w:sz="1"/>
              <w:right w:val="none"/>
            </w:tcBorders>
            <w:shd w:fill="FFFFFF" w:val="clear"/>
            <w:tcMar>
              <w:top w:type="dxa" w:w="60"/>
              <w:left w:type="dxa" w:w="120"/>
              <w:bottom w:type="dxa" w:w="60"/>
              <w:right w:type="dxa" w:w="120"/>
            </w:tcMar>
          </w:tcPr>
          <w:p>
            <w:r>
              <w:rPr>
                <w:rFonts w:ascii="Calibri" w:eastAsia="Microsoft YaHei"/>
                <w:color w:val="1A2B40"/>
                <w:sz w:val="20"/>
                <w:szCs w:val="20"/>
              </w:rPr>
              <w:t xml:space="preserve">13+ views return format</w:t>
            </w:r>
          </w:p>
        </w:tc>
        <w:tc>
          <w:tcPr>
            <w:tcW w:type="pct" w:w="30%"/>
            <w:tcBorders>
              <w:top w:val="none"/>
              <w:left w:val="none"/>
              <w:bottom w:val="single" w:color="D0D8E0" w:sz="1"/>
              <w:right w:val="none"/>
            </w:tcBorders>
            <w:shd w:fill="FFFFFF" w:val="clear"/>
            <w:tcMar>
              <w:top w:type="dxa" w:w="60"/>
              <w:left w:type="dxa" w:w="120"/>
              <w:bottom w:type="dxa" w:w="60"/>
              <w:right w:type="dxa" w:w="120"/>
            </w:tcMar>
          </w:tcPr>
          <w:p>
            <w:r>
              <w:rPr>
                <w:rFonts w:ascii="Calibri" w:eastAsia="Microsoft YaHei"/>
                <w:color w:val="1A2B40"/>
                <w:sz w:val="20"/>
                <w:szCs w:val="20"/>
              </w:rPr>
              <w:t xml:space="preserve">Understated</w:t>
            </w:r>
          </w:p>
        </w:tc>
      </w:tr>
    </w:tbl>
    <w:p>
      <w:pPr>
        <w:pStyle w:val="Heading2"/>
        <w:spacing w:after="100" w:before="280"/>
      </w:pPr>
      <w:bookmarkStart w:id="100027" w:name="_Toc100027"/>
      <w:r>
        <w:rPr>
          <w:rFonts w:ascii="Calibri" w:eastAsia="SimHei"/>
          <w:b/>
          <w:bCs/>
          <w:color w:val="0A1628"/>
          <w:sz w:val="28"/>
          <w:szCs w:val="28"/>
        </w:rPr>
        <w:t xml:space="preserve">6.2 Key Discrepancies</w:t>
      </w:r>
      <w:bookmarkEnd w:id="100027"/>
    </w:p>
    <w:p>
      <w:pPr>
        <w:spacing w:after="80" w:line="312"/>
        <w:jc w:val="both"/>
      </w:pPr>
      <w:r>
        <w:rPr>
          <w:rFonts w:ascii="Calibri" w:eastAsia="Microsoft YaHei"/>
          <w:b/>
          <w:bCs/>
          <w:color w:val="1A2B40"/>
          <w:sz w:val="22"/>
          <w:szCs w:val="22"/>
        </w:rPr>
        <w:t xml:space="preserve">Endpoint Count: </w:t>
      </w:r>
      <w:r>
        <w:rPr>
          <w:rFonts w:ascii="Calibri" w:eastAsia="Microsoft YaHei"/>
          <w:color w:val="1A2B40"/>
          <w:sz w:val="22"/>
          <w:szCs w:val="22"/>
        </w:rPr>
        <w:t xml:space="preserve">Three different numbers (94, 87, 83) are cited across the documentation files, but the actual count of unique resolvable API paths is 82. This suggests the counts were not updated after endpoint refactoring, or were estimated rather than counted. All documentation files should be updated to reflect the accurate count.</w:t>
      </w:r>
    </w:p>
    <w:p>
      <w:pPr>
        <w:spacing w:after="80" w:line="312"/>
        <w:jc w:val="both"/>
      </w:pPr>
      <w:r>
        <w:rPr>
          <w:rFonts w:ascii="Calibri" w:eastAsia="Microsoft YaHei"/>
          <w:b/>
          <w:bCs/>
          <w:color w:val="1A2B40"/>
          <w:sz w:val="22"/>
          <w:szCs w:val="22"/>
        </w:rPr>
        <w:t xml:space="preserve">Model Count: </w:t>
      </w:r>
      <w:r>
        <w:rPr>
          <w:rFonts w:ascii="Calibri" w:eastAsia="Microsoft YaHei"/>
          <w:color w:val="1A2B40"/>
          <w:sz w:val="22"/>
          <w:szCs w:val="22"/>
        </w:rPr>
        <w:t xml:space="preserve">The documentation claims 22 Django models, but the actual codebase contains 27 model classes (25 in apps/core/models/ plus 2 in apps/peppol/models.py). The discrepancy likely arose from models being added without updating the documentation, and from the fact that many models were consolidated into core/models/ rather than remaining in their respective app directories.</w:t>
      </w:r>
    </w:p>
    <w:p>
      <w:pPr>
        <w:spacing w:after="80" w:line="312"/>
        <w:jc w:val="both"/>
      </w:pPr>
      <w:r>
        <w:rPr>
          <w:rFonts w:ascii="Calibri" w:eastAsia="Microsoft YaHei"/>
          <w:b/>
          <w:bCs/>
          <w:color w:val="1A2B40"/>
          <w:sz w:val="22"/>
          <w:szCs w:val="22"/>
        </w:rPr>
        <w:t xml:space="preserve">Version Numbers: </w:t>
      </w:r>
      <w:r>
        <w:rPr>
          <w:rFonts w:ascii="Calibri" w:eastAsia="Microsoft YaHei"/>
          <w:color w:val="1A2B40"/>
          <w:sz w:val="22"/>
          <w:szCs w:val="22"/>
        </w:rPr>
        <w:t xml:space="preserve">CLAUDE.md and GEMINI.md list the backend version as v0.3.4, while README.md and AGENTS.md list it as v0.3.3. This inconsistency suggests the version was bumped in some files but not others. A single source of truth for version numbers should be established.</w:t>
      </w:r>
    </w:p>
    <w:p>
      <w:pPr>
        <w:spacing w:after="80" w:line="312"/>
        <w:jc w:val="both"/>
      </w:pPr>
      <w:r>
        <w:rPr>
          <w:rFonts w:ascii="Calibri" w:eastAsia="Microsoft YaHei"/>
          <w:b/>
          <w:bCs/>
          <w:color w:val="1A2B40"/>
          <w:sz w:val="22"/>
          <w:szCs w:val="22"/>
        </w:rPr>
        <w:t xml:space="preserve">Table Count: </w:t>
      </w:r>
      <w:r>
        <w:rPr>
          <w:rFonts w:ascii="Calibri" w:eastAsia="Microsoft YaHei"/>
          <w:color w:val="1A2B40"/>
          <w:sz w:val="22"/>
          <w:szCs w:val="22"/>
        </w:rPr>
        <w:t xml:space="preserve">AGENTS.md claims 28 tables, while other docs claim 30. The actual count from database_schema.sql is 29 tables. The table count also contradicts itself between documentation files, indicating that no authoritative count was established.</w:t>
      </w:r>
    </w:p>
    <w:p>
      <w:pPr>
        <w:pStyle w:val="Heading1"/>
        <w:spacing w:after="120" w:before="360"/>
      </w:pPr>
      <w:bookmarkStart w:id="100028" w:name="_Toc100028"/>
      <w:r>
        <w:rPr>
          <w:rFonts w:ascii="Calibri" w:eastAsia="SimHei"/>
          <w:b/>
          <w:bCs/>
          <w:color w:val="0A1628"/>
          <w:sz w:val="32"/>
          <w:szCs w:val="32"/>
        </w:rPr>
        <w:t xml:space="preserve">7. Architectural Strengths</w:t>
      </w:r>
      <w:bookmarkEnd w:id="100028"/>
    </w:p>
    <w:p>
      <w:pPr>
        <w:spacing w:after="80" w:line="312"/>
        <w:jc w:val="both"/>
      </w:pPr>
      <w:r>
        <w:rPr>
          <w:rFonts w:ascii="Calibri" w:eastAsia="Microsoft YaHei"/>
          <w:color w:val="1A2B40"/>
          <w:sz w:val="22"/>
          <w:szCs w:val="22"/>
        </w:rPr>
        <w:t xml:space="preserve">Despite the issues identified, the LedgerSG project demonstrates several significant architectural strengths that provide a solid foundation for remediation and continued development.</w:t>
      </w:r>
    </w:p>
    <w:p>
      <w:pPr>
        <w:pStyle w:val="Heading2"/>
        <w:spacing w:after="100" w:before="280"/>
      </w:pPr>
      <w:bookmarkStart w:id="100029" w:name="_Toc100029"/>
      <w:r>
        <w:rPr>
          <w:rFonts w:ascii="Calibri" w:eastAsia="SimHei"/>
          <w:b/>
          <w:bCs/>
          <w:color w:val="0A1628"/>
          <w:sz w:val="28"/>
          <w:szCs w:val="28"/>
        </w:rPr>
        <w:t xml:space="preserve">7.1 Consistent Service Layer Pattern</w:t>
      </w:r>
      <w:bookmarkEnd w:id="100029"/>
    </w:p>
    <w:p>
      <w:pPr>
        <w:spacing w:after="80" w:line="312"/>
        <w:jc w:val="both"/>
      </w:pPr>
      <w:r>
        <w:rPr>
          <w:rFonts w:ascii="Calibri" w:eastAsia="Microsoft YaHei"/>
          <w:color w:val="1A2B40"/>
          <w:sz w:val="22"/>
          <w:szCs w:val="22"/>
        </w:rPr>
        <w:t xml:space="preserve">With the exception of approximately 5 views, the Service Layer Pattern is consistently followed across all backend modules. Views act as thin controllers that deserialize input, delegate to service methods, and serialize output. Business logic is properly encapsulated in service classes, making the code testable and maintainable. This is a commendable architectural discipline that should be preserved and extended to the few remaining violators.</w:t>
      </w:r>
    </w:p>
    <w:p>
      <w:pPr>
        <w:pStyle w:val="Heading2"/>
        <w:spacing w:after="100" w:before="280"/>
      </w:pPr>
      <w:bookmarkStart w:id="100030" w:name="_Toc100030"/>
      <w:r>
        <w:rPr>
          <w:rFonts w:ascii="Calibri" w:eastAsia="SimHei"/>
          <w:b/>
          <w:bCs/>
          <w:color w:val="0A1628"/>
          <w:sz w:val="28"/>
          <w:szCs w:val="28"/>
        </w:rPr>
        <w:t xml:space="preserve">7.2 SQL-First Design with Unmanaged Models</w:t>
      </w:r>
      <w:bookmarkEnd w:id="100030"/>
    </w:p>
    <w:p>
      <w:pPr>
        <w:spacing w:after="80" w:line="312"/>
        <w:jc w:val="both"/>
      </w:pPr>
      <w:r>
        <w:rPr>
          <w:rFonts w:ascii="Calibri" w:eastAsia="Microsoft YaHei"/>
          <w:color w:val="1A2B40"/>
          <w:sz w:val="22"/>
          <w:szCs w:val="22"/>
        </w:rPr>
        <w:t xml:space="preserve">The SQL-First approach with managed = False on all Django models is consistently implemented. The database_schema.sql file serves as the true source of truth, and the codebase correctly avoids Django migrations. The NUMERIC(10,4) precision for all monetary values is enforced at the database level, and the money() utility is used consistently for currency operations with no instances of float arithmetic found. The journal.validate_balance() trigger is correctly implemented as a deferred constraint, ensuring double-entry integrity at the database level.</w:t>
      </w:r>
    </w:p>
    <w:p>
      <w:pPr>
        <w:pStyle w:val="Heading2"/>
        <w:spacing w:after="100" w:before="280"/>
      </w:pPr>
      <w:bookmarkStart w:id="100031" w:name="_Toc100031"/>
      <w:r>
        <w:rPr>
          <w:rFonts w:ascii="Calibri" w:eastAsia="SimHei"/>
          <w:b/>
          <w:bCs/>
          <w:color w:val="0A1628"/>
          <w:sz w:val="28"/>
          <w:szCs w:val="28"/>
        </w:rPr>
        <w:t xml:space="preserve">7.3 Defense-in-Depth Authentication</w:t>
      </w:r>
      <w:bookmarkEnd w:id="100031"/>
    </w:p>
    <w:p>
      <w:pPr>
        <w:spacing w:after="80" w:line="312"/>
        <w:jc w:val="both"/>
      </w:pPr>
      <w:r>
        <w:rPr>
          <w:rFonts w:ascii="Calibri" w:eastAsia="Microsoft YaHei"/>
          <w:color w:val="1A2B40"/>
          <w:sz w:val="22"/>
          <w:szCs w:val="22"/>
        </w:rPr>
        <w:t xml:space="preserve">The three-layer authentication architecture (AuthProvider, DashboardLayout Guard, Backend JWT) is well-designed and properly implemented. The CORSJWTAuthentication class correctly handles the CORS preflight problem by skipping OPTIONS requests. The JWT strategy with 15-minute access tokens and 7-day refresh tokens in HttpOnly cookies is appropriate for the security requirements. The implementation of CSP headers (even in report-only mode) and rate limiting demonstrates security consciousness.</w:t>
      </w:r>
    </w:p>
    <w:p>
      <w:pPr>
        <w:pStyle w:val="Heading2"/>
        <w:spacing w:after="100" w:before="280"/>
      </w:pPr>
      <w:bookmarkStart w:id="100032" w:name="_Toc100032"/>
      <w:r>
        <w:rPr>
          <w:rFonts w:ascii="Calibri" w:eastAsia="SimHei"/>
          <w:b/>
          <w:bCs/>
          <w:color w:val="0A1628"/>
          <w:sz w:val="28"/>
          <w:szCs w:val="28"/>
        </w:rPr>
        <w:t xml:space="preserve">7.4 Comprehensive RLS Implementation</w:t>
      </w:r>
      <w:bookmarkEnd w:id="100032"/>
    </w:p>
    <w:p>
      <w:pPr>
        <w:spacing w:after="80" w:line="312"/>
        <w:jc w:val="both"/>
      </w:pPr>
      <w:r>
        <w:rPr>
          <w:rFonts w:ascii="Calibri" w:eastAsia="Microsoft YaHei"/>
          <w:color w:val="1A2B40"/>
          <w:sz w:val="22"/>
          <w:szCs w:val="22"/>
        </w:rPr>
        <w:t xml:space="preserve">Row-Level Security is enforced on the vast majority of tables (25 of 29), which is a strong foundation. The TenantContextMiddleware correctly sets PostgreSQL session variables using SET LOCAL within the request transaction. The RLS policies follow a consistent pattern (tenant_isolation with org_id = core.current_org_id()), making them easy to understand and audit. The few missing RLS policies identified in this audit can be added straightforwardly.</w:t>
      </w:r>
    </w:p>
    <w:p>
      <w:pPr>
        <w:pStyle w:val="Heading2"/>
        <w:spacing w:after="100" w:before="280"/>
      </w:pPr>
      <w:bookmarkStart w:id="100033" w:name="_Toc100033"/>
      <w:r>
        <w:rPr>
          <w:rFonts w:ascii="Calibri" w:eastAsia="SimHei"/>
          <w:b/>
          <w:bCs/>
          <w:color w:val="0A1628"/>
          <w:sz w:val="28"/>
          <w:szCs w:val="28"/>
        </w:rPr>
        <w:t xml:space="preserve">7.5 Test Infrastructure</w:t>
      </w:r>
      <w:bookmarkEnd w:id="100033"/>
    </w:p>
    <w:p>
      <w:pPr>
        <w:spacing w:after="80" w:line="312"/>
        <w:jc w:val="both"/>
      </w:pPr>
      <w:r>
        <w:rPr>
          <w:rFonts w:ascii="Calibri" w:eastAsia="Microsoft YaHei"/>
          <w:color w:val="1A2B40"/>
          <w:sz w:val="22"/>
          <w:szCs w:val="22"/>
        </w:rPr>
        <w:t xml:space="preserve">The project has a substantial test infrastructure with 700+ tests across frontend and backend. The TDD methodology (RED-GREEN-REFACTOR) is documented and followed for new features. The pytest configuration with --reuse-db --no-migrations correctly handles the unmanaged model constraint. The frontend test suite uses Vitest with React Testing Library and correctly uses userEvent.setup() for Radix UI component testing.</w:t>
      </w:r>
    </w:p>
    <w:p>
      <w:pPr>
        <w:pStyle w:val="Heading1"/>
        <w:spacing w:after="120" w:before="360"/>
      </w:pPr>
      <w:bookmarkStart w:id="100034" w:name="_Toc100034"/>
      <w:r>
        <w:rPr>
          <w:rFonts w:ascii="Calibri" w:eastAsia="SimHei"/>
          <w:b/>
          <w:bCs/>
          <w:color w:val="0A1628"/>
          <w:sz w:val="32"/>
          <w:szCs w:val="32"/>
        </w:rPr>
        <w:t xml:space="preserve">8. Prioritized Remediation Plan</w:t>
      </w:r>
      <w:bookmarkEnd w:id="100034"/>
    </w:p>
    <w:p>
      <w:pPr>
        <w:spacing w:after="80" w:line="312"/>
        <w:jc w:val="both"/>
      </w:pPr>
      <w:r>
        <w:rPr>
          <w:rFonts w:ascii="Calibri" w:eastAsia="Microsoft YaHei"/>
          <w:color w:val="1A2B40"/>
          <w:sz w:val="22"/>
          <w:szCs w:val="22"/>
        </w:rPr>
        <w:t xml:space="preserve">The following remediation plan is organized into three phases based on urgency and dependency. Each phase should be completed and verified before moving to the next.</w:t>
      </w:r>
    </w:p>
    <w:p>
      <w:pPr>
        <w:pStyle w:val="Heading2"/>
        <w:spacing w:after="100" w:before="280"/>
      </w:pPr>
      <w:bookmarkStart w:id="100035" w:name="_Toc100035"/>
      <w:r>
        <w:rPr>
          <w:rFonts w:ascii="Calibri" w:eastAsia="SimHei"/>
          <w:b/>
          <w:bCs/>
          <w:color w:val="0A1628"/>
          <w:sz w:val="28"/>
          <w:szCs w:val="28"/>
        </w:rPr>
        <w:t xml:space="preserve">8.1 Phase 1: Critical Fixes (Immediate, 1-3 Days)</w:t>
      </w:r>
      <w:bookmarkEnd w:id="100035"/>
    </w:p>
    <w:p>
      <w:pPr>
        <w:spacing w:after="80" w:line="312"/>
        <w:jc w:val="both"/>
      </w:pPr>
      <w:r>
        <w:rPr>
          <w:rFonts w:ascii="Calibri" w:eastAsia="Microsoft YaHei"/>
          <w:color w:val="1A2B40"/>
          <w:sz w:val="22"/>
          <w:szCs w:val="22"/>
        </w:rPr>
        <w:t xml:space="preserve">These fixes address data integrity, security, and financial accuracy issues that could cause immediate harm in production.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0%"/>
            <w:tcBorders>
              <w:top w:val="single" w:color="D4875A" w:sz="2"/>
              <w:left w:val="none"/>
              <w:bottom w:val="single" w:color="D4875A" w:sz="2"/>
              <w:right w:val="none"/>
            </w:tcBorders>
            <w:shd w:fill="1A2330" w:val="clear"/>
            <w:tcMar>
              <w:top w:type="dxa" w:w="60"/>
              <w:left w:type="dxa" w:w="120"/>
              <w:bottom w:type="dxa" w:w="60"/>
              <w:right w:type="dxa" w:w="120"/>
            </w:tcMar>
          </w:tcPr>
          <w:p>
            <w:r>
              <w:rPr>
                <w:rFonts w:ascii="Calibri" w:eastAsia="Microsoft YaHei"/>
                <w:b/>
                <w:bCs/>
                <w:color w:val="FFFFFF"/>
                <w:sz w:val="20"/>
                <w:szCs w:val="20"/>
              </w:rPr>
              <w:t xml:space="preserve">ID</w:t>
            </w:r>
          </w:p>
        </w:tc>
        <w:tc>
          <w:tcPr>
            <w:tcW w:type="pct" w:w="30%"/>
            <w:tcBorders>
              <w:top w:val="single" w:color="D4875A" w:sz="2"/>
              <w:left w:val="none"/>
              <w:bottom w:val="single" w:color="D4875A" w:sz="2"/>
              <w:right w:val="none"/>
            </w:tcBorders>
            <w:shd w:fill="1A2330" w:val="clear"/>
            <w:tcMar>
              <w:top w:type="dxa" w:w="60"/>
              <w:left w:type="dxa" w:w="120"/>
              <w:bottom w:type="dxa" w:w="60"/>
              <w:right w:type="dxa" w:w="120"/>
            </w:tcMar>
          </w:tcPr>
          <w:p>
            <w:r>
              <w:rPr>
                <w:rFonts w:ascii="Calibri" w:eastAsia="Microsoft YaHei"/>
                <w:b/>
                <w:bCs/>
                <w:color w:val="FFFFFF"/>
                <w:sz w:val="20"/>
                <w:szCs w:val="20"/>
              </w:rPr>
              <w:t xml:space="preserve">Issue</w:t>
            </w:r>
          </w:p>
        </w:tc>
        <w:tc>
          <w:tcPr>
            <w:tcW w:type="pct" w:w="30%"/>
            <w:tcBorders>
              <w:top w:val="single" w:color="D4875A" w:sz="2"/>
              <w:left w:val="none"/>
              <w:bottom w:val="single" w:color="D4875A" w:sz="2"/>
              <w:right w:val="none"/>
            </w:tcBorders>
            <w:shd w:fill="1A2330" w:val="clear"/>
            <w:tcMar>
              <w:top w:type="dxa" w:w="60"/>
              <w:left w:type="dxa" w:w="120"/>
              <w:bottom w:type="dxa" w:w="60"/>
              <w:right w:type="dxa" w:w="120"/>
            </w:tcMar>
          </w:tcPr>
          <w:p>
            <w:r>
              <w:rPr>
                <w:rFonts w:ascii="Calibri" w:eastAsia="Microsoft YaHei"/>
                <w:b/>
                <w:bCs/>
                <w:color w:val="FFFFFF"/>
                <w:sz w:val="20"/>
                <w:szCs w:val="20"/>
              </w:rPr>
              <w:t xml:space="preserve">Fix</w:t>
            </w:r>
          </w:p>
        </w:tc>
        <w:tc>
          <w:tcPr>
            <w:tcW w:type="pct" w:w="30%"/>
            <w:tcBorders>
              <w:top w:val="single" w:color="D4875A" w:sz="2"/>
              <w:left w:val="none"/>
              <w:bottom w:val="single" w:color="D4875A" w:sz="2"/>
              <w:right w:val="none"/>
            </w:tcBorders>
            <w:shd w:fill="1A2330" w:val="clear"/>
            <w:tcMar>
              <w:top w:type="dxa" w:w="60"/>
              <w:left w:type="dxa" w:w="120"/>
              <w:bottom w:type="dxa" w:w="60"/>
              <w:right w:type="dxa" w:w="120"/>
            </w:tcMar>
          </w:tcPr>
          <w:p>
            <w:r>
              <w:rPr>
                <w:rFonts w:ascii="Calibri" w:eastAsia="Microsoft YaHei"/>
                <w:b/>
                <w:bCs/>
                <w:color w:val="FFFFFF"/>
                <w:sz w:val="20"/>
                <w:szCs w:val="20"/>
              </w:rPr>
              <w:t xml:space="preserve">Est. Effort</w:t>
            </w:r>
          </w:p>
        </w:tc>
      </w:tr>
      <w:tr>
        <w:tc>
          <w:tcPr>
            <w:tcW w:type="pct" w:w="10%"/>
            <w:tcBorders>
              <w:top w:val="none"/>
              <w:left w:val="none"/>
              <w:bottom w:val="single" w:color="D0D8E0" w:sz="1"/>
              <w:right w:val="none"/>
            </w:tcBorders>
            <w:shd w:fill="F4F8FC" w:val="clear"/>
            <w:tcMar>
              <w:top w:type="dxa" w:w="60"/>
              <w:left w:type="dxa" w:w="120"/>
              <w:bottom w:type="dxa" w:w="60"/>
              <w:right w:type="dxa" w:w="120"/>
            </w:tcMar>
          </w:tcPr>
          <w:p>
            <w:r>
              <w:rPr>
                <w:rFonts w:ascii="Calibri" w:eastAsia="Microsoft YaHei"/>
                <w:color w:val="1A2B40"/>
                <w:sz w:val="20"/>
                <w:szCs w:val="20"/>
              </w:rPr>
              <w:t xml:space="preserve">C-01</w:t>
            </w:r>
          </w:p>
        </w:tc>
        <w:tc>
          <w:tcPr>
            <w:tcW w:type="pct" w:w="30%"/>
            <w:tcBorders>
              <w:top w:val="none"/>
              <w:left w:val="none"/>
              <w:bottom w:val="single" w:color="D0D8E0" w:sz="1"/>
              <w:right w:val="none"/>
            </w:tcBorders>
            <w:shd w:fill="F4F8FC" w:val="clear"/>
            <w:tcMar>
              <w:top w:type="dxa" w:w="60"/>
              <w:left w:type="dxa" w:w="120"/>
              <w:bottom w:type="dxa" w:w="60"/>
              <w:right w:type="dxa" w:w="120"/>
            </w:tcMar>
          </w:tcPr>
          <w:p>
            <w:r>
              <w:rPr>
                <w:rFonts w:ascii="Calibri" w:eastAsia="Microsoft YaHei"/>
                <w:color w:val="1A2B40"/>
                <w:sz w:val="20"/>
                <w:szCs w:val="20"/>
              </w:rPr>
              <w:t xml:space="preserve">is_superadmin dead code</w:t>
            </w:r>
          </w:p>
        </w:tc>
        <w:tc>
          <w:tcPr>
            <w:tcW w:type="pct" w:w="30%"/>
            <w:tcBorders>
              <w:top w:val="none"/>
              <w:left w:val="none"/>
              <w:bottom w:val="single" w:color="D0D8E0" w:sz="1"/>
              <w:right w:val="none"/>
            </w:tcBorders>
            <w:shd w:fill="F4F8FC" w:val="clear"/>
            <w:tcMar>
              <w:top w:type="dxa" w:w="60"/>
              <w:left w:type="dxa" w:w="120"/>
              <w:bottom w:type="dxa" w:w="60"/>
              <w:right w:type="dxa" w:w="120"/>
            </w:tcMar>
          </w:tcPr>
          <w:p>
            <w:r>
              <w:rPr>
                <w:rFonts w:ascii="Calibri" w:eastAsia="Microsoft YaHei"/>
                <w:color w:val="1A2B40"/>
                <w:sz w:val="20"/>
                <w:szCs w:val="20"/>
              </w:rPr>
              <w:t xml:space="preserve">Replace with is_superuser</w:t>
            </w:r>
          </w:p>
        </w:tc>
        <w:tc>
          <w:tcPr>
            <w:tcW w:type="pct" w:w="30%"/>
            <w:tcBorders>
              <w:top w:val="none"/>
              <w:left w:val="none"/>
              <w:bottom w:val="single" w:color="D0D8E0" w:sz="1"/>
              <w:right w:val="none"/>
            </w:tcBorders>
            <w:shd w:fill="F4F8FC" w:val="clear"/>
            <w:tcMar>
              <w:top w:type="dxa" w:w="60"/>
              <w:left w:type="dxa" w:w="120"/>
              <w:bottom w:type="dxa" w:w="60"/>
              <w:right w:type="dxa" w:w="120"/>
            </w:tcMar>
          </w:tcPr>
          <w:p>
            <w:r>
              <w:rPr>
                <w:rFonts w:ascii="Calibri" w:eastAsia="Microsoft YaHei"/>
                <w:color w:val="1A2B40"/>
                <w:sz w:val="20"/>
                <w:szCs w:val="20"/>
              </w:rPr>
              <w:t xml:space="preserve">2 hours</w:t>
            </w:r>
          </w:p>
        </w:tc>
      </w:tr>
      <w:tr>
        <w:tc>
          <w:tcPr>
            <w:tcW w:type="pct" w:w="10%"/>
            <w:tcBorders>
              <w:top w:val="none"/>
              <w:left w:val="none"/>
              <w:bottom w:val="single" w:color="D0D8E0" w:sz="1"/>
              <w:right w:val="none"/>
            </w:tcBorders>
            <w:shd w:fill="FFFFFF" w:val="clear"/>
            <w:tcMar>
              <w:top w:type="dxa" w:w="60"/>
              <w:left w:type="dxa" w:w="120"/>
              <w:bottom w:type="dxa" w:w="60"/>
              <w:right w:type="dxa" w:w="120"/>
            </w:tcMar>
          </w:tcPr>
          <w:p>
            <w:r>
              <w:rPr>
                <w:rFonts w:ascii="Calibri" w:eastAsia="Microsoft YaHei"/>
                <w:color w:val="1A2B40"/>
                <w:sz w:val="20"/>
                <w:szCs w:val="20"/>
              </w:rPr>
              <w:t xml:space="preserve">C-02</w:t>
            </w:r>
          </w:p>
        </w:tc>
        <w:tc>
          <w:tcPr>
            <w:tcW w:type="pct" w:w="30%"/>
            <w:tcBorders>
              <w:top w:val="none"/>
              <w:left w:val="none"/>
              <w:bottom w:val="single" w:color="D0D8E0" w:sz="1"/>
              <w:right w:val="none"/>
            </w:tcBorders>
            <w:shd w:fill="FFFFFF" w:val="clear"/>
            <w:tcMar>
              <w:top w:type="dxa" w:w="60"/>
              <w:left w:type="dxa" w:w="120"/>
              <w:bottom w:type="dxa" w:w="60"/>
              <w:right w:type="dxa" w:w="120"/>
            </w:tcMar>
          </w:tcPr>
          <w:p>
            <w:r>
              <w:rPr>
                <w:rFonts w:ascii="Calibri" w:eastAsia="Microsoft YaHei"/>
                <w:color w:val="1A2B40"/>
                <w:sz w:val="20"/>
                <w:szCs w:val="20"/>
              </w:rPr>
              <w:t xml:space="preserve">Missing JWT blacklist</w:t>
            </w:r>
          </w:p>
        </w:tc>
        <w:tc>
          <w:tcPr>
            <w:tcW w:type="pct" w:w="30%"/>
            <w:tcBorders>
              <w:top w:val="none"/>
              <w:left w:val="none"/>
              <w:bottom w:val="single" w:color="D0D8E0" w:sz="1"/>
              <w:right w:val="none"/>
            </w:tcBorders>
            <w:shd w:fill="FFFFFF" w:val="clear"/>
            <w:tcMar>
              <w:top w:type="dxa" w:w="60"/>
              <w:left w:type="dxa" w:w="120"/>
              <w:bottom w:type="dxa" w:w="60"/>
              <w:right w:type="dxa" w:w="120"/>
            </w:tcMar>
          </w:tcPr>
          <w:p>
            <w:r>
              <w:rPr>
                <w:rFonts w:ascii="Calibri" w:eastAsia="Microsoft YaHei"/>
                <w:color w:val="1A2B40"/>
                <w:sz w:val="20"/>
                <w:szCs w:val="20"/>
              </w:rPr>
              <w:t xml:space="preserve">Add to INSTALLED_APPS + SQL</w:t>
            </w:r>
          </w:p>
        </w:tc>
        <w:tc>
          <w:tcPr>
            <w:tcW w:type="pct" w:w="30%"/>
            <w:tcBorders>
              <w:top w:val="none"/>
              <w:left w:val="none"/>
              <w:bottom w:val="single" w:color="D0D8E0" w:sz="1"/>
              <w:right w:val="none"/>
            </w:tcBorders>
            <w:shd w:fill="FFFFFF" w:val="clear"/>
            <w:tcMar>
              <w:top w:type="dxa" w:w="60"/>
              <w:left w:type="dxa" w:w="120"/>
              <w:bottom w:type="dxa" w:w="60"/>
              <w:right w:type="dxa" w:w="120"/>
            </w:tcMar>
          </w:tcPr>
          <w:p>
            <w:r>
              <w:rPr>
                <w:rFonts w:ascii="Calibri" w:eastAsia="Microsoft YaHei"/>
                <w:color w:val="1A2B40"/>
                <w:sz w:val="20"/>
                <w:szCs w:val="20"/>
              </w:rPr>
              <w:t xml:space="preserve">4 hours</w:t>
            </w:r>
          </w:p>
        </w:tc>
      </w:tr>
      <w:tr>
        <w:tc>
          <w:tcPr>
            <w:tcW w:type="pct" w:w="10%"/>
            <w:tcBorders>
              <w:top w:val="none"/>
              <w:left w:val="none"/>
              <w:bottom w:val="single" w:color="D0D8E0" w:sz="1"/>
              <w:right w:val="none"/>
            </w:tcBorders>
            <w:shd w:fill="F4F8FC" w:val="clear"/>
            <w:tcMar>
              <w:top w:type="dxa" w:w="60"/>
              <w:left w:type="dxa" w:w="120"/>
              <w:bottom w:type="dxa" w:w="60"/>
              <w:right w:type="dxa" w:w="120"/>
            </w:tcMar>
          </w:tcPr>
          <w:p>
            <w:r>
              <w:rPr>
                <w:rFonts w:ascii="Calibri" w:eastAsia="Microsoft YaHei"/>
                <w:color w:val="1A2B40"/>
                <w:sz w:val="20"/>
                <w:szCs w:val="20"/>
              </w:rPr>
              <w:t xml:space="preserve">I-01</w:t>
            </w:r>
          </w:p>
        </w:tc>
        <w:tc>
          <w:tcPr>
            <w:tcW w:type="pct" w:w="30%"/>
            <w:tcBorders>
              <w:top w:val="none"/>
              <w:left w:val="none"/>
              <w:bottom w:val="single" w:color="D0D8E0" w:sz="1"/>
              <w:right w:val="none"/>
            </w:tcBorders>
            <w:shd w:fill="F4F8FC" w:val="clear"/>
            <w:tcMar>
              <w:top w:type="dxa" w:w="60"/>
              <w:left w:type="dxa" w:w="120"/>
              <w:bottom w:type="dxa" w:w="60"/>
              <w:right w:type="dxa" w:w="120"/>
            </w:tcMar>
          </w:tcPr>
          <w:p>
            <w:r>
              <w:rPr>
                <w:rFonts w:ascii="Calibri" w:eastAsia="Microsoft YaHei"/>
                <w:color w:val="1A2B40"/>
                <w:sz w:val="20"/>
                <w:szCs w:val="20"/>
              </w:rPr>
              <w:t xml:space="preserve">Journal reversal stub</w:t>
            </w:r>
          </w:p>
        </w:tc>
        <w:tc>
          <w:tcPr>
            <w:tcW w:type="pct" w:w="30%"/>
            <w:tcBorders>
              <w:top w:val="none"/>
              <w:left w:val="none"/>
              <w:bottom w:val="single" w:color="D0D8E0" w:sz="1"/>
              <w:right w:val="none"/>
            </w:tcBorders>
            <w:shd w:fill="F4F8FC" w:val="clear"/>
            <w:tcMar>
              <w:top w:type="dxa" w:w="60"/>
              <w:left w:type="dxa" w:w="120"/>
              <w:bottom w:type="dxa" w:w="60"/>
              <w:right w:type="dxa" w:w="120"/>
            </w:tcMar>
          </w:tcPr>
          <w:p>
            <w:r>
              <w:rPr>
                <w:rFonts w:ascii="Calibri" w:eastAsia="Microsoft YaHei"/>
                <w:color w:val="1A2B40"/>
                <w:sz w:val="20"/>
                <w:szCs w:val="20"/>
              </w:rPr>
              <w:t xml:space="preserve">Implement proper reversal logic</w:t>
            </w:r>
          </w:p>
        </w:tc>
        <w:tc>
          <w:tcPr>
            <w:tcW w:type="pct" w:w="30%"/>
            <w:tcBorders>
              <w:top w:val="none"/>
              <w:left w:val="none"/>
              <w:bottom w:val="single" w:color="D0D8E0" w:sz="1"/>
              <w:right w:val="none"/>
            </w:tcBorders>
            <w:shd w:fill="F4F8FC" w:val="clear"/>
            <w:tcMar>
              <w:top w:type="dxa" w:w="60"/>
              <w:left w:type="dxa" w:w="120"/>
              <w:bottom w:type="dxa" w:w="60"/>
              <w:right w:type="dxa" w:w="120"/>
            </w:tcMar>
          </w:tcPr>
          <w:p>
            <w:r>
              <w:rPr>
                <w:rFonts w:ascii="Calibri" w:eastAsia="Microsoft YaHei"/>
                <w:color w:val="1A2B40"/>
                <w:sz w:val="20"/>
                <w:szCs w:val="20"/>
              </w:rPr>
              <w:t xml:space="preserve">1 day</w:t>
            </w:r>
          </w:p>
        </w:tc>
      </w:tr>
      <w:tr>
        <w:tc>
          <w:tcPr>
            <w:tcW w:type="pct" w:w="10%"/>
            <w:tcBorders>
              <w:top w:val="none"/>
              <w:left w:val="none"/>
              <w:bottom w:val="single" w:color="D0D8E0" w:sz="1"/>
              <w:right w:val="none"/>
            </w:tcBorders>
            <w:shd w:fill="FFFFFF" w:val="clear"/>
            <w:tcMar>
              <w:top w:type="dxa" w:w="60"/>
              <w:left w:type="dxa" w:w="120"/>
              <w:bottom w:type="dxa" w:w="60"/>
              <w:right w:type="dxa" w:w="120"/>
            </w:tcMar>
          </w:tcPr>
          <w:p>
            <w:r>
              <w:rPr>
                <w:rFonts w:ascii="Calibri" w:eastAsia="Microsoft YaHei"/>
                <w:color w:val="1A2B40"/>
                <w:sz w:val="20"/>
                <w:szCs w:val="20"/>
              </w:rPr>
              <w:t xml:space="preserve">G-01</w:t>
            </w:r>
          </w:p>
        </w:tc>
        <w:tc>
          <w:tcPr>
            <w:tcW w:type="pct" w:w="30%"/>
            <w:tcBorders>
              <w:top w:val="none"/>
              <w:left w:val="none"/>
              <w:bottom w:val="single" w:color="D0D8E0" w:sz="1"/>
              <w:right w:val="none"/>
            </w:tcBorders>
            <w:shd w:fill="FFFFFF" w:val="clear"/>
            <w:tcMar>
              <w:top w:type="dxa" w:w="60"/>
              <w:left w:type="dxa" w:w="120"/>
              <w:bottom w:type="dxa" w:w="60"/>
              <w:right w:type="dxa" w:w="120"/>
            </w:tcMar>
          </w:tcPr>
          <w:p>
            <w:r>
              <w:rPr>
                <w:rFonts w:ascii="Calibri" w:eastAsia="Microsoft YaHei"/>
                <w:color w:val="1A2B40"/>
                <w:sz w:val="20"/>
                <w:szCs w:val="20"/>
              </w:rPr>
              <w:t xml:space="preserve">Hardcoded null UUID in GST</w:t>
            </w:r>
          </w:p>
        </w:tc>
        <w:tc>
          <w:tcPr>
            <w:tcW w:type="pct" w:w="30%"/>
            <w:tcBorders>
              <w:top w:val="none"/>
              <w:left w:val="none"/>
              <w:bottom w:val="single" w:color="D0D8E0" w:sz="1"/>
              <w:right w:val="none"/>
            </w:tcBorders>
            <w:shd w:fill="FFFFFF" w:val="clear"/>
            <w:tcMar>
              <w:top w:type="dxa" w:w="60"/>
              <w:left w:type="dxa" w:w="120"/>
              <w:bottom w:type="dxa" w:w="60"/>
              <w:right w:type="dxa" w:w="120"/>
            </w:tcMar>
          </w:tcPr>
          <w:p>
            <w:r>
              <w:rPr>
                <w:rFonts w:ascii="Calibri" w:eastAsia="Microsoft YaHei"/>
                <w:color w:val="1A2B40"/>
                <w:sz w:val="20"/>
                <w:szCs w:val="20"/>
              </w:rPr>
              <w:t xml:space="preserve">Extract org_id from request context</w:t>
            </w:r>
          </w:p>
        </w:tc>
        <w:tc>
          <w:tcPr>
            <w:tcW w:type="pct" w:w="30%"/>
            <w:tcBorders>
              <w:top w:val="none"/>
              <w:left w:val="none"/>
              <w:bottom w:val="single" w:color="D0D8E0" w:sz="1"/>
              <w:right w:val="none"/>
            </w:tcBorders>
            <w:shd w:fill="FFFFFF" w:val="clear"/>
            <w:tcMar>
              <w:top w:type="dxa" w:w="60"/>
              <w:left w:type="dxa" w:w="120"/>
              <w:bottom w:type="dxa" w:w="60"/>
              <w:right w:type="dxa" w:w="120"/>
            </w:tcMar>
          </w:tcPr>
          <w:p>
            <w:r>
              <w:rPr>
                <w:rFonts w:ascii="Calibri" w:eastAsia="Microsoft YaHei"/>
                <w:color w:val="1A2B40"/>
                <w:sz w:val="20"/>
                <w:szCs w:val="20"/>
              </w:rPr>
              <w:t xml:space="preserve">2 hours</w:t>
            </w:r>
          </w:p>
        </w:tc>
      </w:tr>
      <w:tr>
        <w:tc>
          <w:tcPr>
            <w:tcW w:type="pct" w:w="10%"/>
            <w:tcBorders>
              <w:top w:val="none"/>
              <w:left w:val="none"/>
              <w:bottom w:val="single" w:color="D0D8E0" w:sz="1"/>
              <w:right w:val="none"/>
            </w:tcBorders>
            <w:shd w:fill="F4F8FC" w:val="clear"/>
            <w:tcMar>
              <w:top w:type="dxa" w:w="60"/>
              <w:left w:type="dxa" w:w="120"/>
              <w:bottom w:type="dxa" w:w="60"/>
              <w:right w:type="dxa" w:w="120"/>
            </w:tcMar>
          </w:tcPr>
          <w:p>
            <w:r>
              <w:rPr>
                <w:rFonts w:ascii="Calibri" w:eastAsia="Microsoft YaHei"/>
                <w:color w:val="1A2B40"/>
                <w:sz w:val="20"/>
                <w:szCs w:val="20"/>
              </w:rPr>
              <w:t xml:space="preserve">I-02</w:t>
            </w:r>
          </w:p>
        </w:tc>
        <w:tc>
          <w:tcPr>
            <w:tcW w:type="pct" w:w="30%"/>
            <w:tcBorders>
              <w:top w:val="none"/>
              <w:left w:val="none"/>
              <w:bottom w:val="single" w:color="D0D8E0" w:sz="1"/>
              <w:right w:val="none"/>
            </w:tcBorders>
            <w:shd w:fill="F4F8FC" w:val="clear"/>
            <w:tcMar>
              <w:top w:type="dxa" w:w="60"/>
              <w:left w:type="dxa" w:w="120"/>
              <w:bottom w:type="dxa" w:w="60"/>
              <w:right w:type="dxa" w:w="120"/>
            </w:tcMar>
          </w:tcPr>
          <w:p>
            <w:r>
              <w:rPr>
                <w:rFonts w:ascii="Calibri" w:eastAsia="Microsoft YaHei"/>
                <w:color w:val="1A2B40"/>
                <w:sz w:val="20"/>
                <w:szCs w:val="20"/>
              </w:rPr>
              <w:t xml:space="preserve">Journal posting outside atomic</w:t>
            </w:r>
          </w:p>
        </w:tc>
        <w:tc>
          <w:tcPr>
            <w:tcW w:type="pct" w:w="30%"/>
            <w:tcBorders>
              <w:top w:val="none"/>
              <w:left w:val="none"/>
              <w:bottom w:val="single" w:color="D0D8E0" w:sz="1"/>
              <w:right w:val="none"/>
            </w:tcBorders>
            <w:shd w:fill="F4F8FC" w:val="clear"/>
            <w:tcMar>
              <w:top w:type="dxa" w:w="60"/>
              <w:left w:type="dxa" w:w="120"/>
              <w:bottom w:type="dxa" w:w="60"/>
              <w:right w:type="dxa" w:w="120"/>
            </w:tcMar>
          </w:tcPr>
          <w:p>
            <w:r>
              <w:rPr>
                <w:rFonts w:ascii="Calibri" w:eastAsia="Microsoft YaHei"/>
                <w:color w:val="1A2B40"/>
                <w:sz w:val="20"/>
                <w:szCs w:val="20"/>
              </w:rPr>
              <w:t xml:space="preserve">Move into transaction.atomic() block</w:t>
            </w:r>
          </w:p>
        </w:tc>
        <w:tc>
          <w:tcPr>
            <w:tcW w:type="pct" w:w="30%"/>
            <w:tcBorders>
              <w:top w:val="none"/>
              <w:left w:val="none"/>
              <w:bottom w:val="single" w:color="D0D8E0" w:sz="1"/>
              <w:right w:val="none"/>
            </w:tcBorders>
            <w:shd w:fill="F4F8FC" w:val="clear"/>
            <w:tcMar>
              <w:top w:type="dxa" w:w="60"/>
              <w:left w:type="dxa" w:w="120"/>
              <w:bottom w:type="dxa" w:w="60"/>
              <w:right w:type="dxa" w:w="120"/>
            </w:tcMar>
          </w:tcPr>
          <w:p>
            <w:r>
              <w:rPr>
                <w:rFonts w:ascii="Calibri" w:eastAsia="Microsoft YaHei"/>
                <w:color w:val="1A2B40"/>
                <w:sz w:val="20"/>
                <w:szCs w:val="20"/>
              </w:rPr>
              <w:t xml:space="preserve">1 hour</w:t>
            </w:r>
          </w:p>
        </w:tc>
      </w:tr>
    </w:tbl>
    <w:p>
      <w:pPr>
        <w:pStyle w:val="Heading2"/>
        <w:spacing w:after="100" w:before="280"/>
      </w:pPr>
      <w:bookmarkStart w:id="100036" w:name="_Toc100036"/>
      <w:r>
        <w:rPr>
          <w:rFonts w:ascii="Calibri" w:eastAsia="SimHei"/>
          <w:b/>
          <w:bCs/>
          <w:color w:val="0A1628"/>
          <w:sz w:val="28"/>
          <w:szCs w:val="28"/>
        </w:rPr>
        <w:t xml:space="preserve">8.2 Phase 2: High Priority Fixes (1 Week)</w:t>
      </w:r>
      <w:bookmarkEnd w:id="100036"/>
    </w:p>
    <w:p>
      <w:pPr>
        <w:spacing w:after="80" w:line="312"/>
        <w:jc w:val="both"/>
      </w:pPr>
      <w:r>
        <w:rPr>
          <w:rFonts w:ascii="Calibri" w:eastAsia="Microsoft YaHei"/>
          <w:color w:val="1A2B40"/>
          <w:sz w:val="22"/>
          <w:szCs w:val="22"/>
        </w:rPr>
        <w:t xml:space="preserve">These fixes address authorization bypasses, broken functionality, and significant security gaps.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0%"/>
            <w:tcBorders>
              <w:top w:val="single" w:color="D4875A" w:sz="2"/>
              <w:left w:val="none"/>
              <w:bottom w:val="single" w:color="D4875A" w:sz="2"/>
              <w:right w:val="none"/>
            </w:tcBorders>
            <w:shd w:fill="1A2330" w:val="clear"/>
            <w:tcMar>
              <w:top w:type="dxa" w:w="60"/>
              <w:left w:type="dxa" w:w="120"/>
              <w:bottom w:type="dxa" w:w="60"/>
              <w:right w:type="dxa" w:w="120"/>
            </w:tcMar>
          </w:tcPr>
          <w:p>
            <w:r>
              <w:rPr>
                <w:rFonts w:ascii="Calibri" w:eastAsia="Microsoft YaHei"/>
                <w:b/>
                <w:bCs/>
                <w:color w:val="FFFFFF"/>
                <w:sz w:val="20"/>
                <w:szCs w:val="20"/>
              </w:rPr>
              <w:t xml:space="preserve">ID</w:t>
            </w:r>
          </w:p>
        </w:tc>
        <w:tc>
          <w:tcPr>
            <w:tcW w:type="pct" w:w="30%"/>
            <w:tcBorders>
              <w:top w:val="single" w:color="D4875A" w:sz="2"/>
              <w:left w:val="none"/>
              <w:bottom w:val="single" w:color="D4875A" w:sz="2"/>
              <w:right w:val="none"/>
            </w:tcBorders>
            <w:shd w:fill="1A2330" w:val="clear"/>
            <w:tcMar>
              <w:top w:type="dxa" w:w="60"/>
              <w:left w:type="dxa" w:w="120"/>
              <w:bottom w:type="dxa" w:w="60"/>
              <w:right w:type="dxa" w:w="120"/>
            </w:tcMar>
          </w:tcPr>
          <w:p>
            <w:r>
              <w:rPr>
                <w:rFonts w:ascii="Calibri" w:eastAsia="Microsoft YaHei"/>
                <w:b/>
                <w:bCs/>
                <w:color w:val="FFFFFF"/>
                <w:sz w:val="20"/>
                <w:szCs w:val="20"/>
              </w:rPr>
              <w:t xml:space="preserve">Issue</w:t>
            </w:r>
          </w:p>
        </w:tc>
        <w:tc>
          <w:tcPr>
            <w:tcW w:type="pct" w:w="30%"/>
            <w:tcBorders>
              <w:top w:val="single" w:color="D4875A" w:sz="2"/>
              <w:left w:val="none"/>
              <w:bottom w:val="single" w:color="D4875A" w:sz="2"/>
              <w:right w:val="none"/>
            </w:tcBorders>
            <w:shd w:fill="1A2330" w:val="clear"/>
            <w:tcMar>
              <w:top w:type="dxa" w:w="60"/>
              <w:left w:type="dxa" w:w="120"/>
              <w:bottom w:type="dxa" w:w="60"/>
              <w:right w:type="dxa" w:w="120"/>
            </w:tcMar>
          </w:tcPr>
          <w:p>
            <w:r>
              <w:rPr>
                <w:rFonts w:ascii="Calibri" w:eastAsia="Microsoft YaHei"/>
                <w:b/>
                <w:bCs/>
                <w:color w:val="FFFFFF"/>
                <w:sz w:val="20"/>
                <w:szCs w:val="20"/>
              </w:rPr>
              <w:t xml:space="preserve">Fix</w:t>
            </w:r>
          </w:p>
        </w:tc>
        <w:tc>
          <w:tcPr>
            <w:tcW w:type="pct" w:w="30%"/>
            <w:tcBorders>
              <w:top w:val="single" w:color="D4875A" w:sz="2"/>
              <w:left w:val="none"/>
              <w:bottom w:val="single" w:color="D4875A" w:sz="2"/>
              <w:right w:val="none"/>
            </w:tcBorders>
            <w:shd w:fill="1A2330" w:val="clear"/>
            <w:tcMar>
              <w:top w:type="dxa" w:w="60"/>
              <w:left w:type="dxa" w:w="120"/>
              <w:bottom w:type="dxa" w:w="60"/>
              <w:right w:type="dxa" w:w="120"/>
            </w:tcMar>
          </w:tcPr>
          <w:p>
            <w:r>
              <w:rPr>
                <w:rFonts w:ascii="Calibri" w:eastAsia="Microsoft YaHei"/>
                <w:b/>
                <w:bCs/>
                <w:color w:val="FFFFFF"/>
                <w:sz w:val="20"/>
                <w:szCs w:val="20"/>
              </w:rPr>
              <w:t xml:space="preserve">Est. Effort</w:t>
            </w:r>
          </w:p>
        </w:tc>
      </w:tr>
      <w:tr>
        <w:tc>
          <w:tcPr>
            <w:tcW w:type="pct" w:w="10%"/>
            <w:tcBorders>
              <w:top w:val="none"/>
              <w:left w:val="none"/>
              <w:bottom w:val="single" w:color="D0D8E0" w:sz="1"/>
              <w:right w:val="none"/>
            </w:tcBorders>
            <w:shd w:fill="F4F8FC" w:val="clear"/>
            <w:tcMar>
              <w:top w:type="dxa" w:w="60"/>
              <w:left w:type="dxa" w:w="120"/>
              <w:bottom w:type="dxa" w:w="60"/>
              <w:right w:type="dxa" w:w="120"/>
            </w:tcMar>
          </w:tcPr>
          <w:p>
            <w:r>
              <w:rPr>
                <w:rFonts w:ascii="Calibri" w:eastAsia="Microsoft YaHei"/>
                <w:color w:val="1A2B40"/>
                <w:sz w:val="20"/>
                <w:szCs w:val="20"/>
              </w:rPr>
              <w:t xml:space="preserve">C-03</w:t>
            </w:r>
          </w:p>
        </w:tc>
        <w:tc>
          <w:tcPr>
            <w:tcW w:type="pct" w:w="30%"/>
            <w:tcBorders>
              <w:top w:val="none"/>
              <w:left w:val="none"/>
              <w:bottom w:val="single" w:color="D0D8E0" w:sz="1"/>
              <w:right w:val="none"/>
            </w:tcBorders>
            <w:shd w:fill="F4F8FC" w:val="clear"/>
            <w:tcMar>
              <w:top w:type="dxa" w:w="60"/>
              <w:left w:type="dxa" w:w="120"/>
              <w:bottom w:type="dxa" w:w="60"/>
              <w:right w:type="dxa" w:w="120"/>
            </w:tcMar>
          </w:tcPr>
          <w:p>
            <w:r>
              <w:rPr>
                <w:rFonts w:ascii="Calibri" w:eastAsia="Microsoft YaHei"/>
                <w:color w:val="1A2B40"/>
                <w:sz w:val="20"/>
                <w:szCs w:val="20"/>
              </w:rPr>
              <w:t xml:space="preserve">Race condition set_default_org</w:t>
            </w:r>
          </w:p>
        </w:tc>
        <w:tc>
          <w:tcPr>
            <w:tcW w:type="pct" w:w="30%"/>
            <w:tcBorders>
              <w:top w:val="none"/>
              <w:left w:val="none"/>
              <w:bottom w:val="single" w:color="D0D8E0" w:sz="1"/>
              <w:right w:val="none"/>
            </w:tcBorders>
            <w:shd w:fill="F4F8FC" w:val="clear"/>
            <w:tcMar>
              <w:top w:type="dxa" w:w="60"/>
              <w:left w:type="dxa" w:w="120"/>
              <w:bottom w:type="dxa" w:w="60"/>
              <w:right w:type="dxa" w:w="120"/>
            </w:tcMar>
          </w:tcPr>
          <w:p>
            <w:r>
              <w:rPr>
                <w:rFonts w:ascii="Calibri" w:eastAsia="Microsoft YaHei"/>
                <w:color w:val="1A2B40"/>
                <w:sz w:val="20"/>
                <w:szCs w:val="20"/>
              </w:rPr>
              <w:t xml:space="preserve">Wrap in transaction.atomic()</w:t>
            </w:r>
          </w:p>
        </w:tc>
        <w:tc>
          <w:tcPr>
            <w:tcW w:type="pct" w:w="30%"/>
            <w:tcBorders>
              <w:top w:val="none"/>
              <w:left w:val="none"/>
              <w:bottom w:val="single" w:color="D0D8E0" w:sz="1"/>
              <w:right w:val="none"/>
            </w:tcBorders>
            <w:shd w:fill="F4F8FC" w:val="clear"/>
            <w:tcMar>
              <w:top w:type="dxa" w:w="60"/>
              <w:left w:type="dxa" w:w="120"/>
              <w:bottom w:type="dxa" w:w="60"/>
              <w:right w:type="dxa" w:w="120"/>
            </w:tcMar>
          </w:tcPr>
          <w:p>
            <w:r>
              <w:rPr>
                <w:rFonts w:ascii="Calibri" w:eastAsia="Microsoft YaHei"/>
                <w:color w:val="1A2B40"/>
                <w:sz w:val="20"/>
                <w:szCs w:val="20"/>
              </w:rPr>
              <w:t xml:space="preserve">1 hour</w:t>
            </w:r>
          </w:p>
        </w:tc>
      </w:tr>
      <w:tr>
        <w:tc>
          <w:tcPr>
            <w:tcW w:type="pct" w:w="10%"/>
            <w:tcBorders>
              <w:top w:val="none"/>
              <w:left w:val="none"/>
              <w:bottom w:val="single" w:color="D0D8E0" w:sz="1"/>
              <w:right w:val="none"/>
            </w:tcBorders>
            <w:shd w:fill="FFFFFF" w:val="clear"/>
            <w:tcMar>
              <w:top w:type="dxa" w:w="60"/>
              <w:left w:type="dxa" w:w="120"/>
              <w:bottom w:type="dxa" w:w="60"/>
              <w:right w:type="dxa" w:w="120"/>
            </w:tcMar>
          </w:tcPr>
          <w:p>
            <w:r>
              <w:rPr>
                <w:rFonts w:ascii="Calibri" w:eastAsia="Microsoft YaHei"/>
                <w:color w:val="1A2B40"/>
                <w:sz w:val="20"/>
                <w:szCs w:val="20"/>
              </w:rPr>
              <w:t xml:space="preserve">C-04</w:t>
            </w:r>
          </w:p>
        </w:tc>
        <w:tc>
          <w:tcPr>
            <w:tcW w:type="pct" w:w="30%"/>
            <w:tcBorders>
              <w:top w:val="none"/>
              <w:left w:val="none"/>
              <w:bottom w:val="single" w:color="D0D8E0" w:sz="1"/>
              <w:right w:val="none"/>
            </w:tcBorders>
            <w:shd w:fill="FFFFFF" w:val="clear"/>
            <w:tcMar>
              <w:top w:type="dxa" w:w="60"/>
              <w:left w:type="dxa" w:w="120"/>
              <w:bottom w:type="dxa" w:w="60"/>
              <w:right w:type="dxa" w:w="120"/>
            </w:tcMar>
          </w:tcPr>
          <w:p>
            <w:r>
              <w:rPr>
                <w:rFonts w:ascii="Calibri" w:eastAsia="Microsoft YaHei"/>
                <w:color w:val="1A2B40"/>
                <w:sz w:val="20"/>
                <w:szCs w:val="20"/>
              </w:rPr>
              <w:t xml:space="preserve">Pending users get RLS permissions</w:t>
            </w:r>
          </w:p>
        </w:tc>
        <w:tc>
          <w:tcPr>
            <w:tcW w:type="pct" w:w="30%"/>
            <w:tcBorders>
              <w:top w:val="none"/>
              <w:left w:val="none"/>
              <w:bottom w:val="single" w:color="D0D8E0" w:sz="1"/>
              <w:right w:val="none"/>
            </w:tcBorders>
            <w:shd w:fill="FFFFFF" w:val="clear"/>
            <w:tcMar>
              <w:top w:type="dxa" w:w="60"/>
              <w:left w:type="dxa" w:w="120"/>
              <w:bottom w:type="dxa" w:w="60"/>
              <w:right w:type="dxa" w:w="120"/>
            </w:tcMar>
          </w:tcPr>
          <w:p>
            <w:r>
              <w:rPr>
                <w:rFonts w:ascii="Calibri" w:eastAsia="Microsoft YaHei"/>
                <w:color w:val="1A2B40"/>
                <w:sz w:val="20"/>
                <w:szCs w:val="20"/>
              </w:rPr>
              <w:t xml:space="preserve">Add accepted_at__isnull=False filter</w:t>
            </w:r>
          </w:p>
        </w:tc>
        <w:tc>
          <w:tcPr>
            <w:tcW w:type="pct" w:w="30%"/>
            <w:tcBorders>
              <w:top w:val="none"/>
              <w:left w:val="none"/>
              <w:bottom w:val="single" w:color="D0D8E0" w:sz="1"/>
              <w:right w:val="none"/>
            </w:tcBorders>
            <w:shd w:fill="FFFFFF" w:val="clear"/>
            <w:tcMar>
              <w:top w:type="dxa" w:w="60"/>
              <w:left w:type="dxa" w:w="120"/>
              <w:bottom w:type="dxa" w:w="60"/>
              <w:right w:type="dxa" w:w="120"/>
            </w:tcMar>
          </w:tcPr>
          <w:p>
            <w:r>
              <w:rPr>
                <w:rFonts w:ascii="Calibri" w:eastAsia="Microsoft YaHei"/>
                <w:color w:val="1A2B40"/>
                <w:sz w:val="20"/>
                <w:szCs w:val="20"/>
              </w:rPr>
              <w:t xml:space="preserve">1 hour</w:t>
            </w:r>
          </w:p>
        </w:tc>
      </w:tr>
      <w:tr>
        <w:tc>
          <w:tcPr>
            <w:tcW w:type="pct" w:w="10%"/>
            <w:tcBorders>
              <w:top w:val="none"/>
              <w:left w:val="none"/>
              <w:bottom w:val="single" w:color="D0D8E0" w:sz="1"/>
              <w:right w:val="none"/>
            </w:tcBorders>
            <w:shd w:fill="F4F8FC" w:val="clear"/>
            <w:tcMar>
              <w:top w:type="dxa" w:w="60"/>
              <w:left w:type="dxa" w:w="120"/>
              <w:bottom w:type="dxa" w:w="60"/>
              <w:right w:type="dxa" w:w="120"/>
            </w:tcMar>
          </w:tcPr>
          <w:p>
            <w:r>
              <w:rPr>
                <w:rFonts w:ascii="Calibri" w:eastAsia="Microsoft YaHei"/>
                <w:color w:val="1A2B40"/>
                <w:sz w:val="20"/>
                <w:szCs w:val="20"/>
              </w:rPr>
              <w:t xml:space="preserve">FE-002</w:t>
            </w:r>
          </w:p>
        </w:tc>
        <w:tc>
          <w:tcPr>
            <w:tcW w:type="pct" w:w="30%"/>
            <w:tcBorders>
              <w:top w:val="none"/>
              <w:left w:val="none"/>
              <w:bottom w:val="single" w:color="D0D8E0" w:sz="1"/>
              <w:right w:val="none"/>
            </w:tcBorders>
            <w:shd w:fill="F4F8FC" w:val="clear"/>
            <w:tcMar>
              <w:top w:type="dxa" w:w="60"/>
              <w:left w:type="dxa" w:w="120"/>
              <w:bottom w:type="dxa" w:w="60"/>
              <w:right w:type="dxa" w:w="120"/>
            </w:tcMar>
          </w:tcPr>
          <w:p>
            <w:r>
              <w:rPr>
                <w:rFonts w:ascii="Calibri" w:eastAsia="Microsoft YaHei"/>
                <w:color w:val="1A2B40"/>
                <w:sz w:val="20"/>
                <w:szCs w:val="20"/>
              </w:rPr>
              <w:t xml:space="preserve">PDF downloads broken</w:t>
            </w:r>
          </w:p>
        </w:tc>
        <w:tc>
          <w:tcPr>
            <w:tcW w:type="pct" w:w="30%"/>
            <w:tcBorders>
              <w:top w:val="none"/>
              <w:left w:val="none"/>
              <w:bottom w:val="single" w:color="D0D8E0" w:sz="1"/>
              <w:right w:val="none"/>
            </w:tcBorders>
            <w:shd w:fill="F4F8FC" w:val="clear"/>
            <w:tcMar>
              <w:top w:type="dxa" w:w="60"/>
              <w:left w:type="dxa" w:w="120"/>
              <w:bottom w:type="dxa" w:w="60"/>
              <w:right w:type="dxa" w:w="120"/>
            </w:tcMar>
          </w:tcPr>
          <w:p>
            <w:r>
              <w:rPr>
                <w:rFonts w:ascii="Calibri" w:eastAsia="Microsoft YaHei"/>
                <w:color w:val="1A2B40"/>
                <w:sz w:val="20"/>
                <w:szCs w:val="20"/>
              </w:rPr>
              <w:t xml:space="preserve">Refactor to server-side API client</w:t>
            </w:r>
          </w:p>
        </w:tc>
        <w:tc>
          <w:tcPr>
            <w:tcW w:type="pct" w:w="30%"/>
            <w:tcBorders>
              <w:top w:val="none"/>
              <w:left w:val="none"/>
              <w:bottom w:val="single" w:color="D0D8E0" w:sz="1"/>
              <w:right w:val="none"/>
            </w:tcBorders>
            <w:shd w:fill="F4F8FC" w:val="clear"/>
            <w:tcMar>
              <w:top w:type="dxa" w:w="60"/>
              <w:left w:type="dxa" w:w="120"/>
              <w:bottom w:type="dxa" w:w="60"/>
              <w:right w:type="dxa" w:w="120"/>
            </w:tcMar>
          </w:tcPr>
          <w:p>
            <w:r>
              <w:rPr>
                <w:rFonts w:ascii="Calibri" w:eastAsia="Microsoft YaHei"/>
                <w:color w:val="1A2B40"/>
                <w:sz w:val="20"/>
                <w:szCs w:val="20"/>
              </w:rPr>
              <w:t xml:space="preserve">4 hours</w:t>
            </w:r>
          </w:p>
        </w:tc>
      </w:tr>
      <w:tr>
        <w:tc>
          <w:tcPr>
            <w:tcW w:type="pct" w:w="10%"/>
            <w:tcBorders>
              <w:top w:val="none"/>
              <w:left w:val="none"/>
              <w:bottom w:val="single" w:color="D0D8E0" w:sz="1"/>
              <w:right w:val="none"/>
            </w:tcBorders>
            <w:shd w:fill="FFFFFF" w:val="clear"/>
            <w:tcMar>
              <w:top w:type="dxa" w:w="60"/>
              <w:left w:type="dxa" w:w="120"/>
              <w:bottom w:type="dxa" w:w="60"/>
              <w:right w:type="dxa" w:w="120"/>
            </w:tcMar>
          </w:tcPr>
          <w:p>
            <w:r>
              <w:rPr>
                <w:rFonts w:ascii="Calibri" w:eastAsia="Microsoft YaHei"/>
                <w:color w:val="1A2B40"/>
                <w:sz w:val="20"/>
                <w:szCs w:val="20"/>
              </w:rPr>
              <w:t xml:space="preserve">DB-001</w:t>
            </w:r>
          </w:p>
        </w:tc>
        <w:tc>
          <w:tcPr>
            <w:tcW w:type="pct" w:w="30%"/>
            <w:tcBorders>
              <w:top w:val="none"/>
              <w:left w:val="none"/>
              <w:bottom w:val="single" w:color="D0D8E0" w:sz="1"/>
              <w:right w:val="none"/>
            </w:tcBorders>
            <w:shd w:fill="FFFFFF" w:val="clear"/>
            <w:tcMar>
              <w:top w:type="dxa" w:w="60"/>
              <w:left w:type="dxa" w:w="120"/>
              <w:bottom w:type="dxa" w:w="60"/>
              <w:right w:type="dxa" w:w="120"/>
            </w:tcMar>
          </w:tcPr>
          <w:p>
            <w:r>
              <w:rPr>
                <w:rFonts w:ascii="Calibri" w:eastAsia="Microsoft YaHei"/>
                <w:color w:val="1A2B40"/>
                <w:sz w:val="20"/>
                <w:szCs w:val="20"/>
              </w:rPr>
              <w:t xml:space="preserve">RLS missing on 4 tables</w:t>
            </w:r>
          </w:p>
        </w:tc>
        <w:tc>
          <w:tcPr>
            <w:tcW w:type="pct" w:w="30%"/>
            <w:tcBorders>
              <w:top w:val="none"/>
              <w:left w:val="none"/>
              <w:bottom w:val="single" w:color="D0D8E0" w:sz="1"/>
              <w:right w:val="none"/>
            </w:tcBorders>
            <w:shd w:fill="FFFFFF" w:val="clear"/>
            <w:tcMar>
              <w:top w:type="dxa" w:w="60"/>
              <w:left w:type="dxa" w:w="120"/>
              <w:bottom w:type="dxa" w:w="60"/>
              <w:right w:type="dxa" w:w="120"/>
            </w:tcMar>
          </w:tcPr>
          <w:p>
            <w:r>
              <w:rPr>
                <w:rFonts w:ascii="Calibri" w:eastAsia="Microsoft YaHei"/>
                <w:color w:val="1A2B40"/>
                <w:sz w:val="20"/>
                <w:szCs w:val="20"/>
              </w:rPr>
              <w:t xml:space="preserve">Add RLS policies to database_schema.sql</w:t>
            </w:r>
          </w:p>
        </w:tc>
        <w:tc>
          <w:tcPr>
            <w:tcW w:type="pct" w:w="30%"/>
            <w:tcBorders>
              <w:top w:val="none"/>
              <w:left w:val="none"/>
              <w:bottom w:val="single" w:color="D0D8E0" w:sz="1"/>
              <w:right w:val="none"/>
            </w:tcBorders>
            <w:shd w:fill="FFFFFF" w:val="clear"/>
            <w:tcMar>
              <w:top w:type="dxa" w:w="60"/>
              <w:left w:type="dxa" w:w="120"/>
              <w:bottom w:type="dxa" w:w="60"/>
              <w:right w:type="dxa" w:w="120"/>
            </w:tcMar>
          </w:tcPr>
          <w:p>
            <w:r>
              <w:rPr>
                <w:rFonts w:ascii="Calibri" w:eastAsia="Microsoft YaHei"/>
                <w:color w:val="1A2B40"/>
                <w:sz w:val="20"/>
                <w:szCs w:val="20"/>
              </w:rPr>
              <w:t xml:space="preserve">3 hours</w:t>
            </w:r>
          </w:p>
        </w:tc>
      </w:tr>
    </w:tbl>
    <w:p>
      <w:pPr>
        <w:pStyle w:val="Heading2"/>
        <w:spacing w:after="100" w:before="280"/>
      </w:pPr>
      <w:bookmarkStart w:id="100037" w:name="_Toc100037"/>
      <w:r>
        <w:rPr>
          <w:rFonts w:ascii="Calibri" w:eastAsia="SimHei"/>
          <w:b/>
          <w:bCs/>
          <w:color w:val="0A1628"/>
          <w:sz w:val="28"/>
          <w:szCs w:val="28"/>
        </w:rPr>
        <w:t xml:space="preserve">8.3 Phase 3: Documentation &amp; Code Quality (2 Weeks)</w:t>
      </w:r>
      <w:bookmarkEnd w:id="100037"/>
    </w:p>
    <w:p>
      <w:pPr>
        <w:spacing w:after="80" w:line="312"/>
        <w:jc w:val="both"/>
      </w:pPr>
      <w:r>
        <w:rPr>
          <w:rFonts w:ascii="Calibri" w:eastAsia="Microsoft YaHei"/>
          <w:color w:val="1A2B40"/>
          <w:sz w:val="22"/>
          <w:szCs w:val="22"/>
        </w:rPr>
        <w:t xml:space="preserve">These fixes address documentation misalignments, code quality issues, and architectural consistency.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0%"/>
            <w:tcBorders>
              <w:top w:val="single" w:color="D4875A" w:sz="2"/>
              <w:left w:val="none"/>
              <w:bottom w:val="single" w:color="D4875A" w:sz="2"/>
              <w:right w:val="none"/>
            </w:tcBorders>
            <w:shd w:fill="1A2330" w:val="clear"/>
            <w:tcMar>
              <w:top w:type="dxa" w:w="60"/>
              <w:left w:type="dxa" w:w="120"/>
              <w:bottom w:type="dxa" w:w="60"/>
              <w:right w:type="dxa" w:w="120"/>
            </w:tcMar>
          </w:tcPr>
          <w:p>
            <w:r>
              <w:rPr>
                <w:rFonts w:ascii="Calibri" w:eastAsia="Microsoft YaHei"/>
                <w:b/>
                <w:bCs/>
                <w:color w:val="FFFFFF"/>
                <w:sz w:val="20"/>
                <w:szCs w:val="20"/>
              </w:rPr>
              <w:t xml:space="preserve">ID</w:t>
            </w:r>
          </w:p>
        </w:tc>
        <w:tc>
          <w:tcPr>
            <w:tcW w:type="pct" w:w="30%"/>
            <w:tcBorders>
              <w:top w:val="single" w:color="D4875A" w:sz="2"/>
              <w:left w:val="none"/>
              <w:bottom w:val="single" w:color="D4875A" w:sz="2"/>
              <w:right w:val="none"/>
            </w:tcBorders>
            <w:shd w:fill="1A2330" w:val="clear"/>
            <w:tcMar>
              <w:top w:type="dxa" w:w="60"/>
              <w:left w:type="dxa" w:w="120"/>
              <w:bottom w:type="dxa" w:w="60"/>
              <w:right w:type="dxa" w:w="120"/>
            </w:tcMar>
          </w:tcPr>
          <w:p>
            <w:r>
              <w:rPr>
                <w:rFonts w:ascii="Calibri" w:eastAsia="Microsoft YaHei"/>
                <w:b/>
                <w:bCs/>
                <w:color w:val="FFFFFF"/>
                <w:sz w:val="20"/>
                <w:szCs w:val="20"/>
              </w:rPr>
              <w:t xml:space="preserve">Issue</w:t>
            </w:r>
          </w:p>
        </w:tc>
        <w:tc>
          <w:tcPr>
            <w:tcW w:type="pct" w:w="30%"/>
            <w:tcBorders>
              <w:top w:val="single" w:color="D4875A" w:sz="2"/>
              <w:left w:val="none"/>
              <w:bottom w:val="single" w:color="D4875A" w:sz="2"/>
              <w:right w:val="none"/>
            </w:tcBorders>
            <w:shd w:fill="1A2330" w:val="clear"/>
            <w:tcMar>
              <w:top w:type="dxa" w:w="60"/>
              <w:left w:type="dxa" w:w="120"/>
              <w:bottom w:type="dxa" w:w="60"/>
              <w:right w:type="dxa" w:w="120"/>
            </w:tcMar>
          </w:tcPr>
          <w:p>
            <w:r>
              <w:rPr>
                <w:rFonts w:ascii="Calibri" w:eastAsia="Microsoft YaHei"/>
                <w:b/>
                <w:bCs/>
                <w:color w:val="FFFFFF"/>
                <w:sz w:val="20"/>
                <w:szCs w:val="20"/>
              </w:rPr>
              <w:t xml:space="preserve">Fix</w:t>
            </w:r>
          </w:p>
        </w:tc>
        <w:tc>
          <w:tcPr>
            <w:tcW w:type="pct" w:w="30%"/>
            <w:tcBorders>
              <w:top w:val="single" w:color="D4875A" w:sz="2"/>
              <w:left w:val="none"/>
              <w:bottom w:val="single" w:color="D4875A" w:sz="2"/>
              <w:right w:val="none"/>
            </w:tcBorders>
            <w:shd w:fill="1A2330" w:val="clear"/>
            <w:tcMar>
              <w:top w:type="dxa" w:w="60"/>
              <w:left w:type="dxa" w:w="120"/>
              <w:bottom w:type="dxa" w:w="60"/>
              <w:right w:type="dxa" w:w="120"/>
            </w:tcMar>
          </w:tcPr>
          <w:p>
            <w:r>
              <w:rPr>
                <w:rFonts w:ascii="Calibri" w:eastAsia="Microsoft YaHei"/>
                <w:b/>
                <w:bCs/>
                <w:color w:val="FFFFFF"/>
                <w:sz w:val="20"/>
                <w:szCs w:val="20"/>
              </w:rPr>
              <w:t xml:space="preserve">Est. Effort</w:t>
            </w:r>
          </w:p>
        </w:tc>
      </w:tr>
      <w:tr>
        <w:tc>
          <w:tcPr>
            <w:tcW w:type="pct" w:w="10%"/>
            <w:tcBorders>
              <w:top w:val="none"/>
              <w:left w:val="none"/>
              <w:bottom w:val="single" w:color="D0D8E0" w:sz="1"/>
              <w:right w:val="none"/>
            </w:tcBorders>
            <w:shd w:fill="F4F8FC" w:val="clear"/>
            <w:tcMar>
              <w:top w:type="dxa" w:w="60"/>
              <w:left w:type="dxa" w:w="120"/>
              <w:bottom w:type="dxa" w:w="60"/>
              <w:right w:type="dxa" w:w="120"/>
            </w:tcMar>
          </w:tcPr>
          <w:p>
            <w:r>
              <w:rPr>
                <w:rFonts w:ascii="Calibri" w:eastAsia="Microsoft YaHei"/>
                <w:color w:val="1A2B40"/>
                <w:sz w:val="20"/>
                <w:szCs w:val="20"/>
              </w:rPr>
              <w:t xml:space="preserve">DOC-01</w:t>
            </w:r>
          </w:p>
        </w:tc>
        <w:tc>
          <w:tcPr>
            <w:tcW w:type="pct" w:w="30%"/>
            <w:tcBorders>
              <w:top w:val="none"/>
              <w:left w:val="none"/>
              <w:bottom w:val="single" w:color="D0D8E0" w:sz="1"/>
              <w:right w:val="none"/>
            </w:tcBorders>
            <w:shd w:fill="F4F8FC" w:val="clear"/>
            <w:tcMar>
              <w:top w:type="dxa" w:w="60"/>
              <w:left w:type="dxa" w:w="120"/>
              <w:bottom w:type="dxa" w:w="60"/>
              <w:right w:type="dxa" w:w="120"/>
            </w:tcMar>
          </w:tcPr>
          <w:p>
            <w:r>
              <w:rPr>
                <w:rFonts w:ascii="Calibri" w:eastAsia="Microsoft YaHei"/>
                <w:color w:val="1A2B40"/>
                <w:sz w:val="20"/>
                <w:szCs w:val="20"/>
              </w:rPr>
              <w:t xml:space="preserve">Endpoint count inconsistent</w:t>
            </w:r>
          </w:p>
        </w:tc>
        <w:tc>
          <w:tcPr>
            <w:tcW w:type="pct" w:w="30%"/>
            <w:tcBorders>
              <w:top w:val="none"/>
              <w:left w:val="none"/>
              <w:bottom w:val="single" w:color="D0D8E0" w:sz="1"/>
              <w:right w:val="none"/>
            </w:tcBorders>
            <w:shd w:fill="F4F8FC" w:val="clear"/>
            <w:tcMar>
              <w:top w:type="dxa" w:w="60"/>
              <w:left w:type="dxa" w:w="120"/>
              <w:bottom w:type="dxa" w:w="60"/>
              <w:right w:type="dxa" w:w="120"/>
            </w:tcMar>
          </w:tcPr>
          <w:p>
            <w:r>
              <w:rPr>
                <w:rFonts w:ascii="Calibri" w:eastAsia="Microsoft YaHei"/>
                <w:color w:val="1A2B40"/>
                <w:sz w:val="20"/>
                <w:szCs w:val="20"/>
              </w:rPr>
              <w:t xml:space="preserve">Count actual endpoints, update all docs</w:t>
            </w:r>
          </w:p>
        </w:tc>
        <w:tc>
          <w:tcPr>
            <w:tcW w:type="pct" w:w="30%"/>
            <w:tcBorders>
              <w:top w:val="none"/>
              <w:left w:val="none"/>
              <w:bottom w:val="single" w:color="D0D8E0" w:sz="1"/>
              <w:right w:val="none"/>
            </w:tcBorders>
            <w:shd w:fill="F4F8FC" w:val="clear"/>
            <w:tcMar>
              <w:top w:type="dxa" w:w="60"/>
              <w:left w:type="dxa" w:w="120"/>
              <w:bottom w:type="dxa" w:w="60"/>
              <w:right w:type="dxa" w:w="120"/>
            </w:tcMar>
          </w:tcPr>
          <w:p>
            <w:r>
              <w:rPr>
                <w:rFonts w:ascii="Calibri" w:eastAsia="Microsoft YaHei"/>
                <w:color w:val="1A2B40"/>
                <w:sz w:val="20"/>
                <w:szCs w:val="20"/>
              </w:rPr>
              <w:t xml:space="preserve">3 hours</w:t>
            </w:r>
          </w:p>
        </w:tc>
      </w:tr>
      <w:tr>
        <w:tc>
          <w:tcPr>
            <w:tcW w:type="pct" w:w="10%"/>
            <w:tcBorders>
              <w:top w:val="none"/>
              <w:left w:val="none"/>
              <w:bottom w:val="single" w:color="D0D8E0" w:sz="1"/>
              <w:right w:val="none"/>
            </w:tcBorders>
            <w:shd w:fill="FFFFFF" w:val="clear"/>
            <w:tcMar>
              <w:top w:type="dxa" w:w="60"/>
              <w:left w:type="dxa" w:w="120"/>
              <w:bottom w:type="dxa" w:w="60"/>
              <w:right w:type="dxa" w:w="120"/>
            </w:tcMar>
          </w:tcPr>
          <w:p>
            <w:r>
              <w:rPr>
                <w:rFonts w:ascii="Calibri" w:eastAsia="Microsoft YaHei"/>
                <w:color w:val="1A2B40"/>
                <w:sz w:val="20"/>
                <w:szCs w:val="20"/>
              </w:rPr>
              <w:t xml:space="preserve">DOC-02</w:t>
            </w:r>
          </w:p>
        </w:tc>
        <w:tc>
          <w:tcPr>
            <w:tcW w:type="pct" w:w="30%"/>
            <w:tcBorders>
              <w:top w:val="none"/>
              <w:left w:val="none"/>
              <w:bottom w:val="single" w:color="D0D8E0" w:sz="1"/>
              <w:right w:val="none"/>
            </w:tcBorders>
            <w:shd w:fill="FFFFFF" w:val="clear"/>
            <w:tcMar>
              <w:top w:type="dxa" w:w="60"/>
              <w:left w:type="dxa" w:w="120"/>
              <w:bottom w:type="dxa" w:w="60"/>
              <w:right w:type="dxa" w:w="120"/>
            </w:tcMar>
          </w:tcPr>
          <w:p>
            <w:r>
              <w:rPr>
                <w:rFonts w:ascii="Calibri" w:eastAsia="Microsoft YaHei"/>
                <w:color w:val="1A2B40"/>
                <w:sz w:val="20"/>
                <w:szCs w:val="20"/>
              </w:rPr>
              <w:t xml:space="preserve">Model/table counts wrong</w:t>
            </w:r>
          </w:p>
        </w:tc>
        <w:tc>
          <w:tcPr>
            <w:tcW w:type="pct" w:w="30%"/>
            <w:tcBorders>
              <w:top w:val="none"/>
              <w:left w:val="none"/>
              <w:bottom w:val="single" w:color="D0D8E0" w:sz="1"/>
              <w:right w:val="none"/>
            </w:tcBorders>
            <w:shd w:fill="FFFFFF" w:val="clear"/>
            <w:tcMar>
              <w:top w:type="dxa" w:w="60"/>
              <w:left w:type="dxa" w:w="120"/>
              <w:bottom w:type="dxa" w:w="60"/>
              <w:right w:type="dxa" w:w="120"/>
            </w:tcMar>
          </w:tcPr>
          <w:p>
            <w:r>
              <w:rPr>
                <w:rFonts w:ascii="Calibri" w:eastAsia="Microsoft YaHei"/>
                <w:color w:val="1A2B40"/>
                <w:sz w:val="20"/>
                <w:szCs w:val="20"/>
              </w:rPr>
              <w:t xml:space="preserve">Count actual models/tables, update all docs</w:t>
            </w:r>
          </w:p>
        </w:tc>
        <w:tc>
          <w:tcPr>
            <w:tcW w:type="pct" w:w="30%"/>
            <w:tcBorders>
              <w:top w:val="none"/>
              <w:left w:val="none"/>
              <w:bottom w:val="single" w:color="D0D8E0" w:sz="1"/>
              <w:right w:val="none"/>
            </w:tcBorders>
            <w:shd w:fill="FFFFFF" w:val="clear"/>
            <w:tcMar>
              <w:top w:type="dxa" w:w="60"/>
              <w:left w:type="dxa" w:w="120"/>
              <w:bottom w:type="dxa" w:w="60"/>
              <w:right w:type="dxa" w:w="120"/>
            </w:tcMar>
          </w:tcPr>
          <w:p>
            <w:r>
              <w:rPr>
                <w:rFonts w:ascii="Calibri" w:eastAsia="Microsoft YaHei"/>
                <w:color w:val="1A2B40"/>
                <w:sz w:val="20"/>
                <w:szCs w:val="20"/>
              </w:rPr>
              <w:t xml:space="preserve">2 hours</w:t>
            </w:r>
          </w:p>
        </w:tc>
      </w:tr>
      <w:tr>
        <w:tc>
          <w:tcPr>
            <w:tcW w:type="pct" w:w="10%"/>
            <w:tcBorders>
              <w:top w:val="none"/>
              <w:left w:val="none"/>
              <w:bottom w:val="single" w:color="D0D8E0" w:sz="1"/>
              <w:right w:val="none"/>
            </w:tcBorders>
            <w:shd w:fill="F4F8FC" w:val="clear"/>
            <w:tcMar>
              <w:top w:type="dxa" w:w="60"/>
              <w:left w:type="dxa" w:w="120"/>
              <w:bottom w:type="dxa" w:w="60"/>
              <w:right w:type="dxa" w:w="120"/>
            </w:tcMar>
          </w:tcPr>
          <w:p>
            <w:r>
              <w:rPr>
                <w:rFonts w:ascii="Calibri" w:eastAsia="Microsoft YaHei"/>
                <w:color w:val="1A2B40"/>
                <w:sz w:val="20"/>
                <w:szCs w:val="20"/>
              </w:rPr>
              <w:t xml:space="preserve">DOC-03</w:t>
            </w:r>
          </w:p>
        </w:tc>
        <w:tc>
          <w:tcPr>
            <w:tcW w:type="pct" w:w="30%"/>
            <w:tcBorders>
              <w:top w:val="none"/>
              <w:left w:val="none"/>
              <w:bottom w:val="single" w:color="D0D8E0" w:sz="1"/>
              <w:right w:val="none"/>
            </w:tcBorders>
            <w:shd w:fill="F4F8FC" w:val="clear"/>
            <w:tcMar>
              <w:top w:type="dxa" w:w="60"/>
              <w:left w:type="dxa" w:w="120"/>
              <w:bottom w:type="dxa" w:w="60"/>
              <w:right w:type="dxa" w:w="120"/>
            </w:tcMar>
          </w:tcPr>
          <w:p>
            <w:r>
              <w:rPr>
                <w:rFonts w:ascii="Calibri" w:eastAsia="Microsoft YaHei"/>
                <w:color w:val="1A2B40"/>
                <w:sz w:val="20"/>
                <w:szCs w:val="20"/>
              </w:rPr>
              <w:t xml:space="preserve">Version numbers inconsistent</w:t>
            </w:r>
          </w:p>
        </w:tc>
        <w:tc>
          <w:tcPr>
            <w:tcW w:type="pct" w:w="30%"/>
            <w:tcBorders>
              <w:top w:val="none"/>
              <w:left w:val="none"/>
              <w:bottom w:val="single" w:color="D0D8E0" w:sz="1"/>
              <w:right w:val="none"/>
            </w:tcBorders>
            <w:shd w:fill="F4F8FC" w:val="clear"/>
            <w:tcMar>
              <w:top w:type="dxa" w:w="60"/>
              <w:left w:type="dxa" w:w="120"/>
              <w:bottom w:type="dxa" w:w="60"/>
              <w:right w:type="dxa" w:w="120"/>
            </w:tcMar>
          </w:tcPr>
          <w:p>
            <w:r>
              <w:rPr>
                <w:rFonts w:ascii="Calibri" w:eastAsia="Microsoft YaHei"/>
                <w:color w:val="1A2B40"/>
                <w:sz w:val="20"/>
                <w:szCs w:val="20"/>
              </w:rPr>
              <w:t xml:space="preserve">Unify to single version across all docs</w:t>
            </w:r>
          </w:p>
        </w:tc>
        <w:tc>
          <w:tcPr>
            <w:tcW w:type="pct" w:w="30%"/>
            <w:tcBorders>
              <w:top w:val="none"/>
              <w:left w:val="none"/>
              <w:bottom w:val="single" w:color="D0D8E0" w:sz="1"/>
              <w:right w:val="none"/>
            </w:tcBorders>
            <w:shd w:fill="F4F8FC" w:val="clear"/>
            <w:tcMar>
              <w:top w:type="dxa" w:w="60"/>
              <w:left w:type="dxa" w:w="120"/>
              <w:bottom w:type="dxa" w:w="60"/>
              <w:right w:type="dxa" w:w="120"/>
            </w:tcMar>
          </w:tcPr>
          <w:p>
            <w:r>
              <w:rPr>
                <w:rFonts w:ascii="Calibri" w:eastAsia="Microsoft YaHei"/>
                <w:color w:val="1A2B40"/>
                <w:sz w:val="20"/>
                <w:szCs w:val="20"/>
              </w:rPr>
              <w:t xml:space="preserve">1 hour</w:t>
            </w:r>
          </w:p>
        </w:tc>
      </w:tr>
      <w:tr>
        <w:tc>
          <w:tcPr>
            <w:tcW w:type="pct" w:w="10%"/>
            <w:tcBorders>
              <w:top w:val="none"/>
              <w:left w:val="none"/>
              <w:bottom w:val="single" w:color="D0D8E0" w:sz="1"/>
              <w:right w:val="none"/>
            </w:tcBorders>
            <w:shd w:fill="FFFFFF" w:val="clear"/>
            <w:tcMar>
              <w:top w:type="dxa" w:w="60"/>
              <w:left w:type="dxa" w:w="120"/>
              <w:bottom w:type="dxa" w:w="60"/>
              <w:right w:type="dxa" w:w="120"/>
            </w:tcMar>
          </w:tcPr>
          <w:p>
            <w:r>
              <w:rPr>
                <w:rFonts w:ascii="Calibri" w:eastAsia="Microsoft YaHei"/>
                <w:color w:val="1A2B40"/>
                <w:sz w:val="20"/>
                <w:szCs w:val="20"/>
              </w:rPr>
              <w:t xml:space="preserve">M-01</w:t>
            </w:r>
          </w:p>
        </w:tc>
        <w:tc>
          <w:tcPr>
            <w:tcW w:type="pct" w:w="30%"/>
            <w:tcBorders>
              <w:top w:val="none"/>
              <w:left w:val="none"/>
              <w:bottom w:val="single" w:color="D0D8E0" w:sz="1"/>
              <w:right w:val="none"/>
            </w:tcBorders>
            <w:shd w:fill="FFFFFF" w:val="clear"/>
            <w:tcMar>
              <w:top w:type="dxa" w:w="60"/>
              <w:left w:type="dxa" w:w="120"/>
              <w:bottom w:type="dxa" w:w="60"/>
              <w:right w:type="dxa" w:w="120"/>
            </w:tcMar>
          </w:tcPr>
          <w:p>
            <w:r>
              <w:rPr>
                <w:rFonts w:ascii="Calibri" w:eastAsia="Microsoft YaHei"/>
                <w:color w:val="1A2B40"/>
                <w:sz w:val="20"/>
                <w:szCs w:val="20"/>
              </w:rPr>
              <w:t xml:space="preserve">5 views violate service layer</w:t>
            </w:r>
          </w:p>
        </w:tc>
        <w:tc>
          <w:tcPr>
            <w:tcW w:type="pct" w:w="30%"/>
            <w:tcBorders>
              <w:top w:val="none"/>
              <w:left w:val="none"/>
              <w:bottom w:val="single" w:color="D0D8E0" w:sz="1"/>
              <w:right w:val="none"/>
            </w:tcBorders>
            <w:shd w:fill="FFFFFF" w:val="clear"/>
            <w:tcMar>
              <w:top w:type="dxa" w:w="60"/>
              <w:left w:type="dxa" w:w="120"/>
              <w:bottom w:type="dxa" w:w="60"/>
              <w:right w:type="dxa" w:w="120"/>
            </w:tcMar>
          </w:tcPr>
          <w:p>
            <w:r>
              <w:rPr>
                <w:rFonts w:ascii="Calibri" w:eastAsia="Microsoft YaHei"/>
                <w:color w:val="1A2B40"/>
                <w:sz w:val="20"/>
                <w:szCs w:val="20"/>
              </w:rPr>
              <w:t xml:space="preserve">Extract logic to service methods</w:t>
            </w:r>
          </w:p>
        </w:tc>
        <w:tc>
          <w:tcPr>
            <w:tcW w:type="pct" w:w="30%"/>
            <w:tcBorders>
              <w:top w:val="none"/>
              <w:left w:val="none"/>
              <w:bottom w:val="single" w:color="D0D8E0" w:sz="1"/>
              <w:right w:val="none"/>
            </w:tcBorders>
            <w:shd w:fill="FFFFFF" w:val="clear"/>
            <w:tcMar>
              <w:top w:type="dxa" w:w="60"/>
              <w:left w:type="dxa" w:w="120"/>
              <w:bottom w:type="dxa" w:w="60"/>
              <w:right w:type="dxa" w:w="120"/>
            </w:tcMar>
          </w:tcPr>
          <w:p>
            <w:r>
              <w:rPr>
                <w:rFonts w:ascii="Calibri" w:eastAsia="Microsoft YaHei"/>
                <w:color w:val="1A2B40"/>
                <w:sz w:val="20"/>
                <w:szCs w:val="20"/>
              </w:rPr>
              <w:t xml:space="preserve">1 day</w:t>
            </w:r>
          </w:p>
        </w:tc>
      </w:tr>
      <w:tr>
        <w:tc>
          <w:tcPr>
            <w:tcW w:type="pct" w:w="10%"/>
            <w:tcBorders>
              <w:top w:val="none"/>
              <w:left w:val="none"/>
              <w:bottom w:val="single" w:color="D0D8E0" w:sz="1"/>
              <w:right w:val="none"/>
            </w:tcBorders>
            <w:shd w:fill="F4F8FC" w:val="clear"/>
            <w:tcMar>
              <w:top w:type="dxa" w:w="60"/>
              <w:left w:type="dxa" w:w="120"/>
              <w:bottom w:type="dxa" w:w="60"/>
              <w:right w:type="dxa" w:w="120"/>
            </w:tcMar>
          </w:tcPr>
          <w:p>
            <w:r>
              <w:rPr>
                <w:rFonts w:ascii="Calibri" w:eastAsia="Microsoft YaHei"/>
                <w:color w:val="1A2B40"/>
                <w:sz w:val="20"/>
                <w:szCs w:val="20"/>
              </w:rPr>
              <w:t xml:space="preserve">M-02</w:t>
            </w:r>
          </w:p>
        </w:tc>
        <w:tc>
          <w:tcPr>
            <w:tcW w:type="pct" w:w="30%"/>
            <w:tcBorders>
              <w:top w:val="none"/>
              <w:left w:val="none"/>
              <w:bottom w:val="single" w:color="D0D8E0" w:sz="1"/>
              <w:right w:val="none"/>
            </w:tcBorders>
            <w:shd w:fill="F4F8FC" w:val="clear"/>
            <w:tcMar>
              <w:top w:type="dxa" w:w="60"/>
              <w:left w:type="dxa" w:w="120"/>
              <w:bottom w:type="dxa" w:w="60"/>
              <w:right w:type="dxa" w:w="120"/>
            </w:tcMar>
          </w:tcPr>
          <w:p>
            <w:r>
              <w:rPr>
                <w:rFonts w:ascii="Calibri" w:eastAsia="Microsoft YaHei"/>
                <w:color w:val="1A2B40"/>
                <w:sz w:val="20"/>
                <w:szCs w:val="20"/>
              </w:rPr>
              <w:t xml:space="preserve">Hardcoded GST rate</w:t>
            </w:r>
          </w:p>
        </w:tc>
        <w:tc>
          <w:tcPr>
            <w:tcW w:type="pct" w:w="30%"/>
            <w:tcBorders>
              <w:top w:val="none"/>
              <w:left w:val="none"/>
              <w:bottom w:val="single" w:color="D0D8E0" w:sz="1"/>
              <w:right w:val="none"/>
            </w:tcBorders>
            <w:shd w:fill="F4F8FC" w:val="clear"/>
            <w:tcMar>
              <w:top w:type="dxa" w:w="60"/>
              <w:left w:type="dxa" w:w="120"/>
              <w:bottom w:type="dxa" w:w="60"/>
              <w:right w:type="dxa" w:w="120"/>
            </w:tcMar>
          </w:tcPr>
          <w:p>
            <w:r>
              <w:rPr>
                <w:rFonts w:ascii="Calibri" w:eastAsia="Microsoft YaHei"/>
                <w:color w:val="1A2B40"/>
                <w:sz w:val="20"/>
                <w:szCs w:val="20"/>
              </w:rPr>
              <w:t xml:space="preserve">Fetch from API dynamically</w:t>
            </w:r>
          </w:p>
        </w:tc>
        <w:tc>
          <w:tcPr>
            <w:tcW w:type="pct" w:w="30%"/>
            <w:tcBorders>
              <w:top w:val="none"/>
              <w:left w:val="none"/>
              <w:bottom w:val="single" w:color="D0D8E0" w:sz="1"/>
              <w:right w:val="none"/>
            </w:tcBorders>
            <w:shd w:fill="F4F8FC" w:val="clear"/>
            <w:tcMar>
              <w:top w:type="dxa" w:w="60"/>
              <w:left w:type="dxa" w:w="120"/>
              <w:bottom w:type="dxa" w:w="60"/>
              <w:right w:type="dxa" w:w="120"/>
            </w:tcMar>
          </w:tcPr>
          <w:p>
            <w:r>
              <w:rPr>
                <w:rFonts w:ascii="Calibri" w:eastAsia="Microsoft YaHei"/>
                <w:color w:val="1A2B40"/>
                <w:sz w:val="20"/>
                <w:szCs w:val="20"/>
              </w:rPr>
              <w:t xml:space="preserve">4 hours</w:t>
            </w:r>
          </w:p>
        </w:tc>
      </w:tr>
      <w:tr>
        <w:tc>
          <w:tcPr>
            <w:tcW w:type="pct" w:w="10%"/>
            <w:tcBorders>
              <w:top w:val="none"/>
              <w:left w:val="none"/>
              <w:bottom w:val="single" w:color="D0D8E0" w:sz="1"/>
              <w:right w:val="none"/>
            </w:tcBorders>
            <w:shd w:fill="FFFFFF" w:val="clear"/>
            <w:tcMar>
              <w:top w:type="dxa" w:w="60"/>
              <w:left w:type="dxa" w:w="120"/>
              <w:bottom w:type="dxa" w:w="60"/>
              <w:right w:type="dxa" w:w="120"/>
            </w:tcMar>
          </w:tcPr>
          <w:p>
            <w:r>
              <w:rPr>
                <w:rFonts w:ascii="Calibri" w:eastAsia="Microsoft YaHei"/>
                <w:color w:val="1A2B40"/>
                <w:sz w:val="20"/>
                <w:szCs w:val="20"/>
              </w:rPr>
              <w:t xml:space="preserve">M-03</w:t>
            </w:r>
          </w:p>
        </w:tc>
        <w:tc>
          <w:tcPr>
            <w:tcW w:type="pct" w:w="30%"/>
            <w:tcBorders>
              <w:top w:val="none"/>
              <w:left w:val="none"/>
              <w:bottom w:val="single" w:color="D0D8E0" w:sz="1"/>
              <w:right w:val="none"/>
            </w:tcBorders>
            <w:shd w:fill="FFFFFF" w:val="clear"/>
            <w:tcMar>
              <w:top w:type="dxa" w:w="60"/>
              <w:left w:type="dxa" w:w="120"/>
              <w:bottom w:type="dxa" w:w="60"/>
              <w:right w:type="dxa" w:w="120"/>
            </w:tcMar>
          </w:tcPr>
          <w:p>
            <w:r>
              <w:rPr>
                <w:rFonts w:ascii="Calibri" w:eastAsia="Microsoft YaHei"/>
                <w:color w:val="1A2B40"/>
                <w:sz w:val="20"/>
                <w:szCs w:val="20"/>
              </w:rPr>
              <w:t xml:space="preserve">Invoices page mock data</w:t>
            </w:r>
          </w:p>
        </w:tc>
        <w:tc>
          <w:tcPr>
            <w:tcW w:type="pct" w:w="30%"/>
            <w:tcBorders>
              <w:top w:val="none"/>
              <w:left w:val="none"/>
              <w:bottom w:val="single" w:color="D0D8E0" w:sz="1"/>
              <w:right w:val="none"/>
            </w:tcBorders>
            <w:shd w:fill="FFFFFF" w:val="clear"/>
            <w:tcMar>
              <w:top w:type="dxa" w:w="60"/>
              <w:left w:type="dxa" w:w="120"/>
              <w:bottom w:type="dxa" w:w="60"/>
              <w:right w:type="dxa" w:w="120"/>
            </w:tcMar>
          </w:tcPr>
          <w:p>
            <w:r>
              <w:rPr>
                <w:rFonts w:ascii="Calibri" w:eastAsia="Microsoft YaHei"/>
                <w:color w:val="1A2B40"/>
                <w:sz w:val="20"/>
                <w:szCs w:val="20"/>
              </w:rPr>
              <w:t xml:space="preserve">Connect to useInvoices hook</w:t>
            </w:r>
          </w:p>
        </w:tc>
        <w:tc>
          <w:tcPr>
            <w:tcW w:type="pct" w:w="30%"/>
            <w:tcBorders>
              <w:top w:val="none"/>
              <w:left w:val="none"/>
              <w:bottom w:val="single" w:color="D0D8E0" w:sz="1"/>
              <w:right w:val="none"/>
            </w:tcBorders>
            <w:shd w:fill="FFFFFF" w:val="clear"/>
            <w:tcMar>
              <w:top w:type="dxa" w:w="60"/>
              <w:left w:type="dxa" w:w="120"/>
              <w:bottom w:type="dxa" w:w="60"/>
              <w:right w:type="dxa" w:w="120"/>
            </w:tcMar>
          </w:tcPr>
          <w:p>
            <w:r>
              <w:rPr>
                <w:rFonts w:ascii="Calibri" w:eastAsia="Microsoft YaHei"/>
                <w:color w:val="1A2B40"/>
                <w:sz w:val="20"/>
                <w:szCs w:val="20"/>
              </w:rPr>
              <w:t xml:space="preserve">2 hours</w:t>
            </w:r>
          </w:p>
        </w:tc>
      </w:tr>
      <w:tr>
        <w:tc>
          <w:tcPr>
            <w:tcW w:type="pct" w:w="10%"/>
            <w:tcBorders>
              <w:top w:val="none"/>
              <w:left w:val="none"/>
              <w:bottom w:val="single" w:color="D0D8E0" w:sz="1"/>
              <w:right w:val="none"/>
            </w:tcBorders>
            <w:shd w:fill="F4F8FC" w:val="clear"/>
            <w:tcMar>
              <w:top w:type="dxa" w:w="60"/>
              <w:left w:type="dxa" w:w="120"/>
              <w:bottom w:type="dxa" w:w="60"/>
              <w:right w:type="dxa" w:w="120"/>
            </w:tcMar>
          </w:tcPr>
          <w:p>
            <w:r>
              <w:rPr>
                <w:rFonts w:ascii="Calibri" w:eastAsia="Microsoft YaHei"/>
                <w:color w:val="1A2B40"/>
                <w:sz w:val="20"/>
                <w:szCs w:val="20"/>
              </w:rPr>
              <w:t xml:space="preserve">M-04</w:t>
            </w:r>
          </w:p>
        </w:tc>
        <w:tc>
          <w:tcPr>
            <w:tcW w:type="pct" w:w="30%"/>
            <w:tcBorders>
              <w:top w:val="none"/>
              <w:left w:val="none"/>
              <w:bottom w:val="single" w:color="D0D8E0" w:sz="1"/>
              <w:right w:val="none"/>
            </w:tcBorders>
            <w:shd w:fill="F4F8FC" w:val="clear"/>
            <w:tcMar>
              <w:top w:type="dxa" w:w="60"/>
              <w:left w:type="dxa" w:w="120"/>
              <w:bottom w:type="dxa" w:w="60"/>
              <w:right w:type="dxa" w:w="120"/>
            </w:tcMar>
          </w:tcPr>
          <w:p>
            <w:r>
              <w:rPr>
                <w:rFonts w:ascii="Calibri" w:eastAsia="Microsoft YaHei"/>
                <w:color w:val="1A2B40"/>
                <w:sz w:val="20"/>
                <w:szCs w:val="20"/>
              </w:rPr>
              <w:t xml:space="preserve">FormData sent via JSON client</w:t>
            </w:r>
          </w:p>
        </w:tc>
        <w:tc>
          <w:tcPr>
            <w:tcW w:type="pct" w:w="30%"/>
            <w:tcBorders>
              <w:top w:val="none"/>
              <w:left w:val="none"/>
              <w:bottom w:val="single" w:color="D0D8E0" w:sz="1"/>
              <w:right w:val="none"/>
            </w:tcBorders>
            <w:shd w:fill="F4F8FC" w:val="clear"/>
            <w:tcMar>
              <w:top w:type="dxa" w:w="60"/>
              <w:left w:type="dxa" w:w="120"/>
              <w:bottom w:type="dxa" w:w="60"/>
              <w:right w:type="dxa" w:w="120"/>
            </w:tcMar>
          </w:tcPr>
          <w:p>
            <w:r>
              <w:rPr>
                <w:rFonts w:ascii="Calibri" w:eastAsia="Microsoft YaHei"/>
                <w:color w:val="1A2B40"/>
                <w:sz w:val="20"/>
                <w:szCs w:val="20"/>
              </w:rPr>
              <w:t xml:space="preserve">Create multipart upload function</w:t>
            </w:r>
          </w:p>
        </w:tc>
        <w:tc>
          <w:tcPr>
            <w:tcW w:type="pct" w:w="30%"/>
            <w:tcBorders>
              <w:top w:val="none"/>
              <w:left w:val="none"/>
              <w:bottom w:val="single" w:color="D0D8E0" w:sz="1"/>
              <w:right w:val="none"/>
            </w:tcBorders>
            <w:shd w:fill="F4F8FC" w:val="clear"/>
            <w:tcMar>
              <w:top w:type="dxa" w:w="60"/>
              <w:left w:type="dxa" w:w="120"/>
              <w:bottom w:type="dxa" w:w="60"/>
              <w:right w:type="dxa" w:w="120"/>
            </w:tcMar>
          </w:tcPr>
          <w:p>
            <w:r>
              <w:rPr>
                <w:rFonts w:ascii="Calibri" w:eastAsia="Microsoft YaHei"/>
                <w:color w:val="1A2B40"/>
                <w:sz w:val="20"/>
                <w:szCs w:val="20"/>
              </w:rPr>
              <w:t xml:space="preserve">2 hours</w:t>
            </w:r>
          </w:p>
        </w:tc>
      </w:tr>
    </w:tbl>
    <w:p>
      <w:pPr>
        <w:pStyle w:val="Heading1"/>
        <w:spacing w:after="120" w:before="360"/>
      </w:pPr>
      <w:bookmarkStart w:id="100038" w:name="_Toc100038"/>
      <w:r>
        <w:rPr>
          <w:rFonts w:ascii="Calibri" w:eastAsia="SimHei"/>
          <w:b/>
          <w:bCs/>
          <w:color w:val="0A1628"/>
          <w:sz w:val="32"/>
          <w:szCs w:val="32"/>
        </w:rPr>
        <w:t xml:space="preserve">9. Strategic Recommendations</w:t>
      </w:r>
      <w:bookmarkEnd w:id="100038"/>
    </w:p>
    <w:p>
      <w:pPr>
        <w:pStyle w:val="Heading2"/>
        <w:spacing w:after="100" w:before="280"/>
      </w:pPr>
      <w:bookmarkStart w:id="100039" w:name="_Toc100039"/>
      <w:r>
        <w:rPr>
          <w:rFonts w:ascii="Calibri" w:eastAsia="SimHei"/>
          <w:b/>
          <w:bCs/>
          <w:color w:val="0A1628"/>
          <w:sz w:val="28"/>
          <w:szCs w:val="28"/>
        </w:rPr>
        <w:t xml:space="preserve">9.1 Single Source of Truth for Metrics</w:t>
      </w:r>
      <w:bookmarkEnd w:id="100039"/>
    </w:p>
    <w:p>
      <w:pPr>
        <w:spacing w:after="80" w:line="312"/>
        <w:jc w:val="both"/>
      </w:pPr>
      <w:r>
        <w:rPr>
          <w:rFonts w:ascii="Calibri" w:eastAsia="Microsoft YaHei"/>
          <w:color w:val="1A2B40"/>
          <w:sz w:val="22"/>
          <w:szCs w:val="22"/>
        </w:rPr>
        <w:t xml:space="preserve">The project has six documentation files that all contain overlapping metrics (test counts, endpoint counts, version numbers, table counts). These frequently fall out of sync, as demonstrated by this audit. The recommendation is to create a single metrics.json file (or a generated section) that serves as the authoritative source, with all other documentation files referencing it rather than duplicating the values. This could be auto-generated as part of the CI/CD pipeline by running scripts that count actual endpoints, models, tests, and tables.</w:t>
      </w:r>
    </w:p>
    <w:p>
      <w:pPr>
        <w:pStyle w:val="Heading2"/>
        <w:spacing w:after="100" w:before="280"/>
      </w:pPr>
      <w:bookmarkStart w:id="100040" w:name="_Toc100040"/>
      <w:r>
        <w:rPr>
          <w:rFonts w:ascii="Calibri" w:eastAsia="SimHei"/>
          <w:b/>
          <w:bCs/>
          <w:color w:val="0A1628"/>
          <w:sz w:val="28"/>
          <w:szCs w:val="28"/>
        </w:rPr>
        <w:t xml:space="preserve">9.2 Add Pre-commit Hooks for Documentation Consistency</w:t>
      </w:r>
      <w:bookmarkEnd w:id="100040"/>
    </w:p>
    <w:p>
      <w:pPr>
        <w:spacing w:after="80" w:line="312"/>
        <w:jc w:val="both"/>
      </w:pPr>
      <w:r>
        <w:rPr>
          <w:rFonts w:ascii="Calibri" w:eastAsia="Microsoft YaHei"/>
          <w:color w:val="1A2B40"/>
          <w:sz w:val="22"/>
          <w:szCs w:val="22"/>
        </w:rPr>
        <w:t xml:space="preserve">Implement pre-commit hooks or CI checks that verify documentation claims against the actual codebase. For example, a script that counts URL patterns and compares them to the documented endpoint count, or that verifies the model count matches the documentation. This would prevent documentation drift and ensure that developers are working from accurate information, which is especially important for a project that relies heavily on AI coding agents that reference these documentation files.</w:t>
      </w:r>
    </w:p>
    <w:p>
      <w:pPr>
        <w:pStyle w:val="Heading2"/>
        <w:spacing w:after="100" w:before="280"/>
      </w:pPr>
      <w:bookmarkStart w:id="100041" w:name="_Toc100041"/>
      <w:r>
        <w:rPr>
          <w:rFonts w:ascii="Calibri" w:eastAsia="SimHei"/>
          <w:b/>
          <w:bCs/>
          <w:color w:val="0A1628"/>
          <w:sz w:val="28"/>
          <w:szCs w:val="28"/>
        </w:rPr>
        <w:t xml:space="preserve">9.3 Implement End-to-End Contract Testing</w:t>
      </w:r>
      <w:bookmarkEnd w:id="100041"/>
    </w:p>
    <w:p>
      <w:pPr>
        <w:spacing w:after="80" w:line="312"/>
        <w:jc w:val="both"/>
      </w:pPr>
      <w:r>
        <w:rPr>
          <w:rFonts w:ascii="Calibri" w:eastAsia="Microsoft YaHei"/>
          <w:color w:val="1A2B40"/>
          <w:sz w:val="22"/>
          <w:szCs w:val="22"/>
        </w:rPr>
        <w:t xml:space="preserve">While the project has API contract tests, they should be expanded to cover all list endpoints and verify the {results, count} format consistently. Consider implementing consumer-driven contract testing (e.g., using Pact) to formally define the contract between the frontend and backend, preventing the kind of mismatch that broke the Banking module. This is particularly important given that the frontend and backend are in separate codebases with independent deployment cycles.</w:t>
      </w:r>
    </w:p>
    <w:p>
      <w:pPr>
        <w:pStyle w:val="Heading2"/>
        <w:spacing w:after="100" w:before="280"/>
      </w:pPr>
      <w:bookmarkStart w:id="100042" w:name="_Toc100042"/>
      <w:r>
        <w:rPr>
          <w:rFonts w:ascii="Calibri" w:eastAsia="SimHei"/>
          <w:b/>
          <w:bCs/>
          <w:color w:val="0A1628"/>
          <w:sz w:val="28"/>
          <w:szCs w:val="28"/>
        </w:rPr>
        <w:t xml:space="preserve">9.4 Security Posture Enhancement</w:t>
      </w:r>
      <w:bookmarkEnd w:id="100042"/>
    </w:p>
    <w:p>
      <w:pPr>
        <w:spacing w:after="80" w:line="312"/>
        <w:jc w:val="both"/>
      </w:pPr>
      <w:r>
        <w:rPr>
          <w:rFonts w:ascii="Calibri" w:eastAsia="Microsoft YaHei"/>
          <w:color w:val="1A2B40"/>
          <w:sz w:val="22"/>
          <w:szCs w:val="22"/>
        </w:rPr>
        <w:t xml:space="preserve">While the project claims a 100% security score, this audit found several security-relevant issues (missing RLS, JWT blacklist, pending user access). The recommendation is to qualify the security score claim by noting that CSP is in report-only mode and SEC-004/005 remain open. Additionally, consider implementing automated security testing in the CI pipeline that checks for RLS policies on all tables, validates JWT blacklist functionality, and verifies that all list endpoints return the expected paginated format.</w:t>
      </w:r>
    </w:p>
    <w:p>
      <w:pPr>
        <w:pStyle w:val="Heading2"/>
        <w:spacing w:after="100" w:before="280"/>
      </w:pPr>
      <w:bookmarkStart w:id="100043" w:name="_Toc100043"/>
      <w:r>
        <w:rPr>
          <w:rFonts w:ascii="Calibri" w:eastAsia="SimHei"/>
          <w:b/>
          <w:bCs/>
          <w:color w:val="0A1628"/>
          <w:sz w:val="28"/>
          <w:szCs w:val="28"/>
        </w:rPr>
        <w:t xml:space="preserve">9.5 Database Migration Strategy</w:t>
      </w:r>
      <w:bookmarkEnd w:id="100043"/>
    </w:p>
    <w:p>
      <w:pPr>
        <w:spacing w:after="80" w:line="312"/>
        <w:jc w:val="both"/>
      </w:pPr>
      <w:r>
        <w:rPr>
          <w:rFonts w:ascii="Calibri" w:eastAsia="Microsoft YaHei"/>
          <w:color w:val="1A2B40"/>
          <w:sz w:val="22"/>
          <w:szCs w:val="22"/>
        </w:rPr>
        <w:t xml:space="preserve">The SQL-First approach is a strength, but the lack of a formal migration strategy creates risks. When schema changes are needed, developers must manually write SQL patches and update Django models. Consider creating a structured migration directory (separate from Django's migration system) that tracks SQL patches in order, similar to Flyway or Liquibase. Each patch should include both the up and down migration, along with a description of the change and its impact on Django models.</w:t>
      </w:r>
    </w:p>
    <w:p>
      <w:pPr>
        <w:pStyle w:val="Heading1"/>
        <w:spacing w:after="120" w:before="360"/>
      </w:pPr>
      <w:bookmarkStart w:id="100044" w:name="_Toc100044"/>
      <w:r>
        <w:rPr>
          <w:rFonts w:ascii="Calibri" w:eastAsia="SimHei"/>
          <w:b/>
          <w:bCs/>
          <w:color w:val="0A1628"/>
          <w:sz w:val="32"/>
          <w:szCs w:val="32"/>
        </w:rPr>
        <w:t xml:space="preserve">10. Conclusion</w:t>
      </w:r>
      <w:bookmarkEnd w:id="100044"/>
    </w:p>
    <w:p>
      <w:pPr>
        <w:spacing w:after="80" w:line="312"/>
        <w:jc w:val="both"/>
      </w:pPr>
      <w:r>
        <w:rPr>
          <w:rFonts w:ascii="Calibri" w:eastAsia="Microsoft YaHei"/>
          <w:color w:val="1A2B40"/>
          <w:sz w:val="22"/>
          <w:szCs w:val="22"/>
        </w:rPr>
        <w:t xml:space="preserve">The LedgerSG project demonstrates strong architectural foundations with its SQL-First design, Service Layer Pattern, and defense-in-depth security approach. The core design decisions are sound and well-documented, providing a solid framework for building a compliant accounting platform for Singapore SMBs.</w:t>
      </w:r>
    </w:p>
    <w:p>
      <w:pPr>
        <w:spacing w:after="80" w:line="312"/>
        <w:jc w:val="both"/>
      </w:pPr>
      <w:r>
        <w:rPr>
          <w:rFonts w:ascii="Calibri" w:eastAsia="Microsoft YaHei"/>
          <w:color w:val="1A2B40"/>
          <w:sz w:val="22"/>
          <w:szCs w:val="22"/>
        </w:rPr>
        <w:t xml:space="preserve">However, this audit has identified 28 issues ranging from critical data integrity bugs to documentation misalignments. The four critical findings (dead superadmin check, missing JWT blacklist, journal reversal stub, and hardcoded null UUID in GST calculation) represent immediate risks that must be addressed before the platform can be safely deployed to production. The high-severity findings (race conditions, broken PDF downloads, missing RLS policies) further underscore the need for thorough remediation.</w:t>
      </w:r>
    </w:p>
    <w:p>
      <w:pPr>
        <w:spacing w:after="80" w:line="312"/>
        <w:jc w:val="both"/>
      </w:pPr>
      <w:r>
        <w:rPr>
          <w:rFonts w:ascii="Calibri" w:eastAsia="Microsoft YaHei"/>
          <w:color w:val="1A2B40"/>
          <w:sz w:val="22"/>
          <w:szCs w:val="22"/>
        </w:rPr>
        <w:t xml:space="preserve">The most concerning pattern revealed by this audit is not any single bug, but rather the gap between the documentation's claims of production readiness and the actual state of the code. Documentation stating 100% security scores, specific test counts, and precise endpoint numbers that do not match reality can mislead both human developers and AI agents into making incorrect assumptions. The remediation plan provided in Section 8 prioritizes fixing these discrepancies alongside the code-level issues, ensuring that the project's documentation accurately reflects its implementation.</w:t>
      </w:r>
    </w:p>
    <w:p>
      <w:pPr>
        <w:spacing w:after="80" w:line="312"/>
        <w:jc w:val="both"/>
      </w:pPr>
      <w:r>
        <w:rPr>
          <w:rFonts w:ascii="Calibri" w:eastAsia="Microsoft YaHei"/>
          <w:color w:val="1A2B40"/>
          <w:sz w:val="22"/>
          <w:szCs w:val="22"/>
        </w:rPr>
        <w:t xml:space="preserve">With the recommended fixes applied, particularly the Phase 1 critical fixes, the LedgerSG platform would be well-positioned for production deployment. The underlying architecture is robust, and the issues identified are largely implementation gaps rather than fundamental design flaws.</w:t>
      </w:r>
    </w:p>
    <w:sectPr>
      <w:footerReference w:type="default" r:id="rId8"/>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878A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878A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A2B4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color w:val="2E74B5"/>
      <w:sz w:val="32"/>
      <w:szCs w:val="32"/>
    </w:rPr>
  </w:style>
  <w:style w:type="paragraph" w:styleId="Heading2">
    <w:pPr>
      <w:outlineLvl w:val="1"/>
    </w:pPr>
    <w:name w:val="Heading 2"/>
    <w:basedOn w:val="Normal"/>
    <w:next w:val="Normal"/>
    <w:qFormat/>
    <w:rPr>
      <w:color w:val="2E74B5"/>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2026-05-24T00:07:34.857Z</dcterms:created>
  <dcterms:modified xsi:type="dcterms:W3CDTF">2026-05-24T00:07:34.857Z</dcterms:modified>
</cp:coreProperties>
</file>

<file path=docProps/custom.xml><?xml version="1.0" encoding="utf-8"?>
<Properties xmlns="http://schemas.openxmlformats.org/officeDocument/2006/custom-properties" xmlns:vt="http://schemas.openxmlformats.org/officeDocument/2006/docPropsVTypes"/>
</file>