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596"/>
            </w:pPr>
          </w:p>
          <w:p>
            <w:pPr>
              <w:pBdr>
                <w:bottom w:val="single" w:color="C9A84C" w:sz="6" w:space="8"/>
              </w:pBdr>
              <w:spacing w:after="500"/>
              <w:ind w:left="1200" w:right="800"/>
            </w:pPr>
            <w:r>
              <w:rPr>
                <w:rFonts w:ascii="Calibri" w:eastAsia="SimHei"/>
                <w:color w:val="C9A84C"/>
                <w:spacing w:val="40"/>
                <w:sz w:val="18"/>
                <w:szCs w:val="18"/>
              </w:rPr>
              <w:t xml:space="preserve">I  N  D  E  P  E  N  D  E  N  T     A  U  D  I  T     R  E  P  O  R  T</w:t>
            </w:r>
          </w:p>
          <w:p>
            <w:pPr>
              <w:spacing w:after="300" w:line="920" w:lineRule="atLeast"/>
              <w:ind w:left="1200"/>
            </w:pPr>
            <w:r>
              <w:rPr>
                <w:rFonts w:ascii="Arial" w:eastAsia="SimHei"/>
                <w:b/>
                <w:bCs/>
                <w:color w:val="FFFFFF"/>
                <w:sz w:val="80"/>
                <w:szCs w:val="80"/>
              </w:rPr>
              <w:t xml:space="preserve">Equity Research Audit</w:t>
            </w:r>
          </w:p>
          <w:p>
            <w:pPr>
              <w:spacing w:after="800"/>
              <w:ind w:left="1200" w:right="800"/>
            </w:pPr>
            <w:r>
              <w:rPr>
                <w:rFonts w:ascii="Arial" w:eastAsia="Microsoft YaHei"/>
                <w:color w:val="B0B8C0"/>
                <w:sz w:val="24"/>
                <w:szCs w:val="24"/>
              </w:rPr>
              <w:t xml:space="preserve">Three big-tech research agent skills evaluated against institutional research standards</w:t>
            </w:r>
          </w:p>
          <w:p>
            <w:pPr>
              <w:pBdr>
                <w:left w:val="single" w:color="C9A84C" w:sz="8" w:space="12"/>
              </w:pBdr>
              <w:spacing w:after="80"/>
              <w:ind w:left="1400" w:right="800"/>
            </w:pPr>
            <w:r>
              <w:rPr>
                <w:rFonts w:ascii="Arial" w:eastAsia="Microsoft YaHei"/>
                <w:color w:val="90989F"/>
                <w:sz w:val="24"/>
                <w:szCs w:val="24"/>
              </w:rPr>
              <w:t xml:space="preserve">Repository: github.com/nordeim/my-pi-agent @ 48cd3f97 (2026-10-30)</w:t>
            </w:r>
          </w:p>
          <w:p>
            <w:pPr>
              <w:pBdr>
                <w:left w:val="single" w:color="C9A84C" w:sz="8" w:space="12"/>
              </w:pBdr>
              <w:spacing w:after="80"/>
              <w:ind w:left="1400" w:right="800"/>
            </w:pPr>
            <w:r>
              <w:rPr>
                <w:rFonts w:ascii="Arial" w:eastAsia="Microsoft YaHei"/>
                <w:color w:val="90989F"/>
                <w:sz w:val="24"/>
                <w:szCs w:val="24"/>
              </w:rPr>
              <w:t xml:space="preserve">Scope: analyzing-us-bigtech-stocks · big-tech-earnings-postmortem · bigtech-equity-research</w:t>
            </w:r>
          </w:p>
          <w:p>
            <w:pPr>
              <w:pBdr>
                <w:left w:val="single" w:color="C9A84C" w:sz="8" w:space="12"/>
              </w:pBdr>
              <w:spacing w:after="80"/>
              <w:ind w:left="1400" w:right="800"/>
            </w:pPr>
            <w:r>
              <w:rPr>
                <w:rFonts w:ascii="Arial" w:eastAsia="Microsoft YaHei"/>
                <w:color w:val="90989F"/>
                <w:sz w:val="24"/>
                <w:szCs w:val="24"/>
              </w:rPr>
              <w:t xml:space="preserve">Evidence: 17 files · 2,078 lines · 3 executed scripts · 19 verification checks</w:t>
            </w:r>
          </w:p>
          <w:p>
            <w:pPr>
              <w:pBdr>
                <w:left w:val="single" w:color="C9A84C" w:sz="8" w:space="12"/>
              </w:pBdr>
              <w:spacing w:after="80"/>
              <w:ind w:left="1400" w:right="800"/>
            </w:pPr>
            <w:r>
              <w:rPr>
                <w:rFonts w:ascii="Arial" w:eastAsia="Microsoft YaHei"/>
                <w:color w:val="90989F"/>
                <w:sz w:val="24"/>
                <w:szCs w:val="24"/>
              </w:rPr>
              <w:t xml:space="preserve">Prepared by: GLM coding-specialist agent · Mode C audit (review without modification)</w:t>
            </w:r>
          </w:p>
          <w:p>
            <w:pPr>
              <w:spacing w:before="4596"/>
            </w:pPr>
          </w:p>
          <w:p>
            <w:pPr>
              <w:pBdr>
                <w:top w:val="single" w:color="C9A84C" w:sz="2" w:space="8"/>
              </w:pBdr>
              <w:spacing w:before="200"/>
              <w:ind w:left="1200" w:right="800"/>
            </w:pPr>
            <w:r>
              <w:rPr>
                <w:rFonts w:ascii="Arial"/>
                <w:color w:val="687078"/>
                <w:sz w:val="16"/>
                <w:szCs w:val="16"/>
              </w:rPr>
              <w:t xml:space="preserve">Informational audit — not investment advice</w:t>
            </w:r>
            <w:r>
              <w:t xml:space="preserve">                                        </w:t>
            </w:r>
            <w:r>
              <w:rPr>
                <w:rFonts w:ascii="Arial"/>
                <w:color w:val="687078"/>
                <w:sz w:val="16"/>
                <w:szCs w:val="16"/>
              </w:rPr>
              <w:t xml:space="preserve">2026-10-30 · Asia/Singapore</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1A1A1A"/>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instrText xml:space="preserve">TOC \h \o "1-3"</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Scope, Standards and Method</w:t>
            </w:r>
            <w:r>
              <w:tab/>
            </w:r>
            <w:r>
              <w:fldChar w:fldCharType="begin" w:dirty="true"/>
              <w:instrText xml:space="preserve">PAGEREF _Toc2 \h</w:instrText>
              <w:fldChar w:fldCharType="separate"/>
              <w:fldChar w:fldCharType="end"/>
            </w:r>
          </w:hyperlink>
        </w:p>
        <w:p>
          <w:pPr>
            <w:pStyle w:val="TOC2"/>
            <w:tabs>
              <w:tab w:val="right" w:pos="8788" w:leader="dot"/>
            </w:tabs>
          </w:pPr>
          <w:hyperlink w:history="1" w:anchor="_Toc3">
            <w:r>
              <w:t xml:space="preserve">2.1 Scope and repository context</w:t>
            </w:r>
            <w:r>
              <w:tab/>
            </w:r>
            <w:r>
              <w:fldChar w:fldCharType="begin" w:dirty="true"/>
              <w:instrText xml:space="preserve">PAGEREF _Toc3 \h</w:instrText>
              <w:fldChar w:fldCharType="separate"/>
              <w:fldChar w:fldCharType="end"/>
            </w:r>
          </w:hyperlink>
        </w:p>
        <w:p>
          <w:pPr>
            <w:pStyle w:val="TOC2"/>
            <w:tabs>
              <w:tab w:val="right" w:pos="8788" w:leader="dot"/>
            </w:tabs>
          </w:pPr>
          <w:hyperlink w:history="1" w:anchor="_Toc4">
            <w:r>
              <w:t xml:space="preserve">2.2 The institutional standards applied</w:t>
            </w:r>
            <w:r>
              <w:tab/>
            </w:r>
            <w:r>
              <w:fldChar w:fldCharType="begin" w:dirty="true"/>
              <w:instrText xml:space="preserve">PAGEREF _Toc4 \h</w:instrText>
              <w:fldChar w:fldCharType="separate"/>
              <w:fldChar w:fldCharType="end"/>
            </w:r>
          </w:hyperlink>
        </w:p>
        <w:p>
          <w:pPr>
            <w:pStyle w:val="TOC2"/>
            <w:tabs>
              <w:tab w:val="right" w:pos="8788" w:leader="dot"/>
            </w:tabs>
          </w:pPr>
          <w:hyperlink w:history="1" w:anchor="_Toc5">
            <w:r>
              <w:t xml:space="preserve">2.3 Audit method and evidence classes</w:t>
            </w:r>
            <w:r>
              <w:tab/>
            </w:r>
            <w:r>
              <w:fldChar w:fldCharType="begin" w:dirty="true"/>
              <w:instrText xml:space="preserve">PAGEREF _Toc5 \h</w:instrText>
              <w:fldChar w:fldCharType="separate"/>
              <w:fldChar w:fldCharType="end"/>
            </w:r>
          </w:hyperlink>
        </w:p>
        <w:p>
          <w:pPr>
            <w:pStyle w:val="TOC2"/>
            <w:tabs>
              <w:tab w:val="right" w:pos="8788" w:leader="dot"/>
            </w:tabs>
          </w:pPr>
          <w:hyperlink w:history="1" w:anchor="_Toc6">
            <w:r>
              <w:t xml:space="preserve">2.4 Limitations</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3. Findings by Severity</w:t>
            </w:r>
            <w:r>
              <w:tab/>
            </w:r>
            <w:r>
              <w:fldChar w:fldCharType="begin" w:dirty="true"/>
              <w:instrText xml:space="preserve">PAGEREF _Toc7 \h</w:instrText>
              <w:fldChar w:fldCharType="separate"/>
              <w:fldChar w:fldCharType="end"/>
            </w:r>
          </w:hyperlink>
        </w:p>
        <w:p>
          <w:pPr>
            <w:pStyle w:val="TOC2"/>
            <w:tabs>
              <w:tab w:val="right" w:pos="8788" w:leader="dot"/>
            </w:tabs>
          </w:pPr>
          <w:hyperlink w:history="1" w:anchor="_Toc8">
            <w:r>
              <w:t xml:space="preserve">3.1 High-severity findings</w:t>
            </w:r>
            <w:r>
              <w:tab/>
            </w:r>
            <w:r>
              <w:fldChar w:fldCharType="begin" w:dirty="true"/>
              <w:instrText xml:space="preserve">PAGEREF _Toc8 \h</w:instrText>
              <w:fldChar w:fldCharType="separate"/>
              <w:fldChar w:fldCharType="end"/>
            </w:r>
          </w:hyperlink>
        </w:p>
        <w:p>
          <w:pPr>
            <w:pStyle w:val="TOC3"/>
            <w:tabs>
              <w:tab w:val="right" w:pos="8788" w:leader="dot"/>
            </w:tabs>
          </w:pPr>
          <w:hyperlink w:history="1" w:anchor="_Toc9">
            <w:r>
              <w:t xml:space="preserve">H-1 · Cross-skill figure conflicts on the same event (High)</w:t>
            </w:r>
            <w:r>
              <w:tab/>
            </w:r>
            <w:r>
              <w:fldChar w:fldCharType="begin" w:dirty="true"/>
              <w:instrText xml:space="preserve">PAGEREF _Toc9 \h</w:instrText>
              <w:fldChar w:fldCharType="separate"/>
              <w:fldChar w:fldCharType="end"/>
            </w:r>
          </w:hyperlink>
        </w:p>
        <w:p>
          <w:pPr>
            <w:pStyle w:val="TOC3"/>
            <w:tabs>
              <w:tab w:val="right" w:pos="8788" w:leader="dot"/>
            </w:tabs>
          </w:pPr>
          <w:hyperlink w:history="1" w:anchor="_Toc10">
            <w:r>
              <w:t xml:space="preserve">H-2 · No disclaimer anywhere in skill 2 (High)</w:t>
            </w:r>
            <w:r>
              <w:tab/>
            </w:r>
            <w:r>
              <w:fldChar w:fldCharType="begin" w:dirty="true"/>
              <w:instrText xml:space="preserve">PAGEREF _Toc10 \h</w:instrText>
              <w:fldChar w:fldCharType="separate"/>
              <w:fldChar w:fldCharType="end"/>
            </w:r>
          </w:hyperlink>
        </w:p>
        <w:p>
          <w:pPr>
            <w:pStyle w:val="TOC3"/>
            <w:tabs>
              <w:tab w:val="right" w:pos="8788" w:leader="dot"/>
            </w:tabs>
          </w:pPr>
          <w:hyperlink w:history="1" w:anchor="_Toc11">
            <w:r>
              <w:t xml:space="preserve">H-3 · Segment map wrong for 3 of 7 companies (High)</w:t>
            </w:r>
            <w:r>
              <w:tab/>
            </w:r>
            <w:r>
              <w:fldChar w:fldCharType="begin" w:dirty="true"/>
              <w:instrText xml:space="preserve">PAGEREF _Toc11 \h</w:instrText>
              <w:fldChar w:fldCharType="separate"/>
              <w:fldChar w:fldCharType="end"/>
            </w:r>
          </w:hyperlink>
        </w:p>
        <w:p>
          <w:pPr>
            <w:pStyle w:val="TOC3"/>
            <w:tabs>
              <w:tab w:val="right" w:pos="8788" w:leader="dot"/>
            </w:tabs>
          </w:pPr>
          <w:hyperlink w:history="1" w:anchor="_Toc12">
            <w:r>
              <w:t xml:space="preserve">H-4 · Numeric audit gate can silently pass (High)</w:t>
            </w:r>
            <w:r>
              <w:tab/>
            </w:r>
            <w:r>
              <w:fldChar w:fldCharType="begin" w:dirty="true"/>
              <w:instrText xml:space="preserve">PAGEREF _Toc12 \h</w:instrText>
              <w:fldChar w:fldCharType="separate"/>
              <w:fldChar w:fldCharType="end"/>
            </w:r>
          </w:hyperlink>
        </w:p>
        <w:p>
          <w:pPr>
            <w:pStyle w:val="TOC2"/>
            <w:tabs>
              <w:tab w:val="right" w:pos="8788" w:leader="dot"/>
            </w:tabs>
          </w:pPr>
          <w:hyperlink w:history="1" w:anchor="_Toc13">
            <w:r>
              <w:t xml:space="preserve">3.2 Medium-severity findings</w:t>
            </w:r>
            <w:r>
              <w:tab/>
            </w:r>
            <w:r>
              <w:fldChar w:fldCharType="begin" w:dirty="true"/>
              <w:instrText xml:space="preserve">PAGEREF _Toc13 \h</w:instrText>
              <w:fldChar w:fldCharType="separate"/>
              <w:fldChar w:fldCharType="end"/>
            </w:r>
          </w:hyperlink>
        </w:p>
        <w:p>
          <w:pPr>
            <w:pStyle w:val="TOC3"/>
            <w:tabs>
              <w:tab w:val="right" w:pos="8788" w:leader="dot"/>
            </w:tabs>
          </w:pPr>
          <w:hyperlink w:history="1" w:anchor="_Toc14">
            <w:r>
              <w:t xml:space="preserve">M-1 · Render audit measures viewport, not slide origin (Medium)</w:t>
            </w:r>
            <w:r>
              <w:tab/>
            </w:r>
            <w:r>
              <w:fldChar w:fldCharType="begin" w:dirty="true"/>
              <w:instrText xml:space="preserve">PAGEREF _Toc14 \h</w:instrText>
              <w:fldChar w:fldCharType="separate"/>
              <w:fldChar w:fldCharType="end"/>
            </w:r>
          </w:hyperlink>
        </w:p>
        <w:p>
          <w:pPr>
            <w:pStyle w:val="TOC3"/>
            <w:tabs>
              <w:tab w:val="right" w:pos="8788" w:leader="dot"/>
            </w:tabs>
          </w:pPr>
          <w:hyperlink w:history="1" w:anchor="_Toc15">
            <w:r>
              <w:t xml:space="preserve">M-2 · Three inconsistent attribution doctrines (Medium)</w:t>
            </w:r>
            <w:r>
              <w:tab/>
            </w:r>
            <w:r>
              <w:fldChar w:fldCharType="begin" w:dirty="true"/>
              <w:instrText xml:space="preserve">PAGEREF _Toc15 \h</w:instrText>
              <w:fldChar w:fldCharType="separate"/>
              <w:fldChar w:fldCharType="end"/>
            </w:r>
          </w:hyperlink>
        </w:p>
        <w:p>
          <w:pPr>
            <w:pStyle w:val="TOC3"/>
            <w:tabs>
              <w:tab w:val="right" w:pos="8788" w:leader="dot"/>
            </w:tabs>
          </w:pPr>
          <w:hyperlink w:history="1" w:anchor="_Toc16">
            <w:r>
              <w:t xml:space="preserve">M-3 · Confidence taxonomy drift across skills (Medium)</w:t>
            </w:r>
            <w:r>
              <w:tab/>
            </w:r>
            <w:r>
              <w:fldChar w:fldCharType="begin" w:dirty="true"/>
              <w:instrText xml:space="preserve">PAGEREF _Toc16 \h</w:instrText>
              <w:fldChar w:fldCharType="separate"/>
              <w:fldChar w:fldCharType="end"/>
            </w:r>
          </w:hyperlink>
        </w:p>
        <w:p>
          <w:pPr>
            <w:pStyle w:val="TOC3"/>
            <w:tabs>
              <w:tab w:val="right" w:pos="8788" w:leader="dot"/>
            </w:tabs>
          </w:pPr>
          <w:hyperlink w:history="1" w:anchor="_Toc17">
            <w:r>
              <w:t xml:space="preserve">M-4 · Self-test prints without asserting; sign error (Medium)</w:t>
            </w:r>
            <w:r>
              <w:tab/>
            </w:r>
            <w:r>
              <w:fldChar w:fldCharType="begin" w:dirty="true"/>
              <w:instrText xml:space="preserve">PAGEREF _Toc17 \h</w:instrText>
              <w:fldChar w:fldCharType="separate"/>
              <w:fldChar w:fldCharType="end"/>
            </w:r>
          </w:hyperlink>
        </w:p>
        <w:p>
          <w:pPr>
            <w:pStyle w:val="TOC3"/>
            <w:tabs>
              <w:tab w:val="right" w:pos="8788" w:leader="dot"/>
            </w:tabs>
          </w:pPr>
          <w:hyperlink w:history="1" w:anchor="_Toc18">
            <w:r>
              <w:t xml:space="preserve">M-5 · Skill 2 quality bar is unenforced prose (Medium)</w:t>
            </w:r>
            <w:r>
              <w:tab/>
            </w:r>
            <w:r>
              <w:fldChar w:fldCharType="begin" w:dirty="true"/>
              <w:instrText xml:space="preserve">PAGEREF _Toc18 \h</w:instrText>
              <w:fldChar w:fldCharType="separate"/>
              <w:fldChar w:fldCharType="end"/>
            </w:r>
          </w:hyperlink>
        </w:p>
        <w:p>
          <w:pPr>
            <w:pStyle w:val="TOC3"/>
            <w:tabs>
              <w:tab w:val="right" w:pos="8788" w:leader="dot"/>
            </w:tabs>
          </w:pPr>
          <w:hyperlink w:history="1" w:anchor="_Toc19">
            <w:r>
              <w:t xml:space="preserve">M-6 · Routing overlap; catalog indexes none (Medium)</w:t>
            </w:r>
            <w:r>
              <w:tab/>
            </w:r>
            <w:r>
              <w:fldChar w:fldCharType="begin" w:dirty="true"/>
              <w:instrText xml:space="preserve">PAGEREF _Toc19 \h</w:instrText>
              <w:fldChar w:fldCharType="separate"/>
              <w:fldChar w:fldCharType="end"/>
            </w:r>
          </w:hyperlink>
        </w:p>
        <w:p>
          <w:pPr>
            <w:pStyle w:val="TOC3"/>
            <w:tabs>
              <w:tab w:val="right" w:pos="8788" w:leader="dot"/>
            </w:tabs>
          </w:pPr>
          <w:hyperlink w:history="1" w:anchor="_Toc20">
            <w:r>
              <w:t xml:space="preserve">M-7 · Implicit, environment-coupled Playwright dependency (Medium)</w:t>
            </w:r>
            <w:r>
              <w:tab/>
            </w:r>
            <w:r>
              <w:fldChar w:fldCharType="begin" w:dirty="true"/>
              <w:instrText xml:space="preserve">PAGEREF _Toc20 \h</w:instrText>
              <w:fldChar w:fldCharType="separate"/>
              <w:fldChar w:fldCharType="end"/>
            </w:r>
          </w:hyperlink>
        </w:p>
        <w:p>
          <w:pPr>
            <w:pStyle w:val="TOC2"/>
            <w:tabs>
              <w:tab w:val="right" w:pos="8788" w:leader="dot"/>
            </w:tabs>
          </w:pPr>
          <w:hyperlink w:history="1" w:anchor="_Toc21">
            <w:r>
              <w:t xml:space="preserve">3.3 Low-severity findings</w:t>
            </w:r>
            <w:r>
              <w:tab/>
            </w:r>
            <w:r>
              <w:fldChar w:fldCharType="begin" w:dirty="true"/>
              <w:instrText xml:space="preserve">PAGEREF _Toc21 \h</w:instrText>
              <w:fldChar w:fldCharType="separate"/>
              <w:fldChar w:fldCharType="end"/>
            </w:r>
          </w:hyperlink>
        </w:p>
        <w:p>
          <w:pPr>
            <w:pStyle w:val="TOC3"/>
            <w:tabs>
              <w:tab w:val="right" w:pos="8788" w:leader="dot"/>
            </w:tabs>
          </w:pPr>
          <w:hyperlink w:history="1" w:anchor="_Toc22">
            <w:r>
              <w:t xml:space="preserve">L-1 · Packaging and frontmatter drift (Low)</w:t>
            </w:r>
            <w:r>
              <w:tab/>
            </w:r>
            <w:r>
              <w:fldChar w:fldCharType="begin" w:dirty="true"/>
              <w:instrText xml:space="preserve">PAGEREF _Toc22 \h</w:instrText>
              <w:fldChar w:fldCharType="separate"/>
              <w:fldChar w:fldCharType="end"/>
            </w:r>
          </w:hyperlink>
        </w:p>
        <w:p>
          <w:pPr>
            <w:pStyle w:val="TOC3"/>
            <w:tabs>
              <w:tab w:val="right" w:pos="8788" w:leader="dot"/>
            </w:tabs>
          </w:pPr>
          <w:hyperlink w:history="1" w:anchor="_Toc23">
            <w:r>
              <w:t xml:space="preserve">L-2 · No root LICENSE (Low)</w:t>
            </w:r>
            <w:r>
              <w:tab/>
            </w:r>
            <w:r>
              <w:fldChar w:fldCharType="begin" w:dirty="true"/>
              <w:instrText xml:space="preserve">PAGEREF _Toc23 \h</w:instrText>
              <w:fldChar w:fldCharType="separate"/>
              <w:fldChar w:fldCharType="end"/>
            </w:r>
          </w:hyperlink>
        </w:p>
        <w:p>
          <w:pPr>
            <w:pStyle w:val="TOC3"/>
            <w:tabs>
              <w:tab w:val="right" w:pos="8788" w:leader="dot"/>
            </w:tabs>
          </w:pPr>
          <w:hyperlink w:history="1" w:anchor="_Toc24">
            <w:r>
              <w:t xml:space="preserve">L-3 · Markdown defect; circular market-cap pair (Low)</w:t>
            </w:r>
            <w:r>
              <w:tab/>
            </w:r>
            <w:r>
              <w:fldChar w:fldCharType="begin" w:dirty="true"/>
              <w:instrText xml:space="preserve">PAGEREF _Toc24 \h</w:instrText>
              <w:fldChar w:fldCharType="separate"/>
              <w:fldChar w:fldCharType="end"/>
            </w:r>
          </w:hyperlink>
        </w:p>
        <w:p>
          <w:pPr>
            <w:pStyle w:val="TOC3"/>
            <w:tabs>
              <w:tab w:val="right" w:pos="8788" w:leader="dot"/>
            </w:tabs>
          </w:pPr>
          <w:hyperlink w:history="1" w:anchor="_Toc25">
            <w:r>
              <w:t xml:space="preserve">L-4 · Placeholder scan reads script and style blocks (Low)</w:t>
            </w:r>
            <w:r>
              <w:tab/>
            </w:r>
            <w:r>
              <w:fldChar w:fldCharType="begin" w:dirty="true"/>
              <w:instrText xml:space="preserve">PAGEREF _Toc25 \h</w:instrText>
              <w:fldChar w:fldCharType="separate"/>
              <w:fldChar w:fldCharType="end"/>
            </w:r>
          </w:hyperlink>
        </w:p>
        <w:p>
          <w:pPr>
            <w:pStyle w:val="TOC3"/>
            <w:tabs>
              <w:tab w:val="right" w:pos="8788" w:leader="dot"/>
            </w:tabs>
          </w:pPr>
          <w:hyperlink w:history="1" w:anchor="_Toc26">
            <w:r>
              <w:t xml:space="preserve">L-5 · Evidence ledger cites a nonexistent phase (Low)</w:t>
            </w:r>
            <w:r>
              <w:tab/>
            </w:r>
            <w:r>
              <w:fldChar w:fldCharType="begin" w:dirty="true"/>
              <w:instrText xml:space="preserve">PAGEREF _Toc26 \h</w:instrText>
              <w:fldChar w:fldCharType="separate"/>
              <w:fldChar w:fldCharType="end"/>
            </w:r>
          </w:hyperlink>
        </w:p>
        <w:p>
          <w:pPr>
            <w:pStyle w:val="TOC3"/>
            <w:tabs>
              <w:tab w:val="right" w:pos="8788" w:leader="dot"/>
            </w:tabs>
          </w:pPr>
          <w:hyperlink w:history="1" w:anchor="_Toc27">
            <w:r>
              <w:t xml:space="preserve">L-6 · Embedded sell-side specifics unverifiable (Low)</w:t>
            </w:r>
            <w:r>
              <w:tab/>
            </w:r>
            <w:r>
              <w:fldChar w:fldCharType="begin" w:dirty="true"/>
              <w:instrText xml:space="preserve">PAGEREF _Toc27 \h</w:instrText>
              <w:fldChar w:fldCharType="separate"/>
              <w:fldChar w:fldCharType="end"/>
            </w:r>
          </w:hyperlink>
        </w:p>
        <w:p>
          <w:pPr>
            <w:pStyle w:val="TOC2"/>
            <w:tabs>
              <w:tab w:val="right" w:pos="8788" w:leader="dot"/>
            </w:tabs>
          </w:pPr>
          <w:hyperlink w:history="1" w:anchor="_Toc28">
            <w:r>
              <w:t xml:space="preserve">3.4 Informational observations</w:t>
            </w:r>
            <w:r>
              <w:tab/>
            </w:r>
            <w:r>
              <w:fldChar w:fldCharType="begin" w:dirty="true"/>
              <w:instrText xml:space="preserve">PAGEREF _Toc28 \h</w:instrText>
              <w:fldChar w:fldCharType="separate"/>
              <w:fldChar w:fldCharType="end"/>
            </w:r>
          </w:hyperlink>
        </w:p>
        <w:p>
          <w:pPr>
            <w:pStyle w:val="TOC3"/>
            <w:tabs>
              <w:tab w:val="right" w:pos="8788" w:leader="dot"/>
            </w:tabs>
          </w:pPr>
          <w:hyperlink w:history="1" w:anchor="_Toc29">
            <w:r>
              <w:t xml:space="preserve">I-1 · No MNPI / Reg FD statement (Informational)</w:t>
            </w:r>
            <w:r>
              <w:tab/>
            </w:r>
            <w:r>
              <w:fldChar w:fldCharType="begin" w:dirty="true"/>
              <w:instrText xml:space="preserve">PAGEREF _Toc29 \h</w:instrText>
              <w:fldChar w:fldCharType="separate"/>
              <w:fldChar w:fldCharType="end"/>
            </w:r>
          </w:hyperlink>
        </w:p>
        <w:p>
          <w:pPr>
            <w:pStyle w:val="TOC3"/>
            <w:tabs>
              <w:tab w:val="right" w:pos="8788" w:leader="dot"/>
            </w:tabs>
          </w:pPr>
          <w:hyperlink w:history="1" w:anchor="_Toc30">
            <w:r>
              <w:t xml:space="preserve">I-2 · No explicit GAAP-to-non-GAAP phase (Informational)</w:t>
            </w:r>
            <w:r>
              <w:tab/>
            </w:r>
            <w:r>
              <w:fldChar w:fldCharType="begin" w:dirty="true"/>
              <w:instrText xml:space="preserve">PAGEREF _Toc30 \h</w:instrText>
              <w:fldChar w:fldCharType="separate"/>
              <w:fldChar w:fldCharType="end"/>
            </w:r>
          </w:hyperlink>
        </w:p>
        <w:p>
          <w:pPr>
            <w:pStyle w:val="TOC3"/>
            <w:tabs>
              <w:tab w:val="right" w:pos="8788" w:leader="dot"/>
            </w:tabs>
          </w:pPr>
          <w:hyperlink w:history="1" w:anchor="_Toc31">
            <w:r>
              <w:t xml:space="preserve">I-3 · Consensus-vendor attribution varies (Informational)</w:t>
            </w:r>
            <w:r>
              <w:tab/>
            </w:r>
            <w:r>
              <w:fldChar w:fldCharType="begin" w:dirty="true"/>
              <w:instrText xml:space="preserve">PAGEREF _Toc31 \h</w:instrText>
              <w:fldChar w:fldCharType="separate"/>
              <w:fldChar w:fldCharType="end"/>
            </w:r>
          </w:hyperlink>
        </w:p>
        <w:p>
          <w:pPr>
            <w:pStyle w:val="TOC1"/>
            <w:tabs>
              <w:tab w:val="right" w:pos="8788" w:leader="dot"/>
            </w:tabs>
          </w:pPr>
          <w:hyperlink w:history="1" w:anchor="_Toc32">
            <w:r>
              <w:t xml:space="preserve">4. Skill-by-Skill Assessment</w:t>
            </w:r>
            <w:r>
              <w:tab/>
            </w:r>
            <w:r>
              <w:fldChar w:fldCharType="begin" w:dirty="true"/>
              <w:instrText xml:space="preserve">PAGEREF _Toc32 \h</w:instrText>
              <w:fldChar w:fldCharType="separate"/>
              <w:fldChar w:fldCharType="end"/>
            </w:r>
          </w:hyperlink>
        </w:p>
        <w:p>
          <w:pPr>
            <w:pStyle w:val="TOC2"/>
            <w:tabs>
              <w:tab w:val="right" w:pos="8788" w:leader="dot"/>
            </w:tabs>
          </w:pPr>
          <w:hyperlink w:history="1" w:anchor="_Toc33">
            <w:r>
              <w:t xml:space="preserve">4.1 analyzing-us-bigtech-stocks — RCA deck with audit gates (rubric 4.45 / 5)</w:t>
            </w:r>
            <w:r>
              <w:tab/>
            </w:r>
            <w:r>
              <w:fldChar w:fldCharType="begin" w:dirty="true"/>
              <w:instrText xml:space="preserve">PAGEREF _Toc33 \h</w:instrText>
              <w:fldChar w:fldCharType="separate"/>
              <w:fldChar w:fldCharType="end"/>
            </w:r>
          </w:hyperlink>
        </w:p>
        <w:p>
          <w:pPr>
            <w:pStyle w:val="TOC2"/>
            <w:tabs>
              <w:tab w:val="right" w:pos="8788" w:leader="dot"/>
            </w:tabs>
          </w:pPr>
          <w:hyperlink w:history="1" w:anchor="_Toc34">
            <w:r>
              <w:t xml:space="preserve">4.2 big-tech-earnings-postmortem — single-file methodology (rubric 2.85 / 5)</w:t>
            </w:r>
            <w:r>
              <w:tab/>
            </w:r>
            <w:r>
              <w:fldChar w:fldCharType="begin" w:dirty="true"/>
              <w:instrText xml:space="preserve">PAGEREF _Toc34 \h</w:instrText>
              <w:fldChar w:fldCharType="separate"/>
              <w:fldChar w:fldCharType="end"/>
            </w:r>
          </w:hyperlink>
        </w:p>
        <w:p>
          <w:pPr>
            <w:pStyle w:val="TOC2"/>
            <w:tabs>
              <w:tab w:val="right" w:pos="8788" w:leader="dot"/>
            </w:tabs>
          </w:pPr>
          <w:hyperlink w:history="1" w:anchor="_Toc35">
            <w:r>
              <w:t xml:space="preserve">4.3 bigtech-equity-research — quantified note with strong epistemics (rubric 3.00 / 5)</w:t>
            </w:r>
            <w:r>
              <w:tab/>
            </w:r>
            <w:r>
              <w:fldChar w:fldCharType="begin" w:dirty="true"/>
              <w:instrText xml:space="preserve">PAGEREF _Toc35 \h</w:instrText>
              <w:fldChar w:fldCharType="separate"/>
              <w:fldChar w:fldCharType="end"/>
            </w:r>
          </w:hyperlink>
        </w:p>
        <w:p>
          <w:pPr>
            <w:pStyle w:val="TOC1"/>
            <w:tabs>
              <w:tab w:val="right" w:pos="8788" w:leader="dot"/>
            </w:tabs>
          </w:pPr>
          <w:hyperlink w:history="1" w:anchor="_Toc36">
            <w:r>
              <w:t xml:space="preserve">5. Cross-Skill Comparison and Scorecard</w:t>
            </w:r>
            <w:r>
              <w:tab/>
            </w:r>
            <w:r>
              <w:fldChar w:fldCharType="begin" w:dirty="true"/>
              <w:instrText xml:space="preserve">PAGEREF _Toc36 \h</w:instrText>
              <w:fldChar w:fldCharType="separate"/>
              <w:fldChar w:fldCharType="end"/>
            </w:r>
          </w:hyperlink>
        </w:p>
        <w:p>
          <w:pPr>
            <w:pStyle w:val="TOC2"/>
            <w:tabs>
              <w:tab w:val="right" w:pos="8788" w:leader="dot"/>
            </w:tabs>
          </w:pPr>
          <w:hyperlink w:history="1" w:anchor="_Toc37">
            <w:r>
              <w:t xml:space="preserve">5.1 Portfolio comparison matrix</w:t>
            </w:r>
            <w:r>
              <w:tab/>
            </w:r>
            <w:r>
              <w:fldChar w:fldCharType="begin" w:dirty="true"/>
              <w:instrText xml:space="preserve">PAGEREF _Toc37 \h</w:instrText>
              <w:fldChar w:fldCharType="separate"/>
              <w:fldChar w:fldCharType="end"/>
            </w:r>
          </w:hyperlink>
        </w:p>
        <w:p>
          <w:pPr>
            <w:pStyle w:val="TOC2"/>
            <w:tabs>
              <w:tab w:val="right" w:pos="8788" w:leader="dot"/>
            </w:tabs>
          </w:pPr>
          <w:hyperlink w:history="1" w:anchor="_Toc38">
            <w:r>
              <w:t xml:space="preserve">5.2 Doctrinal conflicts</w:t>
            </w:r>
            <w:r>
              <w:tab/>
            </w:r>
            <w:r>
              <w:fldChar w:fldCharType="begin" w:dirty="true"/>
              <w:instrText xml:space="preserve">PAGEREF _Toc38 \h</w:instrText>
              <w:fldChar w:fldCharType="separate"/>
              <w:fldChar w:fldCharType="end"/>
            </w:r>
          </w:hyperlink>
        </w:p>
        <w:p>
          <w:pPr>
            <w:pStyle w:val="TOC2"/>
            <w:tabs>
              <w:tab w:val="right" w:pos="8788" w:leader="dot"/>
            </w:tabs>
          </w:pPr>
          <w:hyperlink w:history="1" w:anchor="_Toc39">
            <w:r>
              <w:t xml:space="preserve">5.3 Institutional-readiness scorecard</w:t>
            </w:r>
            <w:r>
              <w:tab/>
            </w:r>
            <w:r>
              <w:fldChar w:fldCharType="begin" w:dirty="true"/>
              <w:instrText xml:space="preserve">PAGEREF _Toc39 \h</w:instrText>
              <w:fldChar w:fldCharType="separate"/>
              <w:fldChar w:fldCharType="end"/>
            </w:r>
          </w:hyperlink>
        </w:p>
        <w:p>
          <w:pPr>
            <w:pStyle w:val="TOC1"/>
            <w:tabs>
              <w:tab w:val="right" w:pos="8788" w:leader="dot"/>
            </w:tabs>
          </w:pPr>
          <w:hyperlink w:history="1" w:anchor="_Toc40">
            <w:r>
              <w:t xml:space="preserve">6. Verification Ledger</w:t>
            </w:r>
            <w:r>
              <w:tab/>
            </w:r>
            <w:r>
              <w:fldChar w:fldCharType="begin" w:dirty="true"/>
              <w:instrText xml:space="preserve">PAGEREF _Toc40 \h</w:instrText>
              <w:fldChar w:fldCharType="separate"/>
              <w:fldChar w:fldCharType="end"/>
            </w:r>
          </w:hyperlink>
        </w:p>
        <w:p>
          <w:pPr>
            <w:pStyle w:val="TOC1"/>
            <w:tabs>
              <w:tab w:val="right" w:pos="8788" w:leader="dot"/>
            </w:tabs>
          </w:pPr>
          <w:hyperlink w:history="1" w:anchor="_Toc41">
            <w:r>
              <w:t xml:space="preserve">7. Remediation Roadmap</w:t>
            </w:r>
            <w:r>
              <w:tab/>
            </w:r>
            <w:r>
              <w:fldChar w:fldCharType="begin" w:dirty="true"/>
              <w:instrText xml:space="preserve">PAGEREF _Toc41 \h</w:instrText>
              <w:fldChar w:fldCharType="separate"/>
              <w:fldChar w:fldCharType="end"/>
            </w:r>
          </w:hyperlink>
        </w:p>
        <w:p>
          <w:pPr>
            <w:pStyle w:val="TOC2"/>
            <w:tabs>
              <w:tab w:val="right" w:pos="8788" w:leader="dot"/>
            </w:tabs>
          </w:pPr>
          <w:hyperlink w:history="1" w:anchor="_Toc42">
            <w:r>
              <w:t xml:space="preserve">7.1 P0 — ship blockers at the stated bar (≈1 day combined)</w:t>
            </w:r>
            <w:r>
              <w:tab/>
            </w:r>
            <w:r>
              <w:fldChar w:fldCharType="begin" w:dirty="true"/>
              <w:instrText xml:space="preserve">PAGEREF _Toc42 \h</w:instrText>
              <w:fldChar w:fldCharType="separate"/>
              <w:fldChar w:fldCharType="end"/>
            </w:r>
          </w:hyperlink>
        </w:p>
        <w:p>
          <w:pPr>
            <w:pStyle w:val="TOC2"/>
            <w:tabs>
              <w:tab w:val="right" w:pos="8788" w:leader="dot"/>
            </w:tabs>
          </w:pPr>
          <w:hyperlink w:history="1" w:anchor="_Toc43">
            <w:r>
              <w:t xml:space="preserve">7.2 P1 — governance and control quality (≈1 week)</w:t>
            </w:r>
            <w:r>
              <w:tab/>
            </w:r>
            <w:r>
              <w:fldChar w:fldCharType="begin" w:dirty="true"/>
              <w:instrText xml:space="preserve">PAGEREF _Toc43 \h</w:instrText>
              <w:fldChar w:fldCharType="separate"/>
              <w:fldChar w:fldCharType="end"/>
            </w:r>
          </w:hyperlink>
        </w:p>
        <w:p>
          <w:pPr>
            <w:pStyle w:val="TOC2"/>
            <w:tabs>
              <w:tab w:val="right" w:pos="8788" w:leader="dot"/>
            </w:tabs>
          </w:pPr>
          <w:hyperlink w:history="1" w:anchor="_Toc44">
            <w:r>
              <w:t xml:space="preserve">7.3 P2 — hygiene (as convenient)</w:t>
            </w:r>
            <w:r>
              <w:tab/>
            </w:r>
            <w:r>
              <w:fldChar w:fldCharType="begin" w:dirty="true"/>
              <w:instrText xml:space="preserve">PAGEREF _Toc44 \h</w:instrText>
              <w:fldChar w:fldCharType="separate"/>
              <w:fldChar w:fldCharType="end"/>
            </w:r>
          </w:hyperlink>
        </w:p>
        <w:p>
          <w:pPr>
            <w:pStyle w:val="TOC1"/>
            <w:tabs>
              <w:tab w:val="right" w:pos="8788" w:leader="dot"/>
            </w:tabs>
          </w:pPr>
          <w:hyperlink w:history="1" w:anchor="_Toc45">
            <w:r>
              <w:t xml:space="preserve">8. Appendix A — File Inventory</w:t>
            </w:r>
            <w:r>
              <w:tab/>
            </w:r>
            <w:r>
              <w:fldChar w:fldCharType="begin" w:dirty="true"/>
              <w:instrText xml:space="preserve">PAGEREF _Toc45 \h</w:instrText>
              <w:fldChar w:fldCharType="separate"/>
              <w:fldChar w:fldCharType="end"/>
            </w:r>
          </w:hyperlink>
        </w:p>
        <w:p>
          <w:pPr>
            <w:pStyle w:val="TOC1"/>
            <w:tabs>
              <w:tab w:val="right" w:pos="8788" w:leader="dot"/>
            </w:tabs>
          </w:pPr>
          <w:hyperlink w:history="1" w:anchor="_Toc46">
            <w:r>
              <w:t xml:space="preserve">9. Appendix B — External Sources Consulted</w:t>
            </w:r>
            <w:r>
              <w:tab/>
            </w:r>
            <w:r>
              <w:fldChar w:fldCharType="begin" w:dirty="true"/>
              <w:instrText xml:space="preserve">PAGEREF _Toc46 \h</w:instrText>
              <w:fldChar w:fldCharType="separate"/>
              <w:fldChar w:fldCharType="end"/>
            </w:r>
          </w:hyperlink>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pPr>
      <w:bookmarkStart w:name="_Toc1" w:id="1"/>
      <w:r>
        <w:t xml:space="preserve">1. Executive Summary</w:t>
      </w:r>
      <w:bookmarkEnd w:id="1"/>
    </w:p>
    <w:p>
      <w:pPr>
        <w:spacing w:after="120" w:line="312"/>
        <w:jc w:val="left"/>
      </w:pPr>
      <w:r>
        <w:rPr>
          <w:rFonts w:ascii="Times New Roman" w:eastAsia="SimSun"/>
          <w:b w:val="false"/>
          <w:bCs w:val="false"/>
          <w:color w:val="000000"/>
          <w:sz w:val="24"/>
          <w:szCs w:val="24"/>
        </w:rPr>
        <w:t xml:space="preserve">This report presents an independent audit of three agent skills in the repository </w:t>
      </w:r>
      <w:r>
        <w:rPr>
          <w:rFonts w:ascii="Times New Roman" w:eastAsia="SimSun"/>
          <w:b/>
          <w:bCs/>
          <w:color w:val="000000"/>
          <w:sz w:val="24"/>
          <w:szCs w:val="24"/>
        </w:rPr>
        <w:t xml:space="preserve">nordeim/my-pi-agent</w:t>
      </w:r>
      <w:r>
        <w:rPr>
          <w:rFonts w:ascii="Times New Roman" w:eastAsia="SimSun"/>
          <w:b w:val="false"/>
          <w:bCs w:val="false"/>
          <w:color w:val="000000"/>
          <w:sz w:val="24"/>
          <w:szCs w:val="24"/>
        </w:rPr>
        <w:t xml:space="preserve"> (cloned 2026-10-30, HEAD 48cd3f97, commit message “update skills”): </w:t>
      </w:r>
      <w:r>
        <w:rPr>
          <w:rFonts w:ascii="Times New Roman" w:eastAsia="SimSun"/>
          <w:b/>
          <w:bCs/>
          <w:color w:val="000000"/>
          <w:sz w:val="24"/>
          <w:szCs w:val="24"/>
        </w:rPr>
        <w:t xml:space="preserve">analyzing-us-bigtech-stocks</w:t>
      </w:r>
      <w:r>
        <w:rPr>
          <w:rFonts w:ascii="Times New Roman" w:eastAsia="SimSun"/>
          <w:b w:val="false"/>
          <w:bCs w:val="false"/>
          <w:color w:val="000000"/>
          <w:sz w:val="24"/>
          <w:szCs w:val="24"/>
        </w:rPr>
        <w:t xml:space="preserve">, </w:t>
      </w:r>
      <w:r>
        <w:rPr>
          <w:rFonts w:ascii="Times New Roman" w:eastAsia="SimSun"/>
          <w:b/>
          <w:bCs/>
          <w:color w:val="000000"/>
          <w:sz w:val="24"/>
          <w:szCs w:val="24"/>
        </w:rPr>
        <w:t xml:space="preserve">big-tech-earnings-postmortem</w:t>
      </w:r>
      <w:r>
        <w:rPr>
          <w:rFonts w:ascii="Times New Roman" w:eastAsia="SimSun"/>
          <w:b w:val="false"/>
          <w:bCs w:val="false"/>
          <w:color w:val="000000"/>
          <w:sz w:val="24"/>
          <w:szCs w:val="24"/>
        </w:rPr>
        <w:t xml:space="preserve">, and </w:t>
      </w:r>
      <w:r>
        <w:rPr>
          <w:rFonts w:ascii="Times New Roman" w:eastAsia="SimSun"/>
          <w:b/>
          <w:bCs/>
          <w:color w:val="000000"/>
          <w:sz w:val="24"/>
          <w:szCs w:val="24"/>
        </w:rPr>
        <w:t xml:space="preserve">bigtech-equity-research</w:t>
      </w:r>
      <w:r>
        <w:rPr>
          <w:rFonts w:ascii="Times New Roman" w:eastAsia="SimSun"/>
          <w:b w:val="false"/>
          <w:bCs w:val="false"/>
          <w:color w:val="000000"/>
          <w:sz w:val="24"/>
          <w:szCs w:val="24"/>
        </w:rPr>
        <w:t xml:space="preserve">. The evaluation question was fixed by the engagement brief: would this work meet the standards expected of major investment banks and institutional fund managers on Wall Street? To answer it, all 17 in-scope files were read in full, all three shipped scripts were executed against positive and negative test cases, and the skills' own embedded “verified” facts were tested against twelve external sources including SEC filings, Bloomberg, Reuters, WSJ and Yahoo Finance. Nineteen verification checks were recorded; every material claim in this report carries a confidence tag (Verified / Reasoned / Assumed).</w:t>
      </w:r>
    </w:p>
    <w:p>
      <w:pPr>
        <w:spacing w:after="120" w:line="312"/>
        <w:jc w:val="left"/>
      </w:pPr>
      <w:r>
        <w:rPr>
          <w:rFonts w:ascii="Times New Roman" w:eastAsia="SimSun"/>
          <w:b w:val="false"/>
          <w:bCs w:val="false"/>
          <w:color w:val="000000"/>
          <w:sz w:val="24"/>
          <w:szCs w:val="24"/>
        </w:rPr>
        <w:t xml:space="preserve">The verdict: </w:t>
      </w:r>
      <w:r>
        <w:rPr>
          <w:rFonts w:ascii="Times New Roman" w:eastAsia="SimSun"/>
          <w:b/>
          <w:bCs/>
          <w:color w:val="000000"/>
          <w:sz w:val="24"/>
          <w:szCs w:val="24"/>
        </w:rPr>
        <w:t xml:space="preserve">none of the three skills passes a full bulge-bracket research-controls review as shipped, and one of them is genuinely close.</w:t>
      </w:r>
      <w:r>
        <w:rPr>
          <w:rFonts w:ascii="Times New Roman" w:eastAsia="SimSun"/>
          <w:b w:val="false"/>
          <w:bCs w:val="false"/>
          <w:color w:val="000000"/>
          <w:sz w:val="24"/>
          <w:szCs w:val="24"/>
        </w:rPr>
        <w:t xml:space="preserve"> Skill 1, analyzing-us-bigtech-stocks, is the strongest artifact — its sourcing tiers, forced-hypothesis discipline, GAAP-adjusted bridge and dual executable audit gates are institutional in design, and its worked example survived external verification better than anything else audited: the GOOG close of $282.32 (−12.29%), the −$9.1B quarterly free cash flow, the $2.67 adjusted EPS, the $42.3B operating cash flow, the $30.7B Cloud result and the “second-largest one-day market-value wipeout ever” ranking were each confirmed against Bloomberg, Reuters, the earnings-call transcript or Yahoo Finance. Its gaps are an evadable numeric-audit matcher (H-4), coordinate assumptions in the render audit (M-1), and one cross-class figure that conflicts with a sibling skill (H-1).</w:t>
      </w:r>
    </w:p>
    <w:p>
      <w:pPr>
        <w:spacing w:after="120" w:line="312"/>
        <w:jc w:val="left"/>
      </w:pPr>
      <w:r>
        <w:rPr>
          <w:rFonts w:ascii="Times New Roman" w:eastAsia="SimSun"/>
          <w:b w:val="false"/>
          <w:bCs w:val="false"/>
          <w:color w:val="000000"/>
          <w:sz w:val="24"/>
          <w:szCs w:val="24"/>
        </w:rPr>
        <w:t xml:space="preserve">Skill 2, big-tech-earnings-postmortem, contains the best single-file methodology prose of the three — its durability-versus-evidence driver classification and its failure-mode catalog (“sell-side ventriloquism”, the “accounting-noise hand-wave”) read like real desk experience — but it is the only skill that promises “institutional-grade” research deliverables while containing </w:t>
      </w:r>
      <w:r>
        <w:rPr>
          <w:rFonts w:ascii="Times New Roman" w:eastAsia="SimSun"/>
          <w:b/>
          <w:bCs/>
          <w:color w:val="000000"/>
          <w:sz w:val="24"/>
          <w:szCs w:val="24"/>
        </w:rPr>
        <w:t xml:space="preserve">no disclaimer language whatsoever</w:t>
      </w:r>
      <w:r>
        <w:rPr>
          <w:rFonts w:ascii="Times New Roman" w:eastAsia="SimSun"/>
          <w:b w:val="false"/>
          <w:bCs w:val="false"/>
          <w:color w:val="000000"/>
          <w:sz w:val="24"/>
          <w:szCs w:val="24"/>
        </w:rPr>
        <w:t xml:space="preserve"> (H-2), and it ships zero enforcement artifacts: every quality gate is prose (M-5). Skill 3, bigtech-equity-research, contributes the most sophisticated epistemics in the repo — a Data-Gap Ledger and an anti-fabrication protocol for offline tooling — but its segment reference file misstates ASC 280 reportable segments for three of seven companies, verified directly against the FY2025/FY2026 10-Ks (H-3); its quant helper's “self-test” prints without asserting (M-4); and its worked example contradicts skill 1's on the same real event (H-1).</w:t>
      </w:r>
    </w:p>
    <w:p>
      <w:pPr>
        <w:spacing w:after="120" w:line="312"/>
        <w:jc w:val="left"/>
      </w:pPr>
      <w:r>
        <w:rPr>
          <w:rFonts w:ascii="Times New Roman" w:eastAsia="SimSun"/>
          <w:b w:val="false"/>
          <w:bCs w:val="false"/>
          <w:color w:val="000000"/>
          <w:sz w:val="24"/>
          <w:szCs w:val="24"/>
        </w:rPr>
        <w:t xml:space="preserve">The deepest deficiency is portfolio-level. Three skills claim the same trigger space (“why did big tech X move after earnings”) with three different deliverable formats, two different confidence taxonomies, and three mutually inconsistent doctrines on whether a price move may be allocated across drivers in percentage terms (M-2, M-3, M-6). The repository thus violates, across skills, the exact conflict-recording discipline the skills themselves enforce within a report. Twenty findings were classified in total; none is Critical in the security or data-loss sense, four are High, seven Medium, six Low and three Informational. A four-item P0 list — segment-map correction, disclaimer, matcher fix, worked-example reconciliation — would close most of the distance between skill 1 and the stated bar.</w:t>
      </w:r>
    </w:p>
    <w:p>
      <w:pPr>
        <w:keepNext/>
        <w:spacing w:after="60" w:before="240" w:line="312"/>
      </w:pPr>
      <w:r>
        <w:rPr>
          <w:rFonts w:ascii="Times New Roman" w:eastAsia="SimSun"/>
          <w:b/>
          <w:bCs/>
          <w:color w:val="1A1A1A"/>
          <w:sz w:val="21"/>
          <w:szCs w:val="21"/>
        </w:rPr>
        <w:t xml:space="preserve">Table 1: Audit outcome summary</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406"/>
        <w:gridCol w:w="879"/>
        <w:gridCol w:w="6503"/>
      </w:tblGrid>
      <w:tr>
        <w:trPr>
          <w:cantSplit/>
          <w:tblHeader/>
        </w:trPr>
        <w:tc>
          <w:tcPr>
            <w:tcW w:type="pct" w:w="8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Severity</w:t>
            </w:r>
          </w:p>
        </w:tc>
        <w:tc>
          <w:tcPr>
            <w:tcW w:type="pct" w:w="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Count</w:t>
            </w:r>
          </w:p>
        </w:tc>
        <w:tc>
          <w:tcPr>
            <w:tcW w:type="pct" w:w="37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Findings</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Critical</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0</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None. No security vulnerability, data-loss path or production crash was found.</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bCs/>
                <w:color w:val="000000"/>
                <w:sz w:val="21"/>
                <w:szCs w:val="21"/>
              </w:rPr>
              <w:t xml:space="preserve">High</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H-1 conflicting verified figures across skills · H-2 no disclaimer in skill 2 · H-3 segment-map ASC 280 errors · H-4 numeric-audit false-pass hole</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Medium</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M-1 render-audit coordinates · M-2 attribution doctrine conflict · M-3 confidence-taxonomy drift · M-4 non-asserting self-test and sign error · M-5 unenforced quality bar in skill 2 · M-6 routing overlap and catalog non-indexing · M-7 environment-coupled Playwright dependency</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Low</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L-1 packaging drift · L-2 no root LICENSE · L-3 formulas.md fence and circular pair · L-4 placeholder scan on raw HTML · L-5 phase/section mislabel · L-6 unverifiable embedded sell-side specifics</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Informational</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I-1 no MNPI/Reg FD statement · I-2 skill 3 lacks a GAAP bridge phase · I-3 consensus-vendor attribution variance</w:t>
            </w:r>
          </w:p>
        </w:tc>
      </w:tr>
    </w:tbl>
    <w:p>
      <w:pPr>
        <w:spacing w:after="120" w:line="312"/>
      </w:pPr>
    </w:p>
    <w:p>
      <w:pPr>
        <w:spacing w:after="120" w:line="312"/>
        <w:jc w:val="left"/>
      </w:pPr>
      <w:r>
        <w:rPr>
          <w:rFonts w:ascii="Times New Roman" w:eastAsia="SimSun"/>
          <w:b w:val="false"/>
          <w:bCs w:val="false"/>
          <w:color w:val="000000"/>
          <w:sz w:val="24"/>
          <w:szCs w:val="24"/>
        </w:rPr>
        <w:t xml:space="preserve">Scorecard averages on the ten-dimension institutional rubric (Section 5.3, anchored to the evidence in Sections 3 and 6): </w:t>
      </w:r>
      <w:r>
        <w:rPr>
          <w:rFonts w:ascii="Times New Roman" w:eastAsia="SimSun"/>
          <w:b/>
          <w:bCs/>
          <w:color w:val="000000"/>
          <w:sz w:val="24"/>
          <w:szCs w:val="24"/>
        </w:rPr>
        <w:t xml:space="preserve">skill 1 = 4.45 / 5</w:t>
      </w:r>
      <w:r>
        <w:rPr>
          <w:rFonts w:ascii="Times New Roman" w:eastAsia="SimSun"/>
          <w:b w:val="false"/>
          <w:bCs w:val="false"/>
          <w:color w:val="000000"/>
          <w:sz w:val="24"/>
          <w:szCs w:val="24"/>
        </w:rPr>
        <w:t xml:space="preserve">, </w:t>
      </w:r>
      <w:r>
        <w:rPr>
          <w:rFonts w:ascii="Times New Roman" w:eastAsia="SimSun"/>
          <w:b/>
          <w:bCs/>
          <w:color w:val="000000"/>
          <w:sz w:val="24"/>
          <w:szCs w:val="24"/>
        </w:rPr>
        <w:t xml:space="preserve">skill 2 = 2.85 / 5</w:t>
      </w:r>
      <w:r>
        <w:rPr>
          <w:rFonts w:ascii="Times New Roman" w:eastAsia="SimSun"/>
          <w:b w:val="false"/>
          <w:bCs w:val="false"/>
          <w:color w:val="000000"/>
          <w:sz w:val="24"/>
          <w:szCs w:val="24"/>
        </w:rPr>
        <w:t xml:space="preserve">, </w:t>
      </w:r>
      <w:r>
        <w:rPr>
          <w:rFonts w:ascii="Times New Roman" w:eastAsia="SimSun"/>
          <w:b/>
          <w:bCs/>
          <w:color w:val="000000"/>
          <w:sz w:val="24"/>
          <w:szCs w:val="24"/>
        </w:rPr>
        <w:t xml:space="preserve">skill 3 = 3.00 / 5</w:t>
      </w:r>
      <w:r>
        <w:rPr>
          <w:rFonts w:ascii="Times New Roman" w:eastAsia="SimSun"/>
          <w:b w:val="false"/>
          <w:bCs w:val="false"/>
          <w:color w:val="000000"/>
          <w:sz w:val="24"/>
          <w:szCs w:val="24"/>
        </w:rPr>
        <w:t xml:space="preserve">. The rubric scores are the auditor's reasoned judgments, not measurements; the anchors and per-dimension reasoning are stated alongside them.</w:t>
      </w:r>
    </w:p>
    <w:p>
      <w:pPr>
        <w:pStyle w:val="Heading1"/>
      </w:pPr>
      <w:bookmarkStart w:name="_Toc2" w:id="2"/>
      <w:r>
        <w:t xml:space="preserve">2. Scope, Standards and Method</w:t>
      </w:r>
      <w:bookmarkEnd w:id="2"/>
    </w:p>
    <w:p>
      <w:pPr>
        <w:pStyle w:val="Heading2"/>
      </w:pPr>
      <w:bookmarkStart w:name="_Toc3" w:id="3"/>
      <w:r>
        <w:t xml:space="preserve">2.1 Scope and repository context</w:t>
      </w:r>
      <w:bookmarkEnd w:id="3"/>
    </w:p>
    <w:p>
      <w:pPr>
        <w:spacing w:after="120" w:line="312"/>
        <w:jc w:val="left"/>
      </w:pPr>
      <w:r>
        <w:rPr>
          <w:rFonts w:ascii="Times New Roman" w:eastAsia="SimSun"/>
          <w:b w:val="false"/>
          <w:bCs w:val="false"/>
          <w:color w:val="000000"/>
          <w:sz w:val="24"/>
          <w:szCs w:val="24"/>
        </w:rPr>
        <w:t xml:space="preserve">my-pi-agent is a customization bundle for the Pi agent (themes, extensions and a 340-skill library). The three audited skills sit under skills/ and total 17 files and 2,078 lines (Appendix A). Skill 1 ships a 238-line SKILL.md plus two JSON templates, three reference documents and two executable audit scripts. Skill 2 ships a single 283-line SKILL.md with no supporting artifacts of any kind. Skill 3 ships a deliberately lean 111-line SKILL.md plus four reference files, two templates and one Python helper. The audit was read-only: the cloned repository was not modified, and all experiments ran from scratch copies under the auditor's own scripts directory.</w:t>
      </w:r>
    </w:p>
    <w:p>
      <w:pPr>
        <w:spacing w:after="120" w:line="312"/>
        <w:jc w:val="left"/>
      </w:pPr>
      <w:r>
        <w:rPr>
          <w:rFonts w:ascii="Times New Roman" w:eastAsia="SimSun"/>
          <w:b w:val="false"/>
          <w:bCs w:val="false"/>
          <w:color w:val="000000"/>
          <w:sz w:val="24"/>
          <w:szCs w:val="24"/>
        </w:rPr>
        <w:t xml:space="preserve">Two repository-level facts frame the audit. First, the repository has </w:t>
      </w:r>
      <w:r>
        <w:rPr>
          <w:rFonts w:ascii="Times New Roman" w:eastAsia="SimSun"/>
          <w:b/>
          <w:bCs/>
          <w:color w:val="000000"/>
          <w:sz w:val="24"/>
          <w:szCs w:val="24"/>
        </w:rPr>
        <w:t xml:space="preserve">no root LICENSE file</w:t>
      </w:r>
      <w:r>
        <w:rPr>
          <w:rFonts w:ascii="Times New Roman" w:eastAsia="SimSun"/>
          <w:b w:val="false"/>
          <w:bCs w:val="false"/>
          <w:color w:val="000000"/>
          <w:sz w:val="24"/>
          <w:szCs w:val="24"/>
        </w:rPr>
        <w:t xml:space="preserve">; the only license declaration in scope is skill 2's frontmatter (Apache 2.0), which leaves the redistribution terms of skills 1 and 3 ambiguous (L-2). Second, the repository's own discovery layer — skills/skills-catalog.md and skills-inventory.md, which the README designates as the routing entry point — contains </w:t>
      </w:r>
      <w:r>
        <w:rPr>
          <w:rFonts w:ascii="Times New Roman" w:eastAsia="SimSun"/>
          <w:b/>
          <w:bCs/>
          <w:color w:val="000000"/>
          <w:sz w:val="24"/>
          <w:szCs w:val="24"/>
        </w:rPr>
        <w:t xml:space="preserve">no reference to any of the three skills</w:t>
      </w:r>
      <w:r>
        <w:rPr>
          <w:rFonts w:ascii="Times New Roman" w:eastAsia="SimSun"/>
          <w:b w:val="false"/>
          <w:bCs w:val="false"/>
          <w:color w:val="000000"/>
          <w:sz w:val="24"/>
          <w:szCs w:val="24"/>
        </w:rPr>
        <w:t xml:space="preserve"> (case-insensitive search), so an agent routed through the catalog would never discover them (part of M-6). Both facts were verified directly in the clone.</w:t>
      </w:r>
    </w:p>
    <w:p>
      <w:pPr>
        <w:pStyle w:val="Heading2"/>
      </w:pPr>
      <w:bookmarkStart w:name="_Toc4" w:id="4"/>
      <w:r>
        <w:t xml:space="preserve">2.2 The institutional standards applied</w:t>
      </w:r>
      <w:bookmarkEnd w:id="4"/>
    </w:p>
    <w:p>
      <w:pPr>
        <w:spacing w:after="120" w:line="312"/>
        <w:jc w:val="left"/>
      </w:pPr>
      <w:r>
        <w:rPr>
          <w:rFonts w:ascii="Times New Roman" w:eastAsia="SimSun"/>
          <w:b w:val="false"/>
          <w:bCs w:val="false"/>
          <w:color w:val="000000"/>
          <w:sz w:val="24"/>
          <w:szCs w:val="24"/>
        </w:rPr>
        <w:t xml:space="preserve">The evaluation rubric translates the engagement brief — “the highest standards expected of major investment banks and fund managers on Wall Street” — into seven concrete regulatory and craft frameworks, plus skill-engineering practice as a secondary axis. The table below lists each standard and where it bites in this audit. This is an analytical benchmark applied by analogy to agent skills, not a claim that the skills are regulated securities research; where a standard is inapplicable in form but applicable in substance (for example, FINRA 2241 as a disclosure-norm template for a non-broker artifact), that is stated.</w:t>
      </w:r>
    </w:p>
    <w:p>
      <w:pPr>
        <w:keepNext/>
        <w:spacing w:after="60" w:before="240" w:line="312"/>
      </w:pPr>
      <w:r>
        <w:rPr>
          <w:rFonts w:ascii="Times New Roman" w:eastAsia="SimSun"/>
          <w:b/>
          <w:bCs/>
          <w:color w:val="1A1A1A"/>
          <w:sz w:val="21"/>
          <w:szCs w:val="21"/>
        </w:rPr>
        <w:t xml:space="preserve">Table 2: Standards framework and points of application</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2285"/>
        <w:gridCol w:w="3252"/>
        <w:gridCol w:w="3252"/>
      </w:tblGrid>
      <w:tr>
        <w:trPr>
          <w:cantSplit/>
          <w:tblHeader/>
        </w:trPr>
        <w:tc>
          <w:tcPr>
            <w:tcW w:type="pct" w:w="13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Standard</w:t>
            </w:r>
          </w:p>
        </w:tc>
        <w:tc>
          <w:tcPr>
            <w:tcW w:type="pct" w:w="18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What it demands</w:t>
            </w:r>
          </w:p>
        </w:tc>
        <w:tc>
          <w:tcPr>
            <w:tcW w:type="pct" w:w="18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Where it applies here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CFA Institute Code &amp; Standards, V(A) and V(B)</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Diligence and reasonable basis for every claim; communication distinguishes fact from opinion; limitations disclosed</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Sourcing tiers, confidence labels, forced two-sidedness, hypothesis-exclusion discipline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SEC Reg S-K Item 10(e)</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Non-GAAP measures reconciled to the most comparable GAAP measure; no greater prominence for non-GAAP</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GAAP-vs-adjusted bridges, ex-item arithmetic on the page, consensus-basis statements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FINRA Rule 2241 (disclosure norms, by analogy)</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Research disclosures: basis of conclusions, risk framing, no unconditional recommendations, disclaimer language</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Disclaimers, scenario-not-price-target doctrine, risk/catalyst matrices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Regulation FD / MNPI discipline</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Public information only; no material non-public information</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Source tiers restricted to filings, press, transcripts; absence of an explicit MNPI statement noted (I-1)</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OCC SR 11-7 model risk management (by analogy)</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Conceptual soundness, testing, documentation, independent validation for quantitative code</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Script self-tests, formula documentation, quant_helpers governance (M-4)</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ASC 280 segment reporting</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Use the issuer's actual reportable segments; treat the CODM measure with comparability caveats</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segment-maps.md accuracy for seven companies (H-3)</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Institutional research hygiene</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Vintage dating of data, consensus-vendor attribution, error-correction policy, audit trail</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Fact-base schema, append-only corrections, cutoff stamps, verification ledgers</w:t>
            </w:r>
          </w:p>
        </w:tc>
      </w:tr>
    </w:tbl>
    <w:p>
      <w:pPr>
        <w:spacing w:after="120" w:line="312"/>
      </w:pPr>
    </w:p>
    <w:p>
      <w:pPr>
        <w:pStyle w:val="Heading2"/>
      </w:pPr>
      <w:bookmarkStart w:name="_Toc5" w:id="5"/>
      <w:r>
        <w:t xml:space="preserve">2.3 Audit method and evidence classes</w:t>
      </w:r>
      <w:bookmarkEnd w:id="5"/>
    </w:p>
    <w:p>
      <w:pPr>
        <w:spacing w:after="120" w:line="312"/>
        <w:jc w:val="left"/>
      </w:pPr>
      <w:r>
        <w:rPr>
          <w:rFonts w:ascii="Times New Roman" w:eastAsia="SimSun"/>
          <w:b w:val="false"/>
          <w:bCs w:val="false"/>
          <w:color w:val="000000"/>
          <w:sz w:val="24"/>
          <w:szCs w:val="24"/>
        </w:rPr>
        <w:t xml:space="preserve">The audit proceeded in four passes. (1) </w:t>
      </w:r>
      <w:r>
        <w:rPr>
          <w:rFonts w:ascii="Times New Roman" w:eastAsia="SimSun"/>
          <w:b/>
          <w:bCs/>
          <w:color w:val="000000"/>
          <w:sz w:val="24"/>
          <w:szCs w:val="24"/>
        </w:rPr>
        <w:t xml:space="preserve">Full-file reads</w:t>
      </w:r>
      <w:r>
        <w:rPr>
          <w:rFonts w:ascii="Times New Roman" w:eastAsia="SimSun"/>
          <w:b w:val="false"/>
          <w:bCs w:val="false"/>
          <w:color w:val="000000"/>
          <w:sz w:val="24"/>
          <w:szCs w:val="24"/>
        </w:rPr>
        <w:t xml:space="preserve">: all 17 files were read end-to-end without truncation, plus the repository README, package.json, skills-catalog.md and skills-inventory.md for context. (2) </w:t>
      </w:r>
      <w:r>
        <w:rPr>
          <w:rFonts w:ascii="Times New Roman" w:eastAsia="SimSun"/>
          <w:b/>
          <w:bCs/>
          <w:color w:val="000000"/>
          <w:sz w:val="24"/>
          <w:szCs w:val="24"/>
        </w:rPr>
        <w:t xml:space="preserve">Script execution</w:t>
      </w:r>
      <w:r>
        <w:rPr>
          <w:rFonts w:ascii="Times New Roman" w:eastAsia="SimSun"/>
          <w:b w:val="false"/>
          <w:bCs w:val="false"/>
          <w:color w:val="000000"/>
          <w:sz w:val="24"/>
          <w:szCs w:val="24"/>
        </w:rPr>
        <w:t xml:space="preserve">: fact_base_audit.py was run in self-test, fact-base, checks and scan-only modes, then subjected to a purpose-built negative harness (four cases); quant_helpers.py was executed and every printed output compared with its documented target; overflow_audit.mjs was syntax-checked, usage-checked and executed against a purpose-built overflow probe page. (3) </w:t>
      </w:r>
      <w:r>
        <w:rPr>
          <w:rFonts w:ascii="Times New Roman" w:eastAsia="SimSun"/>
          <w:b/>
          <w:bCs/>
          <w:color w:val="000000"/>
          <w:sz w:val="24"/>
          <w:szCs w:val="24"/>
        </w:rPr>
        <w:t xml:space="preserve">External verification</w:t>
      </w:r>
      <w:r>
        <w:rPr>
          <w:rFonts w:ascii="Times New Roman" w:eastAsia="SimSun"/>
          <w:b w:val="false"/>
          <w:bCs w:val="false"/>
          <w:color w:val="000000"/>
          <w:sz w:val="24"/>
          <w:szCs w:val="24"/>
        </w:rPr>
        <w:t xml:space="preserve">: the skills' embedded “real, verified facts” about the Alphabet Q3 2026 event were checked against Bloomberg, Reuters, WSJ, Yahoo Finance and the earnings-call transcript, and the segment maps were checked against the NVDA FY2026 and AMZN FY2025 10-Ks on SEC EDGAR plus Apple's 10-K segment structure. (4) </w:t>
      </w:r>
      <w:r>
        <w:rPr>
          <w:rFonts w:ascii="Times New Roman" w:eastAsia="SimSun"/>
          <w:b/>
          <w:bCs/>
          <w:color w:val="000000"/>
          <w:sz w:val="24"/>
          <w:szCs w:val="24"/>
        </w:rPr>
        <w:t xml:space="preserve">Cross-skill comparison</w:t>
      </w:r>
      <w:r>
        <w:rPr>
          <w:rFonts w:ascii="Times New Roman" w:eastAsia="SimSun"/>
          <w:b w:val="false"/>
          <w:bCs w:val="false"/>
          <w:color w:val="000000"/>
          <w:sz w:val="24"/>
          <w:szCs w:val="24"/>
        </w:rPr>
        <w:t xml:space="preserve">: trigger descriptions, confidence taxonomies, attribution doctrines, deliverable formats and worked-example data were diffed across the three skills.</w:t>
      </w:r>
    </w:p>
    <w:p>
      <w:pPr>
        <w:spacing w:after="120" w:line="312"/>
        <w:jc w:val="left"/>
      </w:pPr>
      <w:r>
        <w:rPr>
          <w:rFonts w:ascii="Times New Roman" w:eastAsia="SimSun"/>
          <w:b w:val="false"/>
          <w:bCs w:val="false"/>
          <w:color w:val="000000"/>
          <w:sz w:val="24"/>
          <w:szCs w:val="24"/>
        </w:rPr>
        <w:t xml:space="preserve">Every material claim below is tagged per the audit protocol: </w:t>
      </w:r>
      <w:r>
        <w:rPr>
          <w:rFonts w:ascii="Times New Roman" w:eastAsia="SimSun"/>
          <w:b/>
          <w:bCs/>
          <w:color w:val="000000"/>
          <w:sz w:val="24"/>
          <w:szCs w:val="24"/>
        </w:rPr>
        <w:t xml:space="preserve">Verified</w:t>
      </w:r>
      <w:r>
        <w:rPr>
          <w:rFonts w:ascii="Times New Roman" w:eastAsia="SimSun"/>
          <w:b w:val="false"/>
          <w:bCs w:val="false"/>
          <w:color w:val="000000"/>
          <w:sz w:val="24"/>
          <w:szCs w:val="24"/>
        </w:rPr>
        <w:t xml:space="preserve"> means the check was executed and the result observed directly in this engagement; </w:t>
      </w:r>
      <w:r>
        <w:rPr>
          <w:rFonts w:ascii="Times New Roman" w:eastAsia="SimSun"/>
          <w:b/>
          <w:bCs/>
          <w:color w:val="000000"/>
          <w:sz w:val="24"/>
          <w:szCs w:val="24"/>
        </w:rPr>
        <w:t xml:space="preserve">Reasoned</w:t>
      </w:r>
      <w:r>
        <w:rPr>
          <w:rFonts w:ascii="Times New Roman" w:eastAsia="SimSun"/>
          <w:b w:val="false"/>
          <w:bCs w:val="false"/>
          <w:color w:val="000000"/>
          <w:sz w:val="24"/>
          <w:szCs w:val="24"/>
        </w:rPr>
        <w:t xml:space="preserve"> means logical inference from verified evidence; </w:t>
      </w:r>
      <w:r>
        <w:rPr>
          <w:rFonts w:ascii="Times New Roman" w:eastAsia="SimSun"/>
          <w:b/>
          <w:bCs/>
          <w:color w:val="000000"/>
          <w:sz w:val="24"/>
          <w:szCs w:val="24"/>
        </w:rPr>
        <w:t xml:space="preserve">Assumed</w:t>
      </w:r>
      <w:r>
        <w:rPr>
          <w:rFonts w:ascii="Times New Roman" w:eastAsia="SimSun"/>
          <w:b w:val="false"/>
          <w:bCs w:val="false"/>
          <w:color w:val="000000"/>
          <w:sz w:val="24"/>
          <w:szCs w:val="24"/>
        </w:rPr>
        <w:t xml:space="preserve"> means a stated assumption. Findings and fixes are kept separate — no repository code was rewritten during this audit, in accordance with the review-only scope.</w:t>
      </w:r>
    </w:p>
    <w:p>
      <w:pPr>
        <w:pStyle w:val="Heading2"/>
      </w:pPr>
      <w:bookmarkStart w:name="_Toc6" w:id="6"/>
      <w:r>
        <w:t xml:space="preserve">2.4 Limitations</w:t>
      </w:r>
      <w:bookmarkEnd w:id="6"/>
    </w:p>
    <w:p>
      <w:pPr>
        <w:pStyle w:val="ListParagraph"/>
        <w:numPr>
          <w:ilvl w:val="0"/>
          <w:numId w:val="1"/>
        </w:numPr>
        <w:spacing w:after="80" w:line="312"/>
        <w:jc w:val="left"/>
      </w:pPr>
      <w:r>
        <w:rPr>
          <w:rFonts w:ascii="Times New Roman" w:eastAsia="SimSun"/>
          <w:b w:val="false"/>
          <w:bCs w:val="false"/>
          <w:color w:val="000000"/>
          <w:sz w:val="24"/>
          <w:szCs w:val="24"/>
        </w:rPr>
        <w:t xml:space="preserve">GOOGL's official October 29, 2026 closing price could not be independently confirmed: Bloomberg's GOOGL quote page was robot-blocked, and the accessible Yahoo Finance prints (−12.78% / −12.79%, 283.35–283.37) match neither skill 1's −11.71% nor skill 3's −12.6%. Adjudication of that specific figure is therefore tagged Reasoned, while the existence of the cross-skill conflict is Verified.</w:t>
      </w:r>
    </w:p>
    <w:p>
      <w:pPr>
        <w:pStyle w:val="ListParagraph"/>
        <w:numPr>
          <w:ilvl w:val="0"/>
          <w:numId w:val="1"/>
        </w:numPr>
        <w:spacing w:after="80" w:line="312"/>
        <w:jc w:val="left"/>
      </w:pPr>
      <w:r>
        <w:rPr>
          <w:rFonts w:ascii="Times New Roman" w:eastAsia="SimSun"/>
          <w:b w:val="false"/>
          <w:bCs w:val="false"/>
          <w:color w:val="000000"/>
          <w:sz w:val="24"/>
          <w:szCs w:val="24"/>
        </w:rPr>
        <w:t xml:space="preserve">Analyst-action specifics embedded in skill 1's worked example (Citizens JMP downgrade, Wedbush price-target move, FactSet consensus figures, a BofA multiple comparison) could not be verified externally within this audit's time box. They are treated as unverified-by-audit, not as false — several surrounding figures in the same worked example did verify (L-6).</w:t>
      </w:r>
    </w:p>
    <w:p>
      <w:pPr>
        <w:pStyle w:val="ListParagraph"/>
        <w:numPr>
          <w:ilvl w:val="0"/>
          <w:numId w:val="1"/>
        </w:numPr>
        <w:spacing w:after="80" w:line="312"/>
        <w:jc w:val="left"/>
      </w:pPr>
      <w:r>
        <w:rPr>
          <w:rFonts w:ascii="Times New Roman" w:eastAsia="SimSun"/>
          <w:b w:val="false"/>
          <w:bCs w:val="false"/>
          <w:color w:val="000000"/>
          <w:sz w:val="24"/>
          <w:szCs w:val="24"/>
        </w:rPr>
        <w:t xml:space="preserve">overflow_audit.mjs was executed against a synthetic probe deck, not against a complete deck produced by the skill's own 15-page pipeline.</w:t>
      </w:r>
    </w:p>
    <w:p>
      <w:pPr>
        <w:pStyle w:val="ListParagraph"/>
        <w:numPr>
          <w:ilvl w:val="0"/>
          <w:numId w:val="1"/>
        </w:numPr>
        <w:spacing w:after="80" w:line="312"/>
        <w:jc w:val="left"/>
      </w:pPr>
      <w:r>
        <w:rPr>
          <w:rFonts w:ascii="Times New Roman" w:eastAsia="SimSun"/>
          <w:b w:val="false"/>
          <w:bCs w:val="false"/>
          <w:color w:val="000000"/>
          <w:sz w:val="24"/>
          <w:szCs w:val="24"/>
        </w:rPr>
        <w:t xml:space="preserve">The audit ran on 2026-10-30 against the clone at HEAD 48cd3f97; anything committed later is out of scope.</w:t>
      </w:r>
    </w:p>
    <w:p>
      <w:pPr>
        <w:pStyle w:val="Heading1"/>
      </w:pPr>
      <w:bookmarkStart w:name="_Toc7" w:id="7"/>
      <w:r>
        <w:t xml:space="preserve">3. Findings by Severity</w:t>
      </w:r>
      <w:bookmarkEnd w:id="7"/>
    </w:p>
    <w:p>
      <w:pPr>
        <w:spacing w:after="120" w:line="312"/>
        <w:jc w:val="left"/>
      </w:pPr>
      <w:r>
        <w:rPr>
          <w:rFonts w:ascii="Times New Roman" w:eastAsia="SimSun"/>
          <w:b w:val="false"/>
          <w:bCs w:val="false"/>
          <w:color w:val="000000"/>
          <w:sz w:val="24"/>
          <w:szCs w:val="24"/>
        </w:rPr>
        <w:t xml:space="preserve">Findings are ordered by severity, not by file order. Each finding states location, description, evidence, impact, severity, a concrete recommended fix, and the auditor's confidence. Severity anchors: Critical blocks release (security, data loss, production crash); High is incorrect behavior or a material control gap on a common path; Medium is an edge-case defect, control weakness or consistency problem; Low is style, convention or documentation quality; Informational is advisory. No Critical findings were identified — an honest result, not a padded one: the scripts are well-engineered and the failure modes found are quality-assurance and consistency failures, not safety failures.</w:t>
      </w:r>
    </w:p>
    <w:p>
      <w:pPr>
        <w:pStyle w:val="Heading2"/>
      </w:pPr>
      <w:bookmarkStart w:name="_Toc8" w:id="8"/>
      <w:r>
        <w:t xml:space="preserve">3.1 High-severity findings</w:t>
      </w:r>
      <w:bookmarkEnd w:id="8"/>
    </w:p>
    <w:p>
      <w:pPr>
        <w:pStyle w:val="Heading3"/>
      </w:pPr>
      <w:bookmarkStart w:name="_Toc9" w:id="9"/>
      <w:r>
        <w:t xml:space="preserve">H-1 · Cross-skill figure conflicts on the same event (High)</w:t>
      </w:r>
      <w:bookmarkEnd w:id="9"/>
    </w:p>
    <w:p>
      <w:pPr>
        <w:keepNext/>
        <w:spacing w:after="60" w:before="240" w:line="312"/>
      </w:pPr>
      <w:r>
        <w:rPr>
          <w:rFonts w:ascii="Times New Roman" w:eastAsia="SimSun"/>
          <w:b/>
          <w:bCs/>
          <w:color w:val="1A1A1A"/>
          <w:sz w:val="21"/>
          <w:szCs w:val="21"/>
        </w:rPr>
        <w:t xml:space="preserve">Table 3: Finding H-1 — Conflicting “verified” figures for the same event across skills — no single source of truth</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analyzing-us-bigtech-stocks/references/methodology.md §§3–4 (worked example) vs bigtech-equity-research/reference/formulas.md (worked examples)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Both skills use Alphabet's Q3 2026 print (reported 2026-10-28) as their worked example, and both present their figures as verified — yet they publish materially different numbers for the same datapoints: the GOOGL move is −11.71% in skill 1 and −12.6% in skill 3; consensus free cash flow is −$3.5B in skill 1 and −$2.70B in skill 3; revenue is $127.57B against $128.2B consensus in skill 1 and $127.58B against $128.22B in skill 3.</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Direct file comparison (Verified). External checks: Bloomberg's GOOG quote page confirms skill 1's Class C figures exactly — $282.32 close, −$39.57, −12.29%, as of 5:20 PM EDT 2026-10-29 — implying the $321.89 prior close it claims; Yahoo Finance pre-event pages confirm the October 28 closes ($321.89 GOOG / $324.89 GOOGL). For GOOGL on October 29, accessible Yahoo prints show −12.78%/−12.79% (283.35–283.37), matching neither skill. Skill 1's implied GOOGL close is 286.85; skill 3's is 283.95. On Alphabet's ≈$3.95 trillion market value, the 0.89-point gap between the two skills' GOOGL moves is ≈$35 billion of implied value — the two skills disagree by more than the market capitalization of most S&amp;P 500 constituents.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Two skills in one library can issue reports carrying materially different “Verified” figures for the same event; a portfolio manager or research-controls function cross-checking them would flag the desk. The repository violates, across skills, the conflict rule both skills enforce within a report — skill 1: “silent picking is forbidden”; skill 3: “never present a figure reconstructed from memory.”</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Create one canonical, dated, fully sourced worked-example file (or shared fact-base JSON) consumed by all three skills; add a repository-level consistency test that diffs shared datapoints across skills; reconcile the GOOGL figure against an exchange close record and record the correction append-only, exactly as the skills' own doctrine requires.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(the conflict and its magnitude); Reasoned (which GOOGL figure is correct — GOOG verified exactly, GOOGL adjudication inconclusive).</w:t>
            </w:r>
          </w:p>
        </w:tc>
      </w:tr>
    </w:tbl>
    <w:p>
      <w:pPr>
        <w:spacing w:after="120" w:line="312"/>
      </w:pPr>
    </w:p>
    <w:p>
      <w:pPr>
        <w:pStyle w:val="Heading3"/>
      </w:pPr>
      <w:bookmarkStart w:name="_Toc10" w:id="10"/>
      <w:r>
        <w:t xml:space="preserve">H-2 · No disclaimer anywhere in skill 2 (High)</w:t>
      </w:r>
      <w:bookmarkEnd w:id="10"/>
    </w:p>
    <w:p>
      <w:pPr>
        <w:keepNext/>
        <w:spacing w:after="60" w:before="240" w:line="312"/>
      </w:pPr>
      <w:r>
        <w:rPr>
          <w:rFonts w:ascii="Times New Roman" w:eastAsia="SimSun"/>
          <w:b/>
          <w:bCs/>
          <w:color w:val="1A1A1A"/>
          <w:sz w:val="21"/>
          <w:szCs w:val="21"/>
        </w:rPr>
        <w:t xml:space="preserve">Table 4: Finding H-2 — Skill 2 produces “institutional-grade” research deliverables with no disclaimer anywhere</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big-tech-earnings-postmortem/SKILL.md — the entire 283-line file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skill's stated ambition is a research artifact “a portfolio manager could defend in an investment committee.” The file contains zero occurrences of “investment advice”, “disclaimer” or “solicitation”. The quality-gates checklist omits any disclaimer requirement, and the deliverable spec (Step 9) bans placeholder values and fabricated citations but not missing disclosures.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Case-insensitive grep across all three skills (Verified): skills 1 and 3 carry disclaimers in multiple places — skill 1's Definition of Done (“Disclaimer present: informational only, not investment advice”), its methodology §14 (“Informational only — not investment advice, not a solicitation. No price targets published.”) and its slide templates; skill 3's description, hard rule 7 and a dedicated Disclaimer section in sourcing-and-confidence.md. Skill 2 returns no matches in any form.</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Measured against the FINRA 2241-style disclosure norms this audit applies by analogy, distributing an institutional-grade research artifact with no disclaimer or basis language is a compliance non-starter. It is also internally inconsistent: two sibling skills in the same repository treat the disclaimer as non-negotiable, and a publicly distributed skill teaches the omission by example.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Add the disclaimer to the quality gates and to Step 9's design constraints, aligned with skills 1 and 3; while editing, add the public-sources-only statement (I-1). Estimated effort: minutes.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11" w:id="11"/>
      <w:r>
        <w:t xml:space="preserve">H-3 · Segment map wrong for 3 of 7 companies (High)</w:t>
      </w:r>
      <w:bookmarkEnd w:id="11"/>
    </w:p>
    <w:p>
      <w:pPr>
        <w:keepNext/>
        <w:spacing w:after="60" w:before="240" w:line="312"/>
      </w:pPr>
      <w:r>
        <w:rPr>
          <w:rFonts w:ascii="Times New Roman" w:eastAsia="SimSun"/>
          <w:b/>
          <w:bCs/>
          <w:color w:val="1A1A1A"/>
          <w:sz w:val="21"/>
          <w:szCs w:val="21"/>
        </w:rPr>
        <w:t xml:space="preserve">Table 5: Finding H-3 — Segment map misstates ASC 280 reportable segments for three of seven companies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bigtech-equity-research/reference/segment-maps.md — the “Reportable segments” column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file opens with “Use the EDGAR 10-Q segment table as the source of truth,” then lists, as reportable segments: for Nvidia — Data Center, Gaming, Professional Visualization, Automotive, OEM (these are market platforms, i.e. revenue disaggregation inside Nvidia's two reportable segments); for Amazon — North America, International, AWS and Advertising (Advertising is a net-sales disclosure line, not a reportable segment); for Apple — iPhone, Mac, iPad, Wearables/Home/Accessories, Services (product-line disaggregation; Apple's reportable segments are geographic). The Google, Microsoft, Meta and Tesla mappings are correct.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 EDGAR, retrieved during this audit (Verified). NVIDIA FY2026 10-K (nvda-20260125.htm): “The Compute &amp; Networking segment includes our Data Center … and Automotive platforms … The Graphics segment includes GeForce GPUs for gaming and PCs, and Quadro/NVIDIA RTX GPUs …” — exactly two reportable segments, with Data Center and Automotive inside Compute &amp; Networking. Amazon FY2025 10-K (amzn-20251231.htm): segment tables for North America, International and AWS only, with advertising discussed as a net-sales driver, not a segment. Apple's 10-K reports five geographic segments (Americas, Europe, Greater China, Japan, Rest of Asia Pacific; FY2025 net sales $178.4B / $111.0B / $64.4B respectively), with the product categories appearing as revenue disaggregation.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 Phase 3 “segment variance table” built from this map would attribute consensus variance to segments that do not exist as such in the filings — the exact class of error an institutional reader catches immediately, and the exact hallucination the skill's own sourcing rules exist to prevent. It also contradicts the file's own source-of-truth claim.</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Restructure the map into two columns — “Reportable segments (ASC 280)” versus “Key disclosed revenue disaggregation / market platforms” — per company, each with an as-of vintage (“per FY2026 10-K”) and a stated refresh cadence; add the comparability caveat that segment operating income is the CODM-reviewed measure and is not comparable across issuers.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(SEC filings retrieved and quoted).</w:t>
            </w:r>
          </w:p>
        </w:tc>
      </w:tr>
    </w:tbl>
    <w:p>
      <w:pPr>
        <w:spacing w:after="120" w:line="312"/>
      </w:pPr>
    </w:p>
    <w:p>
      <w:pPr>
        <w:pStyle w:val="Heading3"/>
      </w:pPr>
      <w:bookmarkStart w:name="_Toc12" w:id="12"/>
      <w:r>
        <w:t xml:space="preserve">H-4 · Numeric audit gate can silently pass (High)</w:t>
      </w:r>
      <w:bookmarkEnd w:id="12"/>
    </w:p>
    <w:p>
      <w:pPr>
        <w:keepNext/>
        <w:spacing w:after="60" w:before="240" w:line="312"/>
      </w:pPr>
      <w:r>
        <w:rPr>
          <w:rFonts w:ascii="Times New Roman" w:eastAsia="SimSun"/>
          <w:b/>
          <w:bCs/>
          <w:color w:val="1A1A1A"/>
          <w:sz w:val="21"/>
          <w:szCs w:val="21"/>
        </w:rPr>
        <w:t xml:space="preserve">Table 6: Finding H-4 — The numeric audit gate can silently pass absent numbers (unanchored substring matching)</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analyzing-us-bigtech-stocks/scripts/fact_base_audit.py — token_in(), lines 59–66</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 tokens are matched against slide text with unanchored substring tests, so a fact's digit string “passes” whenever it appears inside any other number printed on the page. The docstring's sign/symbol tolerance is a deliberate and reasonable design goal, but the implementation lacks digit-boundary anchoring.</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Executed harness, built and run for this audit (Verified): a fact recording a close of 82.3 against a slide printing only “$282.32” returns “PASS — '82.3' present” and exit code 0 (CLEAN); a fact of 12.29 against a slide printing only “−112.29%” likewise returns PASS and exit 0. Control cases behave correctly: a genuinely present number passes; a genuinely absent number (63.4) fails with exit 1. The script's own --selftest passes; these evasion cases are not in it.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1's golden rule 5 — “a report that has not passed the numeric and render audits is not finished” — is weaker than claimed. Number drift from the fact base can ship undetected whenever digits overlap, a realistic occurrence with prices and percentages that share digits (82.3 inside 282.32 is a live example, not a contrivance). In Wall Street QA terms, this is a control with a known evasion path.</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Match tokens on digit boundaries — for example a regex of the form (?&lt;![\d.])TOKEN(?![\d.]) applied to the symbol-stripped text, or tokenize the slide's numbers and compare parsed values under a formatting-normalization table; add the two evasion cases above to --selftest so the gate proves its own anchoring.</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(executed and observed).</w:t>
            </w:r>
          </w:p>
        </w:tc>
      </w:tr>
    </w:tbl>
    <w:p>
      <w:pPr>
        <w:spacing w:after="120" w:line="312"/>
      </w:pPr>
    </w:p>
    <w:p>
      <w:pPr>
        <w:pStyle w:val="Heading2"/>
      </w:pPr>
      <w:bookmarkStart w:name="_Toc13" w:id="13"/>
      <w:r>
        <w:t xml:space="preserve">3.2 Medium-severity findings</w:t>
      </w:r>
      <w:bookmarkEnd w:id="13"/>
    </w:p>
    <w:p>
      <w:pPr>
        <w:pStyle w:val="Heading3"/>
      </w:pPr>
      <w:bookmarkStart w:name="_Toc14" w:id="14"/>
      <w:r>
        <w:t xml:space="preserve">M-1 · Render audit measures viewport, not slide origin (Medium)</w:t>
      </w:r>
      <w:bookmarkEnd w:id="14"/>
    </w:p>
    <w:p>
      <w:pPr>
        <w:keepNext/>
        <w:spacing w:after="60" w:before="240" w:line="312"/>
      </w:pPr>
      <w:r>
        <w:rPr>
          <w:rFonts w:ascii="Times New Roman" w:eastAsia="SimSun"/>
          <w:b/>
          <w:bCs/>
          <w:color w:val="1A1A1A"/>
          <w:sz w:val="21"/>
          <w:szCs w:val="21"/>
        </w:rPr>
        <w:t xml:space="preserve">Table 7: Finding M-1 — Render audit measures against the viewport, not the slide origin; no mandated body reset</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overflow_audit.mjs evaluate() (lines 85–105); report-design.md §1 (design tokens omit a html,body margin reset)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overflow check compares each element's bounding rectangle to the viewport dimensions (W×H), not to the .slide element's own box. Any deck whose page omits a body margin reset — the design tokens never mandate one — offsets the entire 1280×720 canvas by the default 8px, and every full-width element then reports a right edge at 1288px and fails the 2px-tolerance check.</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Probe execution (Verified): a purpose-built slide with a genuinely overflowing element and a properly sized .slide produced “OVERFLOW … clipped: h1 bottom=66 right=1288 | p bottom=106 right=1288 | div.too-low bottom=755” — the h1 and p flags are pure body-margin artifacts; only div.too-low was a true overflow. A secondary observation: the page load uses waitUntil networkidle against a design system that @imports Google Fonts, which can stall toward the 30-second timeout in offline environments.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Systematic false positives train users to dismiss OVERFLOW flags — the skill's own protocol then normalizes “documented false positives” — or, if a generator happens to reset margins, genuine 8px-scale defects are measured against a shifted origin. Either way the gate's authority erodes.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Compute overflow relative to the .slide element's bounding rect (offset-aware), or mandate html,body{margin:0;padding:0} in the token sheet and audit for it; make page loading fall back from networkidle to domcontentloaded with a bounded wait when fonts do not resolve.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(probe executed).</w:t>
            </w:r>
          </w:p>
        </w:tc>
      </w:tr>
    </w:tbl>
    <w:p>
      <w:pPr>
        <w:spacing w:after="120" w:line="312"/>
      </w:pPr>
    </w:p>
    <w:p>
      <w:pPr>
        <w:pStyle w:val="Heading3"/>
      </w:pPr>
      <w:bookmarkStart w:name="_Toc15" w:id="15"/>
      <w:r>
        <w:t xml:space="preserve">M-2 · Three inconsistent attribution doctrines (Medium)</w:t>
      </w:r>
      <w:bookmarkEnd w:id="15"/>
    </w:p>
    <w:p>
      <w:pPr>
        <w:keepNext/>
        <w:spacing w:after="60" w:before="240" w:line="312"/>
      </w:pPr>
      <w:r>
        <w:rPr>
          <w:rFonts w:ascii="Times New Roman" w:eastAsia="SimSun"/>
          <w:b/>
          <w:bCs/>
          <w:color w:val="1A1A1A"/>
          <w:sz w:val="21"/>
          <w:szCs w:val="21"/>
        </w:rPr>
        <w:t xml:space="preserve">Table 8: Finding M-2 — Three mutually inconsistent doctrines on attribution quantification</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 methodology §9; skill 2 SKILL.md “Common failure modes” and Step 3; skill 3 SKILL.md Definition of Done and methodology Phase 7</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 the core methodological question — may the analyst allocate a realized price move across drivers in percentage terms — skill 1 says conditionally (“ordinal ranks only. Publish a percentage attribution only if it is computable from sourced data; otherwise write attribution is qualitative”), skill 2 says never (“False precision: inventing a percentage of the move attributable to each driver. Use ordinal ranks, not fake decompositions”), and skill 3 says always, as a Definition-of-Done item (“Waterfall quantified, sums to the realized move”), softened only by its hard rule that weights are Reasoned.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Direct quotation from the three files (Verified). Skill 3's own worked waterfall allocates −12.6 points across beta, FCF/capex, EPS quality, Search and positioning; skill 2's failure-mode list would classify exactly that artifact as a “fake decomposition” if the weights are not regression-derived.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routing silently decides the answer to a methodological controversy: the same question yields a ranked table from one skill and a quantified waterfall from another, and the outputs are not comparable. A research desk operates one attribution policy, not three.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skill 1's conditional rule as the repository canon — quantify the market-wide beta component (computable from sourced index returns), label idiosyncratic splits explicitly as Reasoned analytical allocations, and never present weights as regression output — then make skills 2 and 3 reference the shared policy instead of restating divergent ones.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(textual).</w:t>
            </w:r>
          </w:p>
        </w:tc>
      </w:tr>
    </w:tbl>
    <w:p>
      <w:pPr>
        <w:spacing w:after="120" w:line="312"/>
      </w:pPr>
    </w:p>
    <w:p>
      <w:pPr>
        <w:pStyle w:val="Heading3"/>
      </w:pPr>
      <w:bookmarkStart w:name="_Toc16" w:id="16"/>
      <w:r>
        <w:t xml:space="preserve">M-3 · Confidence taxonomy drift across skills (Medium)</w:t>
      </w:r>
      <w:bookmarkEnd w:id="16"/>
    </w:p>
    <w:p>
      <w:pPr>
        <w:keepNext/>
        <w:spacing w:after="60" w:before="240" w:line="312"/>
      </w:pPr>
      <w:r>
        <w:rPr>
          <w:rFonts w:ascii="Times New Roman" w:eastAsia="SimSun"/>
          <w:b/>
          <w:bCs/>
          <w:color w:val="1A1A1A"/>
          <w:sz w:val="21"/>
          <w:szCs w:val="21"/>
        </w:rPr>
        <w:t xml:space="preserve">Table 9: Finding M-3 — Confidence-taxonomy drift across skills, and an internal contradiction inside skill 3</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 SKILL.md “The confidence system”; skill 2 Step 7; skill 3 sourcing-and-confidence.md and methodology.md Phase 1</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three skills ship different confidence taxonomies with different evidentiary bars for the same labels. Skill 1 uses three labels (Verified / Reasoned / Assumed) with Verified = observed in ≥1 named primary source and decision-critical items cross-checked in ≥2. Skill 2 uses four (adding Unverifiable) with Verified = “executed/checked and observed directly.” Skill 3 uses four with Verified = “≥2 independent primary/near-primary sources, consistent to the reported precision.” Separately, skill 3 contradicts itself on transcript providers: methodology.md Phase 1 lists Motley Fool / Seeking Alpha transcripts as source preference 2 (cross-checked against audio), while sourcing-and-confidence.md ranks Motley Fool in tier 6 aggregators (“verify the underlying number elsewhere”); skill 1 ranks the same transcripts T1.</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Direct quotation from the four files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same badge asserts different evidentiary bars depending on which skill fired, so outputs are not comparable and a quality function cannot apply one standard; the “Verified” guarantee degrades from a specification to an inclination. The intra-skill-3 contradiction additionally leaves transcript tiering undefined at exactly the point where earnings-postmortem evidence is densest.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Extract one shared sourcing-and-confidence reference (single taxonomy, single source hierarchy with transcript-provider tiering resolved) and have all three SKILL.md files consume it; keep the stronger of duplicate definitions and delete the weaker rather than reconciling by paraphrase.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(textual).</w:t>
            </w:r>
          </w:p>
        </w:tc>
      </w:tr>
    </w:tbl>
    <w:p>
      <w:pPr>
        <w:spacing w:after="120" w:line="312"/>
      </w:pPr>
    </w:p>
    <w:p>
      <w:pPr>
        <w:pStyle w:val="Heading3"/>
      </w:pPr>
      <w:bookmarkStart w:name="_Toc17" w:id="17"/>
      <w:r>
        <w:t xml:space="preserve">M-4 · Self-test prints without asserting; sign error (Medium)</w:t>
      </w:r>
      <w:bookmarkEnd w:id="17"/>
    </w:p>
    <w:p>
      <w:pPr>
        <w:keepNext/>
        <w:spacing w:after="60" w:before="240" w:line="312"/>
      </w:pPr>
      <w:r>
        <w:rPr>
          <w:rFonts w:ascii="Times New Roman" w:eastAsia="SimSun"/>
          <w:b/>
          <w:bCs/>
          <w:color w:val="1A1A1A"/>
          <w:sz w:val="21"/>
          <w:szCs w:val="21"/>
        </w:rPr>
        <w:t xml:space="preserve">Table 10: Finding M-4 — quant_helpers self-test does not assert; formulas.md carries a sign error; no unit tests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bigtech-equity-research/scripts/quant_helpers.py __main__ block; reference/formulas.md “OCF shortfall” worked example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__main__ block prints computed values next to hand-written comments but contains no assertions, so a silent formula regression would still print a healthy-looking “self-test.” The OCF-shortfall worked example in formulas.md states “(−2.70 + 55.09) − 42.29 = −10.10B”, while the same arithmetic executed in the script returns +10.10B — the document and the code disagree on the sign convention of the skill's signature derived metric. avg_pt_cut has no zero-division guard, and the module ships with no unit tests of any kind.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Executed (Verified): python3 quant_helpers.py reproduces every documented target — revenue delta −0.64B (−0.50%), EPS delta −0.90 (−29.80%), alpha −11.1pp, capex/OCF 121.4%, average PT cut −13.7%, waterfall sum 12.6 — and prints “OCF shortfall: +10.10B” against formulas.md's −10.10B. The arithmetic identity is unambiguous: (−2.70 + 55.09) − 42.29 = +10.10.</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Under the SR 11-7 analogy this is untested model code inside a research pipeline: regressions ship silently, and a junior analyst following formulas.md states a negative shortfall (or the sign silently flips between documentation and tool). The other skill's audit script demonstrates the correct pattern — an asserting self-test — so the repo already contains the fix as a template.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Convert the __main__ block to an asserting self-test in the fact_base_audit.py style; correct the formulas.md example or define the sign convention in both places in one sentence; add pytest coverage including consensus=0, old_pt=0, empty inputs and rounding boundaries.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(executed).</w:t>
            </w:r>
          </w:p>
        </w:tc>
      </w:tr>
    </w:tbl>
    <w:p>
      <w:pPr>
        <w:spacing w:after="120" w:line="312"/>
      </w:pPr>
    </w:p>
    <w:p>
      <w:pPr>
        <w:pStyle w:val="Heading3"/>
      </w:pPr>
      <w:bookmarkStart w:name="_Toc18" w:id="18"/>
      <w:r>
        <w:t xml:space="preserve">M-5 · Skill 2 quality bar is unenforced prose (Medium)</w:t>
      </w:r>
      <w:bookmarkEnd w:id="18"/>
    </w:p>
    <w:p>
      <w:pPr>
        <w:keepNext/>
        <w:spacing w:after="60" w:before="240" w:line="312"/>
      </w:pPr>
      <w:r>
        <w:rPr>
          <w:rFonts w:ascii="Times New Roman" w:eastAsia="SimSun"/>
          <w:b/>
          <w:bCs/>
          <w:color w:val="1A1A1A"/>
          <w:sz w:val="21"/>
          <w:szCs w:val="21"/>
        </w:rPr>
        <w:t xml:space="preserve">Table 11: Finding M-5 — Skill 2's quality bar is unenforced prose — no gates, templates or references ship</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big-tech-earnings-postmortem/ — a single SKILL.md, no scripts/, templates/ or references/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2's quality gates — “FCF is computed, not copied”, “a verification ledger exists with 10+ load-bearing claims”, “no fabricated numbers” — have no executable counterpart, unlike skill 1's two audit scripts, and not even a static template: skill 3 ships an evidence-ledger template that skill 2 reimplements in prose.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File-tree verification (Verified): one file, 283 lines, zero supporting artifacts.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same user request routed to skill 2 yields a deliverable with materially weaker guarantees than routing to skill 1, for identical inputs. The gap between claimed rigor and enforceable rigor is exactly what a research-controls function measures.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Either port the fact-base and audit-gate pattern into skill 2 (or have its Phase-equivalent explicitly invoke skill 1's scripts), or demote skill 2 in its own description to a lightweight fast path with the limitations stated; reuse skill 3's evidence-ledger template rather than restating it.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(file tree).</w:t>
            </w:r>
          </w:p>
        </w:tc>
      </w:tr>
    </w:tbl>
    <w:p>
      <w:pPr>
        <w:spacing w:after="120" w:line="312"/>
      </w:pPr>
    </w:p>
    <w:p>
      <w:pPr>
        <w:pStyle w:val="Heading3"/>
      </w:pPr>
      <w:bookmarkStart w:name="_Toc19" w:id="19"/>
      <w:r>
        <w:t xml:space="preserve">M-6 · Routing overlap; catalog indexes none (Medium)</w:t>
      </w:r>
      <w:bookmarkEnd w:id="19"/>
    </w:p>
    <w:p>
      <w:pPr>
        <w:keepNext/>
        <w:spacing w:after="60" w:before="240" w:line="312"/>
      </w:pPr>
      <w:r>
        <w:rPr>
          <w:rFonts w:ascii="Times New Roman" w:eastAsia="SimSun"/>
          <w:b/>
          <w:bCs/>
          <w:color w:val="1A1A1A"/>
          <w:sz w:val="21"/>
          <w:szCs w:val="21"/>
        </w:rPr>
        <w:t xml:space="preserve">Table 12: Finding M-6 — Routing overlap: three skills claim the same trigger space, and the catalog indexes none of them</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three SKILL.md descriptions; skills/skills-catalog.md and skills-inventory.md (repository discovery layer)</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All three descriptions trigger on variants of “why did big-tech X move after earnings”: skill 1 (“Use when asked why a stock moved, to run a root-cause analysis (RCA) on a price event”), skill 2 (“Use when the user asks why a big-tech stock moved sharply after earnings”), skill 3 (“Use when asked to explain a stock-price event (post-earnings move, guidance shock, regulatory action)”). None of the three references the others. Meanwhile the repository's catalog — which the README designates as the routing entry point — contains no entry for any of the three skills (case-insensitive search over both catalog files).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Frontmatter text and catalog greps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selection for the highest-value research request in the library is nondeterministic, and the catalog routing layer would never surface the skills at all. Three deliverable formats (15-page deck, 7-section HTML, 13-section note) for one question family multiplies maintenance surface — which is precisely where the drift in M-2, M-3 and H-1 already shows.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Demarcate the three in their descriptions (deck-with-audit-gates vs lightweight post-mortem vs quantified-note), cross-reference each other explicitly, and register all three in skills-catalog.md with a note that the catalog must be regenerated when skills land.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20" w:id="20"/>
      <w:r>
        <w:t xml:space="preserve">M-7 · Implicit, environment-coupled Playwright dependency (Medium)</w:t>
      </w:r>
      <w:bookmarkEnd w:id="20"/>
    </w:p>
    <w:p>
      <w:pPr>
        <w:keepNext/>
        <w:spacing w:after="60" w:before="240" w:line="312"/>
      </w:pPr>
      <w:r>
        <w:rPr>
          <w:rFonts w:ascii="Times New Roman" w:eastAsia="SimSun"/>
          <w:b/>
          <w:bCs/>
          <w:color w:val="1A1A1A"/>
          <w:sz w:val="21"/>
          <w:szCs w:val="21"/>
        </w:rPr>
        <w:t xml:space="preserve">Table 13: Finding M-7 — Playwright dependency is implicit and environment-coupled</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overflow_audit.mjs loadPlaywright() — fallback resolution bases include the hardcoded absolute paths /home/z/my-project and /home/z/my-project/scripts; repository package.json (no playwright); SKILL.md Phase 10 (prerequisite unstated)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render audit resolves Playwright from the working directory, the script's own directory, or two machine-specific absolute paths. Playwright is absent from the repository's dependencies, and the skill text never states the install prerequisite — the script merely prints an install hint after failing.</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Code inspection plus execution (Verified): the script ran in this audit environment only because the auditor's sandbox happens to match one of the two hardcoded paths; the repository itself has no node_modules and no playwright dependency entry.</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Definition-of-Done line “both audit scripts exit clean” is unverifiable in a fresh clone, and shipped skill code contains author-machine absolute paths — a portability smell that will surface as an environment error (exit 2) for most users on first use.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State the prerequisite in SKILL.md Phase 10 and the Bundled-resources table (npm install playwright &amp;&amp; npx playwright install chromium); resolve from the working directory and a documented relative location only; remove the absolute paths.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(code read; behavior observed).</w:t>
            </w:r>
          </w:p>
        </w:tc>
      </w:tr>
    </w:tbl>
    <w:p>
      <w:pPr>
        <w:spacing w:after="120" w:line="312"/>
      </w:pPr>
    </w:p>
    <w:p>
      <w:pPr>
        <w:pStyle w:val="Heading2"/>
      </w:pPr>
      <w:bookmarkStart w:name="_Toc21" w:id="21"/>
      <w:r>
        <w:t xml:space="preserve">3.3 Low-severity findings</w:t>
      </w:r>
      <w:bookmarkEnd w:id="21"/>
    </w:p>
    <w:p>
      <w:pPr>
        <w:pStyle w:val="Heading3"/>
      </w:pPr>
      <w:bookmarkStart w:name="_Toc22" w:id="22"/>
      <w:r>
        <w:t xml:space="preserve">L-1 · Packaging and frontmatter drift (Low)</w:t>
      </w:r>
      <w:bookmarkEnd w:id="22"/>
    </w:p>
    <w:p>
      <w:pPr>
        <w:keepNext/>
        <w:spacing w:after="60" w:before="240" w:line="312"/>
      </w:pPr>
      <w:r>
        <w:rPr>
          <w:rFonts w:ascii="Times New Roman" w:eastAsia="SimSun"/>
          <w:b/>
          <w:bCs/>
          <w:color w:val="1A1A1A"/>
          <w:sz w:val="21"/>
          <w:szCs w:val="21"/>
        </w:rPr>
        <w:t xml:space="preserve">Table 14: Finding L-1 — Packaging and frontmatter drift across the three skills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Folder structure and YAML frontmatter of the three skills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 uses references/ + assets/ + scripts/; skill 3 uses reference/ + templates/ + scripts/; skill 2 ships no subdirectories. Frontmatter keys are inconsistent: skill 1 carries name and description only; skill 2 adds license and a non-standard compatibility key; skill 3 adds version — none matches the repository spec's full optional set (license / author / version), and only skill 2 declares any license.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Directory listing and frontmatter parsing (Verified): description lengths 602 / 607 / 539 characters — all within the 1024-character limit, and all three names match their folders, so spec compliance in the narrow sense holds.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Discoverability and tooling assumptions suffer; the license asymmetry feeds L-2.</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Standardize on one folder convention and one full frontmatter set across the three skills.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23" w:id="23"/>
      <w:r>
        <w:t xml:space="preserve">L-2 · No root LICENSE (Low)</w:t>
      </w:r>
      <w:bookmarkEnd w:id="23"/>
    </w:p>
    <w:p>
      <w:pPr>
        <w:keepNext/>
        <w:spacing w:after="60" w:before="240" w:line="312"/>
      </w:pPr>
      <w:r>
        <w:rPr>
          <w:rFonts w:ascii="Times New Roman" w:eastAsia="SimSun"/>
          <w:b/>
          <w:bCs/>
          <w:color w:val="1A1A1A"/>
          <w:sz w:val="21"/>
          <w:szCs w:val="21"/>
        </w:rPr>
        <w:t xml:space="preserve">Table 15: Finding L-2 — No root LICENSE in a 340-skill public repository</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Repository root (no LICENSE file); skill 2 frontmatter (Apache 2.0)</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repository ships skills publicly with no top-level license; the only declaration in scope is skill 2's Apache 2.0, which does not cover skills 1 and 3 whose content includes substantial original methodology and code.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Filesystem check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Redistribution terms for the audited skills are ambiguous — a licensing reviewer would flag it before any institutional reuse of the methodology.</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Add a root LICENSE and per-skill license fields; state whether the Apache 2.0 declaration on skill 2 was intended repo-wide.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24" w:id="24"/>
      <w:r>
        <w:t xml:space="preserve">L-3 · Markdown defect; circular market-cap pair (Low)</w:t>
      </w:r>
      <w:bookmarkEnd w:id="24"/>
    </w:p>
    <w:p>
      <w:pPr>
        <w:keepNext/>
        <w:spacing w:after="60" w:before="240" w:line="312"/>
      </w:pPr>
      <w:r>
        <w:rPr>
          <w:rFonts w:ascii="Times New Roman" w:eastAsia="SimSun"/>
          <w:b/>
          <w:bCs/>
          <w:color w:val="1A1A1A"/>
          <w:sz w:val="21"/>
          <w:szCs w:val="21"/>
        </w:rPr>
        <w:t xml:space="preserve">Table 16: Finding L-3 — formulas.md markdown defect and a circular market-cap pair</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bigtech-equity-research/reference/formulas.md, “Market cap” section (lines 66–73)</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 stray closing code fence causes the trailing sentence (“Run the math with scripts/quant_helpers.py to avoid arithmetic errors.”) to render inside a code block. The section's two formulas are also mutual inverses (market-cap-erased = pre-print cap × |move|; pre-print cap ≈ erased / |move|) — a bounding identity rather than a computation recipe — whereas skill 1's methodology prefers shares-outstanding × Δprice (sourced from the 10-Q cover) and explicitly labels the percentage method an approximation.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 content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Rendering noise in a reference file, and an inverted priority on market-cap arithmetic relative to the sibling skill's stronger doctrine.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Repair the fence; replace the circular pair with the shares × Δprice formula and keep the percentage method as the labeled cross-check.</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25" w:id="25"/>
      <w:r>
        <w:t xml:space="preserve">L-4 · Placeholder scan reads script and style blocks (Low)</w:t>
      </w:r>
      <w:bookmarkEnd w:id="25"/>
    </w:p>
    <w:p>
      <w:pPr>
        <w:keepNext/>
        <w:spacing w:after="60" w:before="240" w:line="312"/>
      </w:pPr>
      <w:r>
        <w:rPr>
          <w:rFonts w:ascii="Times New Roman" w:eastAsia="SimSun"/>
          <w:b/>
          <w:bCs/>
          <w:color w:val="1A1A1A"/>
          <w:sz w:val="21"/>
          <w:szCs w:val="21"/>
        </w:rPr>
        <w:t xml:space="preserve">Table 17: Finding L-4 — Placeholder scan runs on raw HTML including script and style blocks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fact_base_audit.py scan_placeholders() — normalizes the raw file, not visible text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fact-presence checks strip &lt;script&gt;/&lt;style&gt; and tags before matching, but the placeholder scan matches against the full raw HTML, so a CSS class named placeholder-bar or the JavaScript token undefined inside a script triggers failures on content readers never see.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Executed (Verified): a probe slide whose visible text was clean produced “PLACEHOLDER … matches /placeholder/” and “matches /\bundefined\b/” from its style and script blocks. A related dead-code observation: in checks mode, covered.update() adds needle strings in a format the candidate suppressor never consults.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False positives on code-bearing decks; the scan errs safe but noisy.</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Run the placeholder patterns against visible_text() output only; remove or repair the dead covered.update() in checks mode.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(executed).</w:t>
            </w:r>
          </w:p>
        </w:tc>
      </w:tr>
    </w:tbl>
    <w:p>
      <w:pPr>
        <w:spacing w:after="120" w:line="312"/>
      </w:pPr>
    </w:p>
    <w:p>
      <w:pPr>
        <w:pStyle w:val="Heading3"/>
      </w:pPr>
      <w:bookmarkStart w:name="_Toc26" w:id="26"/>
      <w:r>
        <w:t xml:space="preserve">L-5 · Evidence ledger cites a nonexistent phase (Low)</w:t>
      </w:r>
      <w:bookmarkEnd w:id="26"/>
    </w:p>
    <w:p>
      <w:pPr>
        <w:keepNext/>
        <w:spacing w:after="60" w:before="240" w:line="312"/>
      </w:pPr>
      <w:r>
        <w:rPr>
          <w:rFonts w:ascii="Times New Roman" w:eastAsia="SimSun"/>
          <w:b/>
          <w:bCs/>
          <w:color w:val="1A1A1A"/>
          <w:sz w:val="21"/>
          <w:szCs w:val="21"/>
        </w:rPr>
        <w:t xml:space="preserve">Table 18: Finding L-5 — Evidence-ledger cites a phase that does not exist</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bigtech-equity-research/templates/evidence-ledger.md, Table 2 (“Forward P/E vs band | 11”)</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Data-Gap ledger's Phase column cites “11” for the forward-P/E gap, but skill 3's methodology defines seven phases; 11 is a deliverable section number in report-structure.md, not a phase.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 comparison across the three skill-3 files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Minor cross-reference confusion for the executing agent at exactly the moment it is deciding what to re-pull.</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Relabel the column or the value (“Deliverable section 11”).</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27" w:id="27"/>
      <w:r>
        <w:t xml:space="preserve">L-6 · Embedded sell-side specifics unverifiable (Low)</w:t>
      </w:r>
      <w:bookmarkEnd w:id="27"/>
    </w:p>
    <w:p>
      <w:pPr>
        <w:keepNext/>
        <w:spacing w:after="60" w:before="240" w:line="312"/>
      </w:pPr>
      <w:r>
        <w:rPr>
          <w:rFonts w:ascii="Times New Roman" w:eastAsia="SimSun"/>
          <w:b/>
          <w:bCs/>
          <w:color w:val="1A1A1A"/>
          <w:sz w:val="21"/>
          <w:szCs w:val="21"/>
        </w:rPr>
        <w:t xml:space="preserve">Table 19: Finding L-6 — Embedded sell-side specifics could not be verified externally</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analyzing-us-bigtech-stocks/references/methodology.md — Citizens JMP downgrade, Wedbush PT $445→$387, FactSet consensus $426.20→$404.63 across 61 analysts, BofA Search-at-~10x comparison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worked example asserts specific named analyst actions and a consensus price-target path as facts from the October 2026 engagement. This audit could not verify them externally within its time box; the surrounding fundamentals in the same worked example (close, FCF, EPS, OCF, Cloud, macro prints) did verify, so these are unverified-by-audit rather than presumed false.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External searches returned the event coverage but not these specific action details (Reasoned / Assumed).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If any specific is wrong, the skill teaches fabrication by example; if all are right, they rot silently as the example ages.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Move worked-example specifics into a dated, source-linked appendix (URL + retrieval date each), or mark them illustrative; the fact-base schema the skill itself defines already models the right pattern.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Assumed (could not be verified or falsified).</w:t>
            </w:r>
          </w:p>
        </w:tc>
      </w:tr>
    </w:tbl>
    <w:p>
      <w:pPr>
        <w:spacing w:after="120" w:line="312"/>
      </w:pPr>
    </w:p>
    <w:p>
      <w:pPr>
        <w:pStyle w:val="Heading2"/>
      </w:pPr>
      <w:bookmarkStart w:name="_Toc28" w:id="28"/>
      <w:r>
        <w:t xml:space="preserve">3.4 Informational observations</w:t>
      </w:r>
      <w:bookmarkEnd w:id="28"/>
    </w:p>
    <w:p>
      <w:pPr>
        <w:pStyle w:val="Heading3"/>
      </w:pPr>
      <w:bookmarkStart w:name="_Toc29" w:id="29"/>
      <w:r>
        <w:t xml:space="preserve">I-1 · No MNPI / Reg FD statement (Informational)</w:t>
      </w:r>
      <w:bookmarkEnd w:id="29"/>
    </w:p>
    <w:p>
      <w:pPr>
        <w:keepNext/>
        <w:spacing w:after="60" w:before="240" w:line="312"/>
      </w:pPr>
      <w:r>
        <w:rPr>
          <w:rFonts w:ascii="Times New Roman" w:eastAsia="SimSun"/>
          <w:b/>
          <w:bCs/>
          <w:color w:val="1A1A1A"/>
          <w:sz w:val="21"/>
          <w:szCs w:val="21"/>
        </w:rPr>
        <w:t xml:space="preserve">Table 20: Finding I-1 — No MNPI / Regulation FD statement in any of the three skills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All three SKILL.md files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All three skills effectively restrict sourcing to public materials through their tier hierarchies, but none states the compliance principle that only public information is used and material non-public information is out of scope.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Full-text reads (Verified — absence).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 research-controls review under the Wall Street framing of the engagement brief would require the statement, even for an agent tool.</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One sentence in each SKILL.md (“public sources only; if you are in possession of material non-public information, stop”), ideally in the shared standard file proposed under M-3.</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 (absence).</w:t>
            </w:r>
          </w:p>
        </w:tc>
      </w:tr>
    </w:tbl>
    <w:p>
      <w:pPr>
        <w:spacing w:after="120" w:line="312"/>
      </w:pPr>
    </w:p>
    <w:p>
      <w:pPr>
        <w:pStyle w:val="Heading3"/>
      </w:pPr>
      <w:bookmarkStart w:name="_Toc30" w:id="30"/>
      <w:r>
        <w:t xml:space="preserve">I-2 · No explicit GAAP-to-non-GAAP phase (Informational)</w:t>
      </w:r>
      <w:bookmarkEnd w:id="30"/>
    </w:p>
    <w:p>
      <w:pPr>
        <w:keepNext/>
        <w:spacing w:after="60" w:before="240" w:line="312"/>
      </w:pPr>
      <w:r>
        <w:rPr>
          <w:rFonts w:ascii="Times New Roman" w:eastAsia="SimSun"/>
          <w:b/>
          <w:bCs/>
          <w:color w:val="1A1A1A"/>
          <w:sz w:val="21"/>
          <w:szCs w:val="21"/>
        </w:rPr>
        <w:t xml:space="preserve">Table 21: Finding I-2 — Skill 3 lacks an explicit GAAP-to-non-GAAP reconciliation phase</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bigtech-equity-research/reference/methodology.md (Phases 1–7) and templates/report-structure.md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One-time items appear in skill 3 only inside the Phase 7 waterfall; there is no bridge step. Skills 1 and 2 mandate bridges — skill 2's cash/non-cash × recurring/one-time × dilution classification is the strongest treatment of the three, and skill 1 requires the ex-item arithmetic on the slide.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Methodology comparison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 Item 10(e)-style reviewer would ask where the reconciliation lives for skill 3 outputs.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Add a bridge requirement to Phase 4 or a dedicated section in the report template.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3"/>
      </w:pPr>
      <w:bookmarkStart w:name="_Toc31" w:id="31"/>
      <w:r>
        <w:t xml:space="preserve">I-3 · Consensus-vendor attribution varies (Informational)</w:t>
      </w:r>
      <w:bookmarkEnd w:id="31"/>
    </w:p>
    <w:p>
      <w:pPr>
        <w:keepNext/>
        <w:spacing w:after="60" w:before="240" w:line="312"/>
      </w:pPr>
      <w:r>
        <w:rPr>
          <w:rFonts w:ascii="Times New Roman" w:eastAsia="SimSun"/>
          <w:b/>
          <w:bCs/>
          <w:color w:val="1A1A1A"/>
          <w:sz w:val="21"/>
          <w:szCs w:val="21"/>
        </w:rPr>
        <w:t xml:space="preserve">Table 22: Finding I-3 — Consensus-vendor attribution varies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582"/>
        <w:gridCol w:w="7206"/>
      </w:tblGrid>
      <w:tr>
        <w:trPr>
          <w:cantSplit/>
          <w:tblHeader/>
        </w:trPr>
        <w:tc>
          <w:tcPr>
            <w:tcW w:type="pct" w:w="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Field</w:t>
            </w:r>
          </w:p>
        </w:tc>
        <w:tc>
          <w:tcPr>
            <w:tcW w:type="pct" w:w="4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Content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Location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 methodology §2.3 (requires naming the outlet); skill 3 formulas.md worked examples (bare “consensus”)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Description</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audit's own external checks illustrate the stakes: Yahoo's S&amp;P-analyst consensus for Alphabet Q3 2026 revenue was $127.9B (“in line”) while the skills cite $128.2B/$128.22B (miss) — plausibly different vendors, materially different surprise framing. Skill 1 already requires outlet attribution; skill 3's examples do not model it.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Evidence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Finance versus the two skills' figures (Verified).</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Impact</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Unattributed consensus is unreproducible consensus — the first thing a research-controls reviewer asks.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Recommended fix</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Require vendor + as-of date on every consensus figure; make skill 3's worked examples carry the attribution skill 1 already mandates.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w:t>
            </w:r>
          </w:p>
        </w:tc>
        <w:tc>
          <w:tcPr>
            <w:tcW w:type="pct" w:w="4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1"/>
      </w:pPr>
      <w:bookmarkStart w:name="_Toc32" w:id="32"/>
      <w:r>
        <w:t xml:space="preserve">4. Skill-by-Skill Assessment</w:t>
      </w:r>
      <w:bookmarkEnd w:id="32"/>
    </w:p>
    <w:p>
      <w:pPr>
        <w:pStyle w:val="Heading2"/>
      </w:pPr>
      <w:bookmarkStart w:name="_Toc33" w:id="33"/>
      <w:r>
        <w:t xml:space="preserve">4.1 analyzing-us-bigtech-stocks — RCA deck with audit gates (rubric 4.45 / 5)</w:t>
      </w:r>
      <w:bookmarkEnd w:id="33"/>
    </w:p>
    <w:p>
      <w:pPr>
        <w:spacing w:after="120" w:line="312"/>
        <w:jc w:val="left"/>
      </w:pPr>
      <w:r>
        <w:rPr>
          <w:rFonts w:ascii="Times New Roman" w:eastAsia="SimSun"/>
          <w:b w:val="false"/>
          <w:bCs w:val="false"/>
          <w:color w:val="000000"/>
          <w:sz w:val="24"/>
          <w:szCs w:val="24"/>
        </w:rPr>
        <w:t xml:space="preserve">Skill 1 is an eleven-phase pipeline (Phases 0–10) that turns a price question into a 12–16-page HTML investment-committee deck on a fixed 1280×720 canvas, styled by a documented “Midnight IC” design system (deep navy, ivory serif, gold accents, monospaced numerals — explicitly referenced to Goldman Sachs / BlackRock IC-memo aesthetics). Its spine is a JSON fact base governed by a written schema: every number carries an ID, category, unit, as-of period, source tier, source name, URL, retrieval timestamp, confidence label, cross-checks, and the hypothesis IDs it evidences. Phases 3–4 force a hypothesis tree of 5–8 competing explanations with falsifiable predictions and at least one explicitly EXCLUDED verdict; Phase 6 mandates the GAAP-to-adjusted bridge with one-off inventory; Phase 7 separates amplifiers (depth) from triggers (direction) and requires a sourced counter-case page; Phase 8 bans price targets; Phase 10 runs the two executable audits before delivery.</w:t>
      </w:r>
    </w:p>
    <w:p>
      <w:pPr>
        <w:spacing w:after="120" w:line="312"/>
        <w:jc w:val="left"/>
      </w:pPr>
      <w:r>
        <w:rPr>
          <w:rFonts w:ascii="Times New Roman" w:eastAsia="SimSun"/>
          <w:b/>
          <w:bCs/>
          <w:color w:val="000000"/>
          <w:sz w:val="24"/>
          <w:szCs w:val="24"/>
        </w:rPr>
        <w:t xml:space="preserve">Verified strengths.</w:t>
      </w:r>
      <w:r>
        <w:rPr>
          <w:rFonts w:ascii="Times New Roman" w:eastAsia="SimSun"/>
          <w:b w:val="false"/>
          <w:bCs w:val="false"/>
          <w:color w:val="000000"/>
          <w:sz w:val="24"/>
          <w:szCs w:val="24"/>
        </w:rPr>
        <w:t xml:space="preserve"> The source-tier table is the most institutional element in the repository: T3 aggregators are barred from originating fundamental claims outright — a rule human analysts routinely break. The T+1-close reaction doctrine (“the after-hours print is thin; the close is what clears real size”) preempts the most common post-earnings analytical error. The transcript protocol requires verbatim capture of one-off explanations with hedging language intact, and its worked illustration (a $5.2B EC fine inside FCF converting a “cash-flow collapse” into an in-line quarter ex-item) is exactly the craft a senior analyst would teach. The fact base is append-only during an engagement, conflicts are recorded rather than silently resolved, rankings must be sourced or dropped, and the data cutoff is stamped on the cover with an explicit refresh duty. The external verification results were strong: GOOG close $282.32 (−12.29%, −$39.57) confirmed exactly by Bloomberg; FCF −$9.1B and TTM FCF $19.7B confirmed in the earnings-call transcript language; adjusted EPS $2.67 and net income path confirmed by Reuters; OCF $42.3B, Cloud $30.7B (+103%), PCE 3.6% from 3.4%, and the “$482B — worst day ever, second-largest wipeout behind Nvidia Jan 2025” framing all confirmed via Yahoo Finance, Bloomberg and WSJ coverage.</w:t>
      </w:r>
    </w:p>
    <w:p>
      <w:pPr>
        <w:spacing w:after="120" w:line="312"/>
        <w:jc w:val="left"/>
      </w:pPr>
      <w:r>
        <w:rPr>
          <w:rFonts w:ascii="Times New Roman" w:eastAsia="SimSun"/>
          <w:b/>
          <w:bCs/>
          <w:color w:val="000000"/>
          <w:sz w:val="24"/>
          <w:szCs w:val="24"/>
        </w:rPr>
        <w:t xml:space="preserve">Headline gaps.</w:t>
      </w:r>
      <w:r>
        <w:rPr>
          <w:rFonts w:ascii="Times New Roman" w:eastAsia="SimSun"/>
          <w:b w:val="false"/>
          <w:bCs w:val="false"/>
          <w:color w:val="000000"/>
          <w:sz w:val="24"/>
          <w:szCs w:val="24"/>
        </w:rPr>
        <w:t xml:space="preserve"> The numeric audit gate is evadable by digit-substring coincidence (H-4 — verified by execution); the render audit assumes viewport-equals-slide-origin without mandating a body reset (M-1 — verified by probe); the GOOGL cross-class figure conflicts with skill 3's and with accessible public prints (H-1); the placeholder scan matches raw HTML (L-4); and the Playwright prerequisite is undocumented (M-7). fact_base_audit.py itself is genuinely good engineering: exit codes 0/1/2, a JSON report option, an asserting self-test, and a reverse-check that reports slide numbers absent from the fact base as review candidates rather than automatic failures — a smart severity calibration most homegrown QA lacks.</w:t>
      </w:r>
    </w:p>
    <w:p>
      <w:pPr>
        <w:spacing w:after="120" w:line="312"/>
        <w:jc w:val="left"/>
      </w:pPr>
      <w:r>
        <w:rPr>
          <w:rFonts w:ascii="Times New Roman" w:eastAsia="SimSun"/>
          <w:b/>
          <w:bCs/>
          <w:color w:val="000000"/>
          <w:sz w:val="24"/>
          <w:szCs w:val="24"/>
        </w:rPr>
        <w:t xml:space="preserve">Assessment.</w:t>
      </w:r>
      <w:r>
        <w:rPr>
          <w:rFonts w:ascii="Times New Roman" w:eastAsia="SimSun"/>
          <w:b w:val="false"/>
          <w:bCs w:val="false"/>
          <w:color w:val="000000"/>
          <w:sz w:val="24"/>
          <w:szCs w:val="24"/>
        </w:rPr>
        <w:t xml:space="preserve"> Conditional pass at the stated bar. Methodology, sourcing discipline and quality-assurance design are institutional; the gaps are fixable control weaknesses, and the four P0 items in Section 7 close most of the distance.</w:t>
      </w:r>
    </w:p>
    <w:p>
      <w:pPr>
        <w:pStyle w:val="Heading2"/>
      </w:pPr>
      <w:bookmarkStart w:name="_Toc34" w:id="34"/>
      <w:r>
        <w:t xml:space="preserve">4.2 big-tech-earnings-postmortem — single-file methodology (rubric 2.85 / 5)</w:t>
      </w:r>
      <w:bookmarkEnd w:id="34"/>
    </w:p>
    <w:p>
      <w:pPr>
        <w:spacing w:after="120" w:line="312"/>
        <w:jc w:val="left"/>
      </w:pPr>
      <w:r>
        <w:rPr>
          <w:rFonts w:ascii="Times New Roman" w:eastAsia="SimSun"/>
          <w:b w:val="false"/>
          <w:bCs w:val="false"/>
          <w:color w:val="000000"/>
          <w:sz w:val="24"/>
          <w:szCs w:val="24"/>
        </w:rPr>
        <w:t xml:space="preserve">Skill 2 is a nine-step post-earnings workflow in one 283-line file: pin the event numerically (session, point and percentage move, market-cap change, historical rank verified in ≥2 sources, pre-event positioning, sector/session context isolating abnormal return); build a scorecard against consensus across top line, profitability, cash generation, guidance and balance sheet; rank root causes on two axes — durability (mechanical/temporary vs structural) and evidentiary basis (disclosed / inferred / assumed); establish peer and industry context; collect sell-side actions within 48 hours with faithful rationale attribution; build a risk/catalyst matrix whose every row carries an observable, dated trigger; synthesize as a falsifiable thesis with confidence tags; assemble a verification ledger of 10–15 load-bearing claims; and render a restrained, data-dense HTML deliverable.</w:t>
      </w:r>
    </w:p>
    <w:p>
      <w:pPr>
        <w:spacing w:after="120" w:line="312"/>
        <w:jc w:val="left"/>
      </w:pPr>
      <w:r>
        <w:rPr>
          <w:rFonts w:ascii="Times New Roman" w:eastAsia="SimSun"/>
          <w:b/>
          <w:bCs/>
          <w:color w:val="000000"/>
          <w:sz w:val="24"/>
          <w:szCs w:val="24"/>
        </w:rPr>
        <w:t xml:space="preserve">Verified strengths.</w:t>
      </w:r>
      <w:r>
        <w:rPr>
          <w:rFonts w:ascii="Times New Roman" w:eastAsia="SimSun"/>
          <w:b w:val="false"/>
          <w:bCs w:val="false"/>
          <w:color w:val="000000"/>
          <w:sz w:val="24"/>
          <w:szCs w:val="24"/>
        </w:rPr>
        <w:t xml:space="preserve"> The two-axis driver classification is the best single analytical idea across the three skills — durability × evidentiary basis is precisely how a PM triages driver tables, and the skill operationalizes it. The failure-mode catalog reads like desk experience: “flat attribution” (listing causes without ranking), the “accounting-noise hand-wave” (dismissing a GAAP miss without checking whether dilution or a cash fine sits inside it), narrative-first reasoning, peer omission, false precision, “sell-side ventriloquism” (attributing a rationale an analyst never stated) and confidence inflation. The metric-emphasis table per company type is factually sound (capex/OCF and cloud backlog for hyperscalers; China exposure and services attach for Apple; backlog and gross margin for Nvidia; deliveries and auto margin ex-credits for Tesla), and the cash-flow-first ranking heuristic for big-tech moves is a defensible prior stated as a prior.</w:t>
      </w:r>
    </w:p>
    <w:p>
      <w:pPr>
        <w:spacing w:after="120" w:line="312"/>
        <w:jc w:val="left"/>
      </w:pPr>
      <w:r>
        <w:rPr>
          <w:rFonts w:ascii="Times New Roman" w:eastAsia="SimSun"/>
          <w:b/>
          <w:bCs/>
          <w:color w:val="000000"/>
          <w:sz w:val="24"/>
          <w:szCs w:val="24"/>
        </w:rPr>
        <w:t xml:space="preserve">Headline gaps.</w:t>
      </w:r>
      <w:r>
        <w:rPr>
          <w:rFonts w:ascii="Times New Roman" w:eastAsia="SimSun"/>
          <w:b w:val="false"/>
          <w:bCs w:val="false"/>
          <w:color w:val="000000"/>
          <w:sz w:val="24"/>
          <w:szCs w:val="24"/>
        </w:rPr>
        <w:t xml:space="preserve"> No disclaimer language anywhere in the file (H-2) — at the stated bar this alone is disqualifying until fixed. No enforcement: every gate is prose, with no scripts, no templates, no references (M-5). The sourcing rule (“cross-check each figure across at least two independent outlets”) lacks skill 1's tier structure and skill 3's data-gap handling. Confidence labeling is good on paper (four labels, including Unverifiable) but unenforced. Routing overlaps the other two skills (M-6).</w:t>
      </w:r>
    </w:p>
    <w:p>
      <w:pPr>
        <w:spacing w:after="120" w:line="312"/>
        <w:jc w:val="left"/>
      </w:pPr>
      <w:r>
        <w:rPr>
          <w:rFonts w:ascii="Times New Roman" w:eastAsia="SimSun"/>
          <w:b/>
          <w:bCs/>
          <w:color w:val="000000"/>
          <w:sz w:val="24"/>
          <w:szCs w:val="24"/>
        </w:rPr>
        <w:t xml:space="preserve">Assessment.</w:t>
      </w:r>
      <w:r>
        <w:rPr>
          <w:rFonts w:ascii="Times New Roman" w:eastAsia="SimSun"/>
          <w:b w:val="false"/>
          <w:bCs w:val="false"/>
          <w:color w:val="000000"/>
          <w:sz w:val="24"/>
          <w:szCs w:val="24"/>
        </w:rPr>
        <w:t xml:space="preserve"> Does not pass at the stated bar in its current form, despite the strongest prose methodology of the three. The gap is not analytical quality; it is compliance posture and the complete absence of enforcement artifacts. Both are cheap to fix, and the P0/P1 items in Section 7 would lift this skill materially.</w:t>
      </w:r>
    </w:p>
    <w:p>
      <w:pPr>
        <w:pStyle w:val="Heading2"/>
      </w:pPr>
      <w:bookmarkStart w:name="_Toc35" w:id="35"/>
      <w:r>
        <w:t xml:space="preserve">4.3 bigtech-equity-research — quantified note with strong epistemics (rubric 3.00 / 5)</w:t>
      </w:r>
      <w:bookmarkEnd w:id="35"/>
    </w:p>
    <w:p>
      <w:pPr>
        <w:spacing w:after="120" w:line="312"/>
        <w:jc w:val="left"/>
      </w:pPr>
      <w:r>
        <w:rPr>
          <w:rFonts w:ascii="Times New Roman" w:eastAsia="SimSun"/>
          <w:b w:val="false"/>
          <w:bCs w:val="false"/>
          <w:color w:val="000000"/>
          <w:sz w:val="24"/>
          <w:szCs w:val="24"/>
        </w:rPr>
        <w:t xml:space="preserve">Skill 3 is a seven-phase process producing a 13-section self-contained HTML research note, with three operating modes (event post-mortem, multi-quarter trend, pre-event setup). Its hard rules are crisply stated: never fabricate; the delta versus consensus moves price, not the absolute; isolate the idiosyncratic move before calling it company-specific; rank root causes and classify each as structural versus cyclical/accounting; tag every figure; label judgment as judgment; no investment advice. Its quant kit covers beat/miss deltas, abnormal return versus QQQ/XLK, options-implied move versus realized, capex-to-OCF ratio, FCF trajectory, an implied-consensus-OCF shortfall identity, average price-target cuts, and a root-cause waterfall with per-factor confidence tags.</w:t>
      </w:r>
    </w:p>
    <w:p>
      <w:pPr>
        <w:spacing w:after="120" w:line="312"/>
        <w:jc w:val="left"/>
      </w:pPr>
      <w:r>
        <w:rPr>
          <w:rFonts w:ascii="Times New Roman" w:eastAsia="SimSun"/>
          <w:b/>
          <w:bCs/>
          <w:color w:val="000000"/>
          <w:sz w:val="24"/>
          <w:szCs w:val="24"/>
        </w:rPr>
        <w:t xml:space="preserve">Verified strengths.</w:t>
      </w:r>
      <w:r>
        <w:rPr>
          <w:rFonts w:ascii="Times New Roman" w:eastAsia="SimSun"/>
          <w:b w:val="false"/>
          <w:bCs w:val="false"/>
          <w:color w:val="000000"/>
          <w:sz w:val="24"/>
          <w:szCs w:val="24"/>
        </w:rPr>
        <w:t xml:space="preserve"> The anti-fabrication protocol and Data-Gap Ledger are the most sophisticated epistemic devices in the repository: when tools are offline the skill shrinks scope to verified-in-context data, tags every gap Assumed or Unverifiable with explicit bounds, and ledgers the exact source pull needed to close it — rather than backfilling from memory. The rule that no “executed verification” claim may be made for price targets or forward guidance correctly distinguishes reported third-party actions from observable outcomes. All seven quant_helpers functions executed correctly against their documented targets in this audit (revenue delta −0.64B / −0.50%; EPS delta −0.90 / −29.80%; alpha −11.1pp; capex/OCF 121.4%; average PT cut −13.7%; waterfall sum 12.6) — the arithmetic is sound even where the governance around it is not (M-4). The miss-versus-deceleration distinction in Phase 3 is a genuinely institutional touch most retail analysis misses.</w:t>
      </w:r>
    </w:p>
    <w:p>
      <w:pPr>
        <w:spacing w:after="120" w:line="312"/>
        <w:jc w:val="left"/>
      </w:pPr>
      <w:r>
        <w:rPr>
          <w:rFonts w:ascii="Times New Roman" w:eastAsia="SimSun"/>
          <w:b/>
          <w:bCs/>
          <w:color w:val="000000"/>
          <w:sz w:val="24"/>
          <w:szCs w:val="24"/>
        </w:rPr>
        <w:t xml:space="preserve">Headline gaps.</w:t>
      </w:r>
      <w:r>
        <w:rPr>
          <w:rFonts w:ascii="Times New Roman" w:eastAsia="SimSun"/>
          <w:b w:val="false"/>
          <w:bCs w:val="false"/>
          <w:color w:val="000000"/>
          <w:sz w:val="24"/>
          <w:szCs w:val="24"/>
        </w:rPr>
        <w:t xml:space="preserve"> The segment map misstates ASC 280 reportable segments for Nvidia, Amazon and Apple (H-3, verified against the 10-Ks) — in the very file that declares EDGAR segment tables the source of truth. The worked example conflicts with skill 1's on the same event (H-1). The self-test does not assert, and formulas.md's OCF-shortfall example carries a sign error against the code (M-4). The sourcing doc contradicts the methodology on transcript tiers (M-3). There is no GAAP-to-non-GAAP bridge phase (I-2), and the waterfall mandate lacks skill 1's computability guard (M-2).</w:t>
      </w:r>
    </w:p>
    <w:p>
      <w:pPr>
        <w:spacing w:after="120" w:line="312"/>
        <w:jc w:val="left"/>
      </w:pPr>
      <w:r>
        <w:rPr>
          <w:rFonts w:ascii="Times New Roman" w:eastAsia="SimSun"/>
          <w:b/>
          <w:bCs/>
          <w:color w:val="000000"/>
          <w:sz w:val="24"/>
          <w:szCs w:val="24"/>
        </w:rPr>
        <w:t xml:space="preserve">Assessment.</w:t>
      </w:r>
      <w:r>
        <w:rPr>
          <w:rFonts w:ascii="Times New Roman" w:eastAsia="SimSun"/>
          <w:b w:val="false"/>
          <w:bCs w:val="false"/>
          <w:color w:val="000000"/>
          <w:sz w:val="24"/>
          <w:szCs w:val="24"/>
        </w:rPr>
        <w:t xml:space="preserve"> Does not pass at the stated bar as shipped. The epistemic framework is the best of the three and the quant kit is sound, but a reference file with ASC 280 errors in a skill whose Phase 3 depends on it is the kind of defect that destroys credibility with an institutional reader on first inspection.</w:t>
      </w:r>
    </w:p>
    <w:p>
      <w:pPr>
        <w:pStyle w:val="Heading1"/>
      </w:pPr>
      <w:bookmarkStart w:name="_Toc36" w:id="36"/>
      <w:r>
        <w:t xml:space="preserve">5. Cross-Skill Comparison and Scorecard</w:t>
      </w:r>
      <w:bookmarkEnd w:id="36"/>
    </w:p>
    <w:p>
      <w:pPr>
        <w:pStyle w:val="Heading2"/>
      </w:pPr>
      <w:bookmarkStart w:name="_Toc37" w:id="37"/>
      <w:r>
        <w:t xml:space="preserve">5.1 Portfolio comparison matrix</w:t>
      </w:r>
      <w:bookmarkEnd w:id="37"/>
    </w:p>
    <w:p>
      <w:pPr>
        <w:spacing w:after="120" w:line="312"/>
        <w:jc w:val="left"/>
      </w:pPr>
      <w:r>
        <w:rPr>
          <w:rFonts w:ascii="Times New Roman" w:eastAsia="SimSun"/>
          <w:b w:val="false"/>
          <w:bCs w:val="false"/>
          <w:color w:val="000000"/>
          <w:sz w:val="24"/>
          <w:szCs w:val="24"/>
        </w:rPr>
        <w:t xml:space="preserve">The three skills are best understood as one product family with three divergent implementations of the same brief. The matrix below compares them across the dimensions an institutional reviewer would tabulate first.</w:t>
      </w:r>
    </w:p>
    <w:p>
      <w:pPr>
        <w:keepNext/>
        <w:spacing w:after="60" w:before="240" w:line="312"/>
      </w:pPr>
      <w:r>
        <w:rPr>
          <w:rFonts w:ascii="Times New Roman" w:eastAsia="SimSun"/>
          <w:b/>
          <w:bCs/>
          <w:color w:val="1A1A1A"/>
          <w:sz w:val="21"/>
          <w:szCs w:val="21"/>
        </w:rPr>
        <w:t xml:space="preserve">Table 23: Portfolio comparison of the three skills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1933"/>
        <w:gridCol w:w="2285"/>
        <w:gridCol w:w="2285"/>
        <w:gridCol w:w="2285"/>
      </w:tblGrid>
      <w:tr>
        <w:trPr>
          <w:cantSplit/>
          <w:tblHeader/>
        </w:trPr>
        <w:tc>
          <w:tcPr>
            <w:tcW w:type="pct" w:w="1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Dimension</w:t>
            </w:r>
          </w:p>
        </w:tc>
        <w:tc>
          <w:tcPr>
            <w:tcW w:type="pct" w:w="13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1 · analyzing-us-bigtech-stocks</w:t>
            </w:r>
          </w:p>
        </w:tc>
        <w:tc>
          <w:tcPr>
            <w:tcW w:type="pct" w:w="13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2 · big-tech-earnings-postmortem</w:t>
            </w:r>
          </w:p>
        </w:tc>
        <w:tc>
          <w:tcPr>
            <w:tcW w:type="pct" w:w="13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3 · bigtech-equity-research</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Primary deliverable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12–16-page HTML deck + keyboard viewer (“Midnight IC” system, 1280×720)</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7-section restrained HTML deliverable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13-section self-contained HTML research note</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Artifacts shipped</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 files: SKILL.md, 2 JSON templates, 3 references, 2 scripts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 file: SKILL.md (283 lines)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 files: SKILL.md, 4 references, 2 templates, 1 script</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Enforcement gates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executable audits + Definition-of-Done checklist</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Definition-of-Done checklist only — no scripts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Definition-of-Done checklist + non-asserting quant helper</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Confidence taxonomy</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 labels; Verified = ≥1 primary source, decision-critical double-sourced</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 labels (adds Unverifiable); Verified = executed and observed</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 labels; Verified = ≥2 independent primary sources, consistent to precision</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Attribution doctrine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Ordinal ranks; percentages only if computable from sourced data</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Ordinal ranks only; percentages are “false precision”</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Quantified waterfall summing to the realized move, weights tagged Reasoned</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Segment reference data</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None embedded — process guidance only</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None embedded</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Embedded map; 3 of 7 companies misstate ASC 280 segments</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Worked example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Alphabet Q3 2026; externally verified in most respects (Bloomberg-exact GOOG close)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None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Alphabet Q3 2026; conflicts with skill 1 (GOOGL move, consensus FCF)</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Disclaimer present</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 SKILL.md, methodology, templates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 zero occurrences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 description, hard rules, sourcing doc</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License declared</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Apache 2.0 (frontmatter)</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Rubric average (0–5)</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4.45</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2.85</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3.00</w:t>
            </w:r>
          </w:p>
        </w:tc>
      </w:tr>
    </w:tbl>
    <w:p>
      <w:pPr>
        <w:spacing w:after="120" w:line="312"/>
      </w:pPr>
    </w:p>
    <w:p>
      <w:pPr>
        <w:pStyle w:val="Heading2"/>
      </w:pPr>
      <w:bookmarkStart w:name="_Toc38" w:id="38"/>
      <w:r>
        <w:t xml:space="preserve">5.2 Doctrinal conflicts</w:t>
      </w:r>
      <w:bookmarkEnd w:id="38"/>
    </w:p>
    <w:p>
      <w:pPr>
        <w:spacing w:after="120" w:line="312"/>
        <w:jc w:val="left"/>
      </w:pPr>
      <w:r>
        <w:rPr>
          <w:rFonts w:ascii="Times New Roman" w:eastAsia="SimSun"/>
          <w:b w:val="false"/>
          <w:bCs w:val="false"/>
          <w:color w:val="000000"/>
          <w:sz w:val="24"/>
          <w:szCs w:val="24"/>
        </w:rPr>
        <w:t xml:space="preserve">Beyond packaging, the three skills disagree on doctrine — the rules an executing agent would follow differently depending on which skill fires. These conflicts are the strongest argument for the shared-standard remediation in Section 7.</w:t>
      </w:r>
    </w:p>
    <w:p>
      <w:pPr>
        <w:keepNext/>
        <w:spacing w:after="60" w:before="240" w:line="312"/>
      </w:pPr>
      <w:r>
        <w:rPr>
          <w:rFonts w:ascii="Times New Roman" w:eastAsia="SimSun"/>
          <w:b/>
          <w:bCs/>
          <w:color w:val="1A1A1A"/>
          <w:sz w:val="21"/>
          <w:szCs w:val="21"/>
        </w:rPr>
        <w:t xml:space="preserve">Table 24: Doctrinal positions in direct conflict</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2461"/>
        <w:gridCol w:w="2109"/>
        <w:gridCol w:w="2109"/>
        <w:gridCol w:w="2109"/>
      </w:tblGrid>
      <w:tr>
        <w:trPr>
          <w:cantSplit/>
          <w:tblHeader/>
        </w:trPr>
        <w:tc>
          <w:tcPr>
            <w:tcW w:type="pct" w:w="14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Question</w:t>
            </w:r>
          </w:p>
        </w:tc>
        <w:tc>
          <w:tcPr>
            <w:tcW w:type="pct" w:w="12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1</w:t>
            </w:r>
          </w:p>
        </w:tc>
        <w:tc>
          <w:tcPr>
            <w:tcW w:type="pct" w:w="12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2</w:t>
            </w:r>
          </w:p>
        </w:tc>
        <w:tc>
          <w:tcPr>
            <w:tcW w:type="pct" w:w="12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3</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May the move be allocated in percentages?</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Only if computable from sourced data; otherwise state qualitative</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Never — use ordinal ranks</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 waterfall must sum to the realized move</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What earns the Verified label?</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Observed in ≥1 named primary source; decision-critical cross-checked in ≥2</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Executed/checked and observed directly</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independent primary/near-primary sources, consistent to precision</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Where do Motley Fool transcripts sit?</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Tier 1 (primary), alongside EDGAR and company IR</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 specified</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Preference tier 2 in methodology; tier 6 aggregator in sourcing doc (internal conflict)</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Market-cap delta method</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Shares outstanding × Δprice (10-Q cover), percentage method labeled approximation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 specified</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Pre-print market cap × |move| as the stated formulas</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What happens when tools are offline?</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Data cutoff restated; refresh duty before delivery</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 specified</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Anti-fabrication protocol + Data-Gap Ledger with exact pulls</w:t>
            </w:r>
          </w:p>
        </w:tc>
      </w:tr>
      <w:tr>
        <w:trPr>
          <w:cantSplit/>
        </w:trPr>
        <w:tc>
          <w:tcPr>
            <w:tcW w:type="pct" w:w="14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Deliverable format</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Fixed-canvas deck + viewer</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HTML slide sequence</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Single-file semantic HTML note (WCAG-AA, print-friendly)</w:t>
            </w:r>
          </w:p>
        </w:tc>
      </w:tr>
    </w:tbl>
    <w:p>
      <w:pPr>
        <w:spacing w:after="120" w:line="312"/>
      </w:pPr>
    </w:p>
    <w:p>
      <w:pPr>
        <w:pStyle w:val="Heading2"/>
      </w:pPr>
      <w:bookmarkStart w:name="_Toc39" w:id="39"/>
      <w:r>
        <w:t xml:space="preserve">5.3 Institutional-readiness scorecard</w:t>
      </w:r>
      <w:bookmarkEnd w:id="39"/>
    </w:p>
    <w:p>
      <w:pPr>
        <w:spacing w:after="120" w:line="312"/>
        <w:jc w:val="left"/>
      </w:pPr>
      <w:r>
        <w:rPr>
          <w:rFonts w:ascii="Times New Roman" w:eastAsia="SimSun"/>
          <w:b w:val="false"/>
          <w:bCs w:val="false"/>
          <w:color w:val="000000"/>
          <w:sz w:val="24"/>
          <w:szCs w:val="24"/>
        </w:rPr>
        <w:t xml:space="preserve">The scorecard below expresses the audit's conclusions on ten dimensions, scored 0–5 against fixed anchors: 0 = absent; 1 = mentioned only; 2 = partial or inconsistent; 3 = present with material gaps; 4 = present and enforced with minor gaps; 5 = institutional grade. The scores are the auditor's reasoned judgments anchored to the findings in Section 3 and the verification ledger in Section 6 — they are assessments, not measurements, and the anchors are stated so the reader can recalibrate.</w:t>
      </w:r>
    </w:p>
    <w:p>
      <w:pPr>
        <w:spacing w:after="60" w:before="200" w:line="312"/>
        <w:jc w:val="center"/>
      </w:pPr>
      <w:r>
        <w:drawing>
          <wp:inline distT="0" distB="0" distL="0" distR="0">
            <wp:extent cx="5334000" cy="46386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638675"/>
                    </a:xfrm>
                    <a:prstGeom prst="rect">
                      <a:avLst/>
                    </a:prstGeom>
                  </pic:spPr>
                </pic:pic>
              </a:graphicData>
            </a:graphic>
          </wp:inline>
        </w:drawing>
      </w:r>
    </w:p>
    <w:p>
      <w:pPr>
        <w:spacing w:after="160" w:line="312"/>
        <w:jc w:val="center"/>
      </w:pPr>
      <w:r>
        <w:rPr>
          <w:rFonts w:ascii="Times New Roman" w:eastAsia="SimSun"/>
          <w:b/>
          <w:bCs/>
          <w:color w:val="1A1A1A"/>
          <w:sz w:val="21"/>
          <w:szCs w:val="21"/>
        </w:rPr>
        <w:t xml:space="preserve">Figure 1: Institutional-readiness scorecard, ten dimensions × three skills (auditor assessment, 0–5)</w:t>
      </w:r>
    </w:p>
    <w:p>
      <w:pPr>
        <w:keepNext/>
        <w:spacing w:after="60" w:before="240" w:line="312"/>
      </w:pPr>
      <w:r>
        <w:rPr>
          <w:rFonts w:ascii="Times New Roman" w:eastAsia="SimSun"/>
          <w:b/>
          <w:bCs/>
          <w:color w:val="1A1A1A"/>
          <w:sz w:val="21"/>
          <w:szCs w:val="21"/>
        </w:rPr>
        <w:t xml:space="preserve">Table 25: Scorecard with per-dimension basis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2636"/>
        <w:gridCol w:w="967"/>
        <w:gridCol w:w="967"/>
        <w:gridCol w:w="967"/>
        <w:gridCol w:w="3252"/>
      </w:tblGrid>
      <w:tr>
        <w:trPr>
          <w:cantSplit/>
          <w:tblHeader/>
        </w:trPr>
        <w:tc>
          <w:tcPr>
            <w:tcW w:type="pct" w:w="1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Dimension</w:t>
            </w:r>
          </w:p>
        </w:tc>
        <w:tc>
          <w:tcPr>
            <w:tcW w:type="pct" w:w="5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1</w:t>
            </w:r>
          </w:p>
        </w:tc>
        <w:tc>
          <w:tcPr>
            <w:tcW w:type="pct" w:w="5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2</w:t>
            </w:r>
          </w:p>
        </w:tc>
        <w:tc>
          <w:tcPr>
            <w:tcW w:type="pct" w:w="5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Skill 3</w:t>
            </w:r>
          </w:p>
        </w:tc>
        <w:tc>
          <w:tcPr>
            <w:tcW w:type="pct" w:w="18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Basis (finding refs)</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Sourcing &amp; verification discipline</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Tier system vs two-outlet rule vs hierarchy with internal contradiction (M-3)</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Fact / judgment separation &amp; confidence labels</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All three label rigorously; taxonomies differ (M-3)</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GAAP vs non-GAAP reconciliation</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2's cash/non-cash × recurring/one-time split strongest; skill 3 has no bridge phase (I-2)</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Reference-data accuracy (segments, examples)</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2.0</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 verified externally with one disputed figure (H-1); skill 3's segment map in error (H-3); skill 2 embeds none</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Attribution methodology rigor</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 1's conditional rule is the defensible canon; skill 3 mandates without the guard (M-2)</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Model governance (SR 11-7 analogy)</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Asserting self-test vs none vs non-asserting test and sign error (M-4, M-5)</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Audit gates &amp; QA automation</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Two real gates (one evadable, H-4) vs prose-only vs checklist (M-5)</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Compliance posture (disclaimer, MNPI, licensing)</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Disclaimer present in 1 and 3, absent in 2 (H-2); MNPI statement absent in all (I-1); licensing (L-2)</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Reproducibility &amp; engineering hygiene</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Deterministic helpers and JSON audits vs environment-coupled Playwright (M-7), packaging drift (L-1)</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Deliverable craftsmanship</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5.0</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Documented design system with overflow budget; two deliverable specs unspecified to that depth</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21"/>
                <w:szCs w:val="21"/>
              </w:rPr>
              <w:t xml:space="preserve">Average</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4.45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2.85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3.00</w:t>
            </w:r>
          </w:p>
        </w:tc>
        <w:tc>
          <w:tcPr>
            <w:tcW w:type="pct" w:w="18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t>
            </w:r>
          </w:p>
        </w:tc>
      </w:tr>
    </w:tbl>
    <w:p>
      <w:pPr>
        <w:spacing w:after="120" w:line="312"/>
      </w:pPr>
    </w:p>
    <w:p>
      <w:pPr>
        <w:pStyle w:val="Heading1"/>
      </w:pPr>
      <w:bookmarkStart w:name="_Toc40" w:id="40"/>
      <w:r>
        <w:t xml:space="preserve">6. Verification Ledger</w:t>
      </w:r>
      <w:bookmarkEnd w:id="40"/>
    </w:p>
    <w:p>
      <w:pPr>
        <w:spacing w:after="120" w:line="312"/>
        <w:jc w:val="left"/>
      </w:pPr>
      <w:r>
        <w:rPr>
          <w:rFonts w:ascii="Times New Roman" w:eastAsia="SimSun"/>
          <w:b w:val="false"/>
          <w:bCs w:val="false"/>
          <w:color w:val="000000"/>
          <w:sz w:val="24"/>
          <w:szCs w:val="24"/>
        </w:rPr>
        <w:t xml:space="preserve">Per the audit protocol, the ledger records what was checked, how, and the observed result. Commands were executed on 2026-10-30 against the clone at HEAD 48cd3f97; external sources were consulted the same day. Exit codes are reported where meaningful.</w:t>
      </w:r>
    </w:p>
    <w:p>
      <w:pPr>
        <w:keepNext/>
        <w:spacing w:after="60" w:before="240" w:line="312"/>
      </w:pPr>
      <w:r>
        <w:rPr>
          <w:rFonts w:ascii="Times New Roman" w:eastAsia="SimSun"/>
          <w:b/>
          <w:bCs/>
          <w:color w:val="1A1A1A"/>
          <w:sz w:val="21"/>
          <w:szCs w:val="21"/>
        </w:rPr>
        <w:t xml:space="preserve">Table 26: Verification ledger (19 checks)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439"/>
        <w:gridCol w:w="2373"/>
        <w:gridCol w:w="2636"/>
        <w:gridCol w:w="2285"/>
        <w:gridCol w:w="1055"/>
      </w:tblGrid>
      <w:tr>
        <w:trPr>
          <w:cantSplit/>
          <w:tblHeader/>
        </w:trPr>
        <w:tc>
          <w:tcPr>
            <w:tcW w:type="pct" w:w="2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w:t>
            </w:r>
          </w:p>
        </w:tc>
        <w:tc>
          <w:tcPr>
            <w:tcW w:type="pct" w:w="13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Check</w:t>
            </w:r>
          </w:p>
        </w:tc>
        <w:tc>
          <w:tcPr>
            <w:tcW w:type="pct" w:w="1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Method</w:t>
            </w:r>
          </w:p>
        </w:tc>
        <w:tc>
          <w:tcPr>
            <w:tcW w:type="pct" w:w="13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Result</w:t>
            </w:r>
          </w:p>
        </w:tc>
        <w:tc>
          <w:tcPr>
            <w:tcW w:type="pct" w:w="6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Confidence</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Repository cloned at stated HEAD</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git clone --depth 1; git log -1</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48cd3f97 · 2026-10-30 13:15 +0800 · “update skills”</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 inventory of the three skills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find + wc -l</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17 files · 2,078 lines; skill 2 = single file</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fact_base_audit.py self-test</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python3 …/fact_base_audit.py --selftest</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PASS (exit 0); detects missing token, BADREF page, placeholder</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Numeric-audit evasion (substring false-pass)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Custom 4-case harness against the script</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82.3 vs “$282.32” → PASS exit 0; 12.29 vs “−112.29%” → PASS exit 0; controls correct</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Checks-mode and scan-only mode</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Probe slide + checks.json</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Missing needle flagged exit 1; placeholder scan flags TODO/placeholder</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Placeholder scan scope (raw HTML)</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Probe slide with clean visible text + CSS class / JS token</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False positives on /placeholder/ and /\bundefined\b/ from code blocks</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quant_helpers.py correctness</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python3 quant_helpers.py; hand-checked identities</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All 7 outputs match documented targets; OCF shortfall prints +10.10B vs formulas.md −10.10B</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overflow_audit.mjs behavior</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node --check; usage run; probe slide with true overflow + data-bleed element</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True overflow flagged (exit 1); body-margin false positive on h1/p (right=1288); Playwright resolved via hardcoded path</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GOOG October 29 close</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Bloomberg quote page (GOOG:US)</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$282.32 · −$39.57 · −12.29% as of 5:20 PM EDT 10/29/26 — matches skill 1 exactly</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Prior closes (October 28)</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Finance pre-event article ticker strip</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GOOG $321.89 (+1.60%) · GOOGL $324.89 (+1.34%)</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Alphabet Q3 2026 fundamentals</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Finance, WSJ, Reuters, earnings-call transcript</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Revenue $127.6B (consensus $127.9B Yahoo) · GAAP EPS $2.12 · adj. EPS $2.67 · OCF $42.3B · FCF −$9.1B · TTM FCF $19.7B · Cloud $30.7B (+103%)</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Event superlatives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Bloomberg, WSJ headlines</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Worst day ever since 2004 IPO; ≈$482B erased (Yahoo), ~$500B (WSJ); second-largest one-day wipeout for a US-listed stock (Bloomberg)</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Nvidia reportable segments</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 EDGAR FY2026 10-K (nvda-20260125.htm)</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Two segments: Compute &amp; Networking, Graphics — segment-maps.md in error</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Amazon reportable segments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 EDGAR FY2025 10-K (amzn-20251231.htm)</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Three segments: North America, International, AWS; advertising is a net-sales line — segment-maps.md in error</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Apple reportable segments</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10-K structure via multiple secondary confirmations</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Five geographic segments; product lines are revenue disaggregation — segment-maps.md in error</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16</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GOOGL October 29 close adjudication</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article/ticker prints; Bloomberg GOOGL page (blocked)</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Prints −12.78% / −12.79% (283.35–283.37); matches neither skill (−11.71% / −12.6%); official close unconfirmed</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Reasoned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17</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Disclaimer presence</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Case-insensitive grep across the three skills</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Skills 1 and 3: multiple hits; skill 2: zero</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18</w:t>
            </w:r>
          </w:p>
        </w:tc>
        <w:tc>
          <w:tcPr>
            <w:tcW w:type="pct" w:w="13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Licensing and catalog indexing</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Filesystem check; case-insensitive grep of skills-catalog.md and skills-inventory.md</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root LICENSE; no catalog/inventory entry for any of the three skills</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r>
        <w:trPr>
          <w:cantSplit/>
        </w:trPr>
        <w:tc>
          <w:tcPr>
            <w:tcW w:type="pct" w:w="2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19</w:t>
            </w:r>
          </w:p>
        </w:tc>
        <w:tc>
          <w:tcPr>
            <w:tcW w:type="pct" w:w="135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Impact arithmetic</w:t>
            </w:r>
          </w:p>
        </w:tc>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Python computation</w:t>
            </w:r>
          </w:p>
        </w:tc>
        <w:tc>
          <w:tcPr>
            <w:tcW w:type="pct" w:w="13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12.15B × $39.57 = $480.8B ≈ press $482B; GOOGL move gap 0.89pp ≈ $35.1B on ≈$3.95T; avg PT cut −13.7%; rev delta −0.50%</w:t>
            </w:r>
          </w:p>
        </w:tc>
        <w:tc>
          <w:tcPr>
            <w:tcW w:type="pct" w:w="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Verified</w:t>
            </w:r>
          </w:p>
        </w:tc>
      </w:tr>
    </w:tbl>
    <w:p>
      <w:pPr>
        <w:spacing w:after="120" w:line="312"/>
      </w:pPr>
    </w:p>
    <w:p>
      <w:pPr>
        <w:pStyle w:val="Heading1"/>
      </w:pPr>
      <w:bookmarkStart w:name="_Toc41" w:id="41"/>
      <w:r>
        <w:t xml:space="preserve">7. Remediation Roadmap</w:t>
      </w:r>
      <w:bookmarkEnd w:id="41"/>
    </w:p>
    <w:p>
      <w:pPr>
        <w:spacing w:after="120" w:line="312"/>
        <w:jc w:val="left"/>
      </w:pPr>
      <w:r>
        <w:rPr>
          <w:rFonts w:ascii="Times New Roman" w:eastAsia="SimSun"/>
          <w:b w:val="false"/>
          <w:bCs w:val="false"/>
          <w:color w:val="000000"/>
          <w:sz w:val="24"/>
          <w:szCs w:val="24"/>
        </w:rPr>
        <w:t xml:space="preserve">The roadmap is sequenced by the standard applied throughout: fix what blocks the stated bar first, then governance, then hygiene. Effort estimates assume the repository maintainer executes with the audit's evidence in hand; every P0 item is independently verifiable after the fix using the same checks recorded in Section 6.</w:t>
      </w:r>
    </w:p>
    <w:p>
      <w:pPr>
        <w:pStyle w:val="Heading2"/>
      </w:pPr>
      <w:bookmarkStart w:name="_Toc42" w:id="42"/>
      <w:r>
        <w:t xml:space="preserve">7.1 P0 — ship blockers at the stated bar (≈1 day combined)</w:t>
      </w:r>
      <w:bookmarkEnd w:id="42"/>
    </w:p>
    <w:p>
      <w:pPr>
        <w:keepNext/>
        <w:spacing w:after="60" w:before="240" w:line="312"/>
      </w:pPr>
      <w:r>
        <w:rPr>
          <w:rFonts w:ascii="Times New Roman" w:eastAsia="SimSun"/>
          <w:b/>
          <w:bCs/>
          <w:color w:val="1A1A1A"/>
          <w:sz w:val="21"/>
          <w:szCs w:val="21"/>
        </w:rPr>
        <w:t xml:space="preserve">Table 27: P0 remediation items</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439"/>
        <w:gridCol w:w="3691"/>
        <w:gridCol w:w="1055"/>
        <w:gridCol w:w="967"/>
        <w:gridCol w:w="2636"/>
      </w:tblGrid>
      <w:tr>
        <w:trPr>
          <w:cantSplit/>
          <w:tblHeader/>
        </w:trPr>
        <w:tc>
          <w:tcPr>
            <w:tcW w:type="pct" w:w="2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w:t>
            </w:r>
          </w:p>
        </w:tc>
        <w:tc>
          <w:tcPr>
            <w:tcW w:type="pct" w:w="2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Action</w:t>
            </w:r>
          </w:p>
        </w:tc>
        <w:tc>
          <w:tcPr>
            <w:tcW w:type="pct" w:w="6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Closes</w:t>
            </w:r>
          </w:p>
        </w:tc>
        <w:tc>
          <w:tcPr>
            <w:tcW w:type="pct" w:w="55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Effort</w:t>
            </w:r>
          </w:p>
        </w:tc>
        <w:tc>
          <w:tcPr>
            <w:tcW w:type="pct" w:w="1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Verification after fix</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21"/>
                <w:szCs w:val="21"/>
              </w:rPr>
              <w:t xml:space="preserve">1</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Restructure segment-maps.md into “reportable segments” vs “revenue disaggregation” with per-company vintages and refresh cadence</w:t>
            </w:r>
          </w:p>
        </w:tc>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H-3</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 min</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Diff against NVDA FY2026 / AMZN FY2025 / AAPL 10-K segment tables</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21"/>
                <w:szCs w:val="21"/>
              </w:rPr>
              <w:t xml:space="preserve">2</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Add disclaimer + public-sources statement to skill 2's quality gates and Step 9 design constraints</w:t>
            </w:r>
          </w:p>
        </w:tc>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H-2, I-1</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 min</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Grep for disclaimer language returns hits in all three skills</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21"/>
                <w:szCs w:val="21"/>
              </w:rPr>
              <w:t xml:space="preserve">3</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Boundary-anchor token_in() in fact_base_audit.py; add the two evasion cases to --selftest</w:t>
            </w:r>
          </w:p>
        </w:tc>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H-4</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 h</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The Section 6 harness returns MISSING + exit 1 for both substring cases</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21"/>
                <w:szCs w:val="21"/>
              </w:rPr>
              <w:t xml:space="preserve">4</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Reconcile worked examples into one canonical, dated, sourced file; correct or source the GOOGL figure and the consensus figures</w:t>
            </w:r>
          </w:p>
        </w:tc>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H-1</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h</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Cross-skill diff of shared datapoints returns zero conflicts; GOOGL figure matches an exchange close record</w:t>
            </w:r>
          </w:p>
        </w:tc>
      </w:tr>
    </w:tbl>
    <w:p>
      <w:pPr>
        <w:spacing w:after="120" w:line="312"/>
      </w:pPr>
    </w:p>
    <w:p>
      <w:pPr>
        <w:pStyle w:val="Heading2"/>
      </w:pPr>
      <w:bookmarkStart w:name="_Toc43" w:id="43"/>
      <w:r>
        <w:t xml:space="preserve">7.2 P1 — governance and control quality (≈1 week)</w:t>
      </w:r>
      <w:bookmarkEnd w:id="43"/>
    </w:p>
    <w:p>
      <w:pPr>
        <w:pStyle w:val="ListParagraph"/>
        <w:numPr>
          <w:ilvl w:val="0"/>
          <w:numId w:val="1"/>
        </w:numPr>
        <w:spacing w:after="80" w:line="312"/>
        <w:jc w:val="left"/>
      </w:pPr>
      <w:r>
        <w:rPr>
          <w:rFonts w:ascii="Times New Roman" w:eastAsia="SimSun"/>
          <w:b w:val="false"/>
          <w:bCs w:val="false"/>
          <w:color w:val="000000"/>
          <w:sz w:val="24"/>
          <w:szCs w:val="24"/>
        </w:rPr>
        <w:t xml:space="preserve">Extract a shared sourcing / confidence / attribution standard (one taxonomy, one source hierarchy with transcript tiering resolved, one attribution policy) consumed by all three skills; add a repository-level consistency test that diffs shared doctrine and shared datapoints at commit time (M-2, M-3, H-1 recurrence).</w:t>
      </w:r>
    </w:p>
    <w:p>
      <w:pPr>
        <w:pStyle w:val="ListParagraph"/>
        <w:numPr>
          <w:ilvl w:val="0"/>
          <w:numId w:val="1"/>
        </w:numPr>
        <w:spacing w:after="80" w:line="312"/>
        <w:jc w:val="left"/>
      </w:pPr>
      <w:r>
        <w:rPr>
          <w:rFonts w:ascii="Times New Roman" w:eastAsia="SimSun"/>
          <w:b w:val="false"/>
          <w:bCs w:val="false"/>
          <w:color w:val="000000"/>
          <w:sz w:val="24"/>
          <w:szCs w:val="24"/>
        </w:rPr>
        <w:t xml:space="preserve">Fix the render audit: overflow relative to the .slide rectangle or a mandated html,body reset in the token sheet; offline-tolerant page-load strategy; document the Playwright prerequisite and remove machine-specific absolute paths (M-1, M-7).</w:t>
      </w:r>
    </w:p>
    <w:p>
      <w:pPr>
        <w:pStyle w:val="ListParagraph"/>
        <w:numPr>
          <w:ilvl w:val="0"/>
          <w:numId w:val="1"/>
        </w:numPr>
        <w:spacing w:after="80" w:line="312"/>
        <w:jc w:val="left"/>
      </w:pPr>
      <w:r>
        <w:rPr>
          <w:rFonts w:ascii="Times New Roman" w:eastAsia="SimSun"/>
          <w:b w:val="false"/>
          <w:bCs w:val="false"/>
          <w:color w:val="000000"/>
          <w:sz w:val="24"/>
          <w:szCs w:val="24"/>
        </w:rPr>
        <w:t xml:space="preserve">Convert quant_helpers.py to an asserting self-test; correct the formulas.md OCF-sign example or define the convention in both places; add pytest with zero-division and empty-input cases (M-4).</w:t>
      </w:r>
    </w:p>
    <w:p>
      <w:pPr>
        <w:pStyle w:val="ListParagraph"/>
        <w:numPr>
          <w:ilvl w:val="0"/>
          <w:numId w:val="1"/>
        </w:numPr>
        <w:spacing w:after="80" w:line="312"/>
        <w:jc w:val="left"/>
      </w:pPr>
      <w:r>
        <w:rPr>
          <w:rFonts w:ascii="Times New Roman" w:eastAsia="SimSun"/>
          <w:b w:val="false"/>
          <w:bCs w:val="false"/>
          <w:color w:val="000000"/>
          <w:sz w:val="24"/>
          <w:szCs w:val="24"/>
        </w:rPr>
        <w:t xml:space="preserve">Port the fact-base and audit-gate pattern into skill 2 (or delegate to skill 1's scripts), reuse skill 3's evidence-ledger template, and demarcate the three skills' descriptions with cross-references; register all three in skills-catalog.md (M-5, M-6).</w:t>
      </w:r>
    </w:p>
    <w:p>
      <w:pPr>
        <w:pStyle w:val="Heading2"/>
      </w:pPr>
      <w:bookmarkStart w:name="_Toc44" w:id="44"/>
      <w:r>
        <w:t xml:space="preserve">7.3 P2 — hygiene (as convenient)</w:t>
      </w:r>
      <w:bookmarkEnd w:id="44"/>
    </w:p>
    <w:p>
      <w:pPr>
        <w:pStyle w:val="ListParagraph"/>
        <w:numPr>
          <w:ilvl w:val="0"/>
          <w:numId w:val="1"/>
        </w:numPr>
        <w:spacing w:after="80" w:line="312"/>
        <w:jc w:val="left"/>
      </w:pPr>
      <w:r>
        <w:rPr>
          <w:rFonts w:ascii="Times New Roman" w:eastAsia="SimSun"/>
          <w:b w:val="false"/>
          <w:bCs w:val="false"/>
          <w:color w:val="000000"/>
          <w:sz w:val="24"/>
          <w:szCs w:val="24"/>
        </w:rPr>
        <w:t xml:space="preserve">Standardize folder conventions and frontmatter across the three skills (L-1); add a root LICENSE and per-skill license fields (L-2).</w:t>
      </w:r>
    </w:p>
    <w:p>
      <w:pPr>
        <w:pStyle w:val="ListParagraph"/>
        <w:numPr>
          <w:ilvl w:val="0"/>
          <w:numId w:val="1"/>
        </w:numPr>
        <w:spacing w:after="80" w:line="312"/>
        <w:jc w:val="left"/>
      </w:pPr>
      <w:r>
        <w:rPr>
          <w:rFonts w:ascii="Times New Roman" w:eastAsia="SimSun"/>
          <w:b w:val="false"/>
          <w:bCs w:val="false"/>
          <w:color w:val="000000"/>
          <w:sz w:val="24"/>
          <w:szCs w:val="24"/>
        </w:rPr>
        <w:t xml:space="preserve">Repair the formulas.md code fence and replace the circular market-cap pair with shares × Δprice as primary (L-3); scope the placeholder scan to visible text (L-4); relabel the evidence-ledger phase reference (L-5).</w:t>
      </w:r>
    </w:p>
    <w:p>
      <w:pPr>
        <w:pStyle w:val="ListParagraph"/>
        <w:numPr>
          <w:ilvl w:val="0"/>
          <w:numId w:val="1"/>
        </w:numPr>
        <w:spacing w:after="80" w:line="312"/>
        <w:jc w:val="left"/>
      </w:pPr>
      <w:r>
        <w:rPr>
          <w:rFonts w:ascii="Times New Roman" w:eastAsia="SimSun"/>
          <w:b w:val="false"/>
          <w:bCs w:val="false"/>
          <w:color w:val="000000"/>
          <w:sz w:val="24"/>
          <w:szCs w:val="24"/>
        </w:rPr>
        <w:t xml:space="preserve">Move the worked example's analyst-action specifics into a dated, source-linked appendix, or mark them illustrative (L-6); add a GAAP-bridge phase to skill 3 (I-2); require consensus-vendor attribution in every worked example (I-3).</w:t>
      </w:r>
    </w:p>
    <w:p>
      <w:pPr>
        <w:spacing w:after="120" w:line="312"/>
        <w:jc w:val="left"/>
      </w:pPr>
      <w:r>
        <w:rPr>
          <w:rFonts w:ascii="Times New Roman" w:eastAsia="SimSun"/>
          <w:b w:val="false"/>
          <w:bCs w:val="false"/>
          <w:color w:val="000000"/>
          <w:sz w:val="24"/>
          <w:szCs w:val="24"/>
        </w:rPr>
        <w:t xml:space="preserve">Sequencing note: items 1–4 of P0 are independent of each other and can land as four atomic commits; the P1 shared-standard work should follow the P0 reconciliation so the canonical example file becomes the first consumer of the shared standard rather than a fourth divergent copy.</w:t>
      </w:r>
    </w:p>
    <w:p>
      <w:pPr>
        <w:pStyle w:val="Heading1"/>
      </w:pPr>
      <w:bookmarkStart w:name="_Toc45" w:id="45"/>
      <w:r>
        <w:t xml:space="preserve">8. Appendix A — File Inventory</w:t>
      </w:r>
      <w:bookmarkEnd w:id="45"/>
    </w:p>
    <w:p>
      <w:pPr>
        <w:spacing w:after="120" w:line="312"/>
        <w:jc w:val="left"/>
      </w:pPr>
      <w:r>
        <w:rPr>
          <w:rFonts w:ascii="Times New Roman" w:eastAsia="SimSun"/>
          <w:b w:val="false"/>
          <w:bCs w:val="false"/>
          <w:color w:val="000000"/>
          <w:sz w:val="24"/>
          <w:szCs w:val="24"/>
        </w:rPr>
        <w:t xml:space="preserve">The seventeen in-scope files with line counts and roles, as read in full during this audit (HEAD 48cd3f97).</w:t>
      </w:r>
    </w:p>
    <w:p>
      <w:pPr>
        <w:keepNext/>
        <w:spacing w:after="60" w:before="240" w:line="312"/>
      </w:pPr>
      <w:r>
        <w:rPr>
          <w:rFonts w:ascii="Times New Roman" w:eastAsia="SimSun"/>
          <w:b/>
          <w:bCs/>
          <w:color w:val="1A1A1A"/>
          <w:sz w:val="21"/>
          <w:szCs w:val="21"/>
        </w:rPr>
        <w:t xml:space="preserve">Table 28: Audited file inventory</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4570"/>
        <w:gridCol w:w="879"/>
        <w:gridCol w:w="3339"/>
      </w:tblGrid>
      <w:tr>
        <w:trPr>
          <w:cantSplit/>
          <w:tblHeader/>
        </w:trPr>
        <w:tc>
          <w:tcPr>
            <w:tcW w:type="pct" w:w="26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File</w:t>
            </w:r>
          </w:p>
        </w:tc>
        <w:tc>
          <w:tcPr>
            <w:tcW w:type="pct" w:w="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Lines</w:t>
            </w:r>
          </w:p>
        </w:tc>
        <w:tc>
          <w:tcPr>
            <w:tcW w:type="pct" w:w="19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Role</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analyzing-us-bigtech-stocks/SKILL.md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238</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Entry point: triggers, confidence system, 11-phase pipeline, bundled-resources map</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…/assets/fact_base.template.json</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75</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Fact-base skeleton with worked example patterns</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…/assets/slides_brief.template.json</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32</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15-page deck-plan skeleton with per-slide task briefs</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…/references/fact-base-schema.md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153</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Field definitions, confidence rules, conflicts, worked examples</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…/references/methodology.md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355</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 phase-by-phase playbook, source tiers, pitfall catalog, compliance notes</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…/references/report-design.md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135</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Midnight IC tokens, component library, 15-page archetype map, overflow budget</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…/scripts/fact_base_audit.py</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228</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Numeric + placeholder audit (modes: fact-base, checks, scan, selftest)</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…/scripts/overflow_audit.mjs</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126</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Playwright render/overflow audit for 1280×720 decks</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big-tech-earnings-postmortem/SKILL.md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283</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Single-file 9-step post-earnings RCA methodology</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bigtech-equity-research/SKILL.md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111</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Entry point: hard rules, modes, workflow, anti-fabrication protocol</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…/reference/formulas.md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73</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Quant formulas with worked examples</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…/reference/methodology.md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109</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Seven-phase research process</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…/reference/segment-maps.md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20</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Reportable segments per company (subject of H-3)</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…/reference/sourcing-and-confidence.md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35</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Source hierarchy, confidence taxonomy, anti-hallucination rules, disclaimer</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…/scripts/quant_helpers.py</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55</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Deterministic delta/alpha/waterfall math (subject of M-4)</w:t>
            </w:r>
          </w:p>
        </w:tc>
      </w:tr>
      <w:tr>
        <w:trPr>
          <w:cantSplit/>
        </w:trPr>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…/templates/evidence-ledger.md</w:t>
            </w:r>
          </w:p>
        </w:tc>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21</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Evidence + Data-Gap ledger format</w:t>
            </w:r>
          </w:p>
        </w:tc>
      </w:tr>
      <w:tr>
        <w:trPr>
          <w:cantSplit/>
        </w:trPr>
        <w:tc>
          <w:tcPr>
            <w:tcW w:type="pct" w:w="26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…/templates/report-structure.md</w:t>
            </w:r>
          </w:p>
        </w:tc>
        <w:tc>
          <w:tcPr>
            <w:tcW w:type="pct" w:w="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29</w:t>
            </w:r>
          </w:p>
        </w:tc>
        <w:tc>
          <w:tcPr>
            <w:tcW w:type="pct" w:w="19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13-section deliverable spec</w:t>
            </w:r>
          </w:p>
        </w:tc>
      </w:tr>
    </w:tbl>
    <w:p>
      <w:pPr>
        <w:spacing w:after="120" w:line="312"/>
      </w:pPr>
    </w:p>
    <w:p>
      <w:pPr>
        <w:pStyle w:val="Heading1"/>
      </w:pPr>
      <w:bookmarkStart w:name="_Toc46" w:id="46"/>
      <w:r>
        <w:t xml:space="preserve">9. Appendix B — External Sources Consulted</w:t>
      </w:r>
      <w:bookmarkEnd w:id="46"/>
    </w:p>
    <w:p>
      <w:pPr>
        <w:spacing w:after="120" w:line="312"/>
        <w:jc w:val="left"/>
      </w:pPr>
      <w:r>
        <w:rPr>
          <w:rFonts w:ascii="Times New Roman" w:eastAsia="SimSun"/>
          <w:b w:val="false"/>
          <w:bCs w:val="false"/>
          <w:color w:val="000000"/>
          <w:sz w:val="24"/>
          <w:szCs w:val="24"/>
        </w:rPr>
        <w:t xml:space="preserve">External sources consulted during verification, with what each was used to establish. All retrievals occurred 2026-10-30; quotes are as retrieved. Paywalled or robot-blocked pages are marked and their accessible content described.</w:t>
      </w:r>
    </w:p>
    <w:p>
      <w:pPr>
        <w:keepNext/>
        <w:spacing w:after="60" w:before="240" w:line="312"/>
      </w:pPr>
      <w:r>
        <w:rPr>
          <w:rFonts w:ascii="Times New Roman" w:eastAsia="SimSun"/>
          <w:b/>
          <w:bCs/>
          <w:color w:val="1A1A1A"/>
          <w:sz w:val="21"/>
          <w:szCs w:val="21"/>
        </w:rPr>
        <w:t xml:space="preserve">Table 29: External sources and what they verified</w:t>
      </w:r>
    </w:p>
    <w:tbl>
      <w:tblPr>
        <w:tblW w:type="pct" w:w="5000"/>
        <w:tblBorders>
          <w:top w:val="single" w:color="C9A84C" w:sz="2"/>
          <w:left w:val="none" w:color="FFFFFF" w:sz="0"/>
          <w:bottom w:val="single" w:color="C9A84C" w:sz="2"/>
          <w:right w:val="none" w:color="FFFFFF" w:sz="0"/>
          <w:insideH w:val="single" w:color="DDD5C0" w:sz="1"/>
          <w:insideV w:val="none" w:color="FFFFFF" w:sz="0"/>
        </w:tblBorders>
      </w:tblPr>
      <w:tblGrid>
        <w:gridCol w:w="2636"/>
        <w:gridCol w:w="3691"/>
        <w:gridCol w:w="2461"/>
      </w:tblGrid>
      <w:tr>
        <w:trPr>
          <w:cantSplit/>
          <w:tblHeader/>
        </w:trPr>
        <w:tc>
          <w:tcPr>
            <w:tcW w:type="pct" w:w="15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Source</w:t>
            </w:r>
          </w:p>
        </w:tc>
        <w:tc>
          <w:tcPr>
            <w:tcW w:type="pct" w:w="21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Used to establish</w:t>
            </w:r>
          </w:p>
        </w:tc>
        <w:tc>
          <w:tcPr>
            <w:tcW w:type="pct" w:w="1400"/>
            <w:shd w:fill="C9A84C" w:val="clear"/>
            <w:tcMar>
              <w:top w:type="dxa" w:w="60"/>
              <w:left w:type="dxa" w:w="120"/>
              <w:bottom w:type="dxa" w:w="60"/>
              <w:right w:type="dxa" w:w="120"/>
            </w:tcMar>
          </w:tcPr>
          <w:p>
            <w:pPr>
              <w:spacing w:line="312"/>
              <w:jc w:val="left"/>
            </w:pPr>
            <w:r>
              <w:rPr>
                <w:rFonts w:ascii="Times New Roman" w:eastAsia="SimSun"/>
                <w:b/>
                <w:bCs/>
                <w:color w:val="1A1A1A"/>
                <w:sz w:val="21"/>
                <w:szCs w:val="21"/>
              </w:rPr>
              <w:t xml:space="preserve">Reference</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Bloomberg — GOOG:US quote page</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GOOG official close $282.32, −$39.57, −12.29% (as of 5:20 PM EDT 2026-10-29); “worst drop on record; second biggest-ever market-value wipeout”</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bloomberg.com/quote/GOOG:US (GOOGL page robot-blocked)</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Finance — event coverage</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$482B market-value loss headline; GOOG/GOOGL ticker prints 281.14/283.37 (−12.66%/−12.78%); intraday article 281.09/283.35; revenue $127.6B vs $127.9B S&amp;P-analyst consensus; GAAP EPS $2.12; ad revenue short of estimates with Cloud beat at $30.7B; PCE 3.6% from 3.4%; Fed hold</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finance.yahoo.com — Alphabet Q3 2026 coverage set</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Yahoo Finance — pre-event article ticker</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October 28 closes: GOOG $321.89 (+1.60%), GOOGL $324.89 (+1.34%)</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finance.yahoo.com — pre-earnings preview page</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Reuters</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Net income to common fell 25% to $26.17B; adjusted EPS $2.67 missed Wall Street</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reuters.com — “Alphabet stock sinks as search woes cause revenue miss”</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WSJ</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Worst day on record; roughly $500B erased; $127.6B sales narrowly missing expectations; Cloud $30.7B beat</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wsj.com — Alphabet selloff coverage</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Earnings-call transcript (via Yahoo Finance)</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 had negative free cash flow of $9.1 billion in the third quarter, driven by our investments in CapEx”; FCF $19.7B TTM; OCF $42.3B</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Alphabet Q3 FY2026 earnings call transcript</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 EDGAR — NVIDIA FY2026 10-K</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Two reportable segments (Compute &amp; Networking; Graphics) with Data Center and Automotive inside C&amp;N — segment-maps.md error confirmed</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sec.gov/Archives/edgar/data/1045810/000104581026000021/nvda-20260125.htm</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 EDGAR — Amazon FY2025 10-K</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Three reportable segments (North America, International, AWS); advertising as net-sales driver, not a segment</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sec.gov/Archives/edgar/data/1018724/000101872426000004/amzn-20251231.htm</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Apple 10-K structure (secondary confirmations)</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Five geographic reportable segments; FY2025 net sales Americas $178.4B, Europe $111.0B, Greater China $64.4B</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stock-analysis-on.net; secfilingdata.com; academic case analyses</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Amazon IR — Q4 2025 results release</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Segment tables for North America / International / AWS only</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ir.aboutamazon.com — fourth-quarter results</w:t>
            </w:r>
          </w:p>
        </w:tc>
      </w:tr>
      <w:tr>
        <w:trPr>
          <w:cantSplit/>
        </w:trPr>
        <w:tc>
          <w:tcPr>
            <w:tcW w:type="pct" w:w="15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Business Insider / mlq.ai / Barron's headlines</w:t>
            </w:r>
          </w:p>
        </w:tc>
        <w:tc>
          <w:tcPr>
            <w:tcW w:type="pct" w:w="21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Corroborating event framing, analyst-reaction timing, sector tape</w:t>
            </w:r>
          </w:p>
        </w:tc>
        <w:tc>
          <w:tcPr>
            <w:tcW w:type="pct" w:w="1400"/>
            <w:shd w:fill="F5F2E8"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businessinsider.com; mlq.ai; barrons.com</w:t>
            </w:r>
          </w:p>
        </w:tc>
      </w:tr>
      <w:tr>
        <w:trPr>
          <w:cantSplit/>
        </w:trPr>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Stooq daily CSV (attempted)</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Independent close adjudication — blocked by JavaScript verification wall; noted as a limitation</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stooq.com (inaccessible to fetcher)</w:t>
            </w:r>
          </w:p>
        </w:tc>
      </w:tr>
    </w:tbl>
    <w:p>
      <w:pPr>
        <w:spacing w:after="120" w:line="312"/>
      </w:pP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ROMAN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arabic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Equity Research Skill Audit — nordeim/my-pi-agent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1A1A"/>
      <w:sz w:val="32"/>
      <w:szCs w:val="32"/>
    </w:rPr>
  </w:style>
  <w:style w:type="paragraph" w:styleId="Heading2">
    <w:name w:val="Heading 2"/>
    <w:basedOn w:val="Normal"/>
    <w:next w:val="Normal"/>
    <w:qFormat/>
    <w:pPr>
      <w:spacing w:after="120" w:before="240" w:line="312"/>
    </w:pPr>
    <w:rPr>
      <w:rFonts w:ascii="Times New Roman" w:eastAsia="SimHei"/>
      <w:b/>
      <w:bCs/>
      <w:color w:val="1A1A1A"/>
      <w:sz w:val="28"/>
      <w:szCs w:val="28"/>
    </w:rPr>
  </w:style>
  <w:style w:type="paragraph" w:styleId="Heading3">
    <w:name w:val="Heading 3"/>
    <w:basedOn w:val="Normal"/>
    <w:next w:val="Normal"/>
    <w:qFormat/>
    <w:pPr>
      <w:spacing w:after="100" w:before="200" w:line="312"/>
    </w:pPr>
    <w:rPr>
      <w:rFonts w:ascii="Times New Roman" w:eastAsia="SimHei"/>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9a7e27eb17f4285343e5f7900589715fa2c6daf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2026-10-30T06:49:32.344Z</dcterms:created>
  <dcterms:modified xsi:type="dcterms:W3CDTF">2026-10-30T06:49:32.344Z</dcterms:modified>
</cp:coreProperties>
</file>

<file path=docProps/custom.xml><?xml version="1.0" encoding="utf-8"?>
<Properties xmlns="http://schemas.openxmlformats.org/officeDocument/2006/custom-properties" xmlns:vt="http://schemas.openxmlformats.org/officeDocument/2006/docPropsVTypes"/>
</file>