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32228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rFonts w:hint="eastAsia"/>
          <w:sz w:val="36"/>
          <w:szCs w:val="36"/>
        </w:rPr>
        <w:t>Warranty Enquiry and Upgrade</w:t>
      </w:r>
    </w:p>
    <w:p w14:paraId="316D97A0">
      <w:pPr>
        <w:widowControl w:val="0"/>
        <w:jc w:val="right"/>
        <w:rPr>
          <w:rFonts w:hint="eastAsia" w:ascii="华文中宋" w:hAnsi="华文中宋" w:eastAsia="华文中宋" w:cs="Times New Roman"/>
          <w:bCs/>
          <w:kern w:val="2"/>
          <w:sz w:val="20"/>
          <w:szCs w:val="20"/>
          <w:lang w:eastAsia="zh-CN"/>
        </w:rPr>
      </w:pPr>
      <w:r>
        <w:rPr>
          <w:rFonts w:hint="eastAsia" w:ascii="华文中宋" w:hAnsi="华文中宋" w:eastAsia="华文中宋" w:cs="Times New Roman"/>
          <w:bCs/>
          <w:kern w:val="2"/>
          <w:sz w:val="20"/>
          <w:szCs w:val="20"/>
          <w:lang w:eastAsia="zh-CN"/>
        </w:rPr>
        <w:t>Author: Daniel</w:t>
      </w:r>
      <w:r>
        <w:rPr>
          <w:rFonts w:hint="eastAsia" w:ascii="华文中宋" w:hAnsi="华文中宋" w:eastAsia="华文中宋" w:cs="Times New Roman"/>
          <w:bCs/>
          <w:kern w:val="2"/>
          <w:sz w:val="20"/>
          <w:szCs w:val="20"/>
          <w:lang w:eastAsia="zh-CN"/>
        </w:rPr>
        <w:br w:type="textWrapping"/>
      </w:r>
      <w:r>
        <w:rPr>
          <w:rFonts w:hint="eastAsia" w:ascii="华文中宋" w:hAnsi="华文中宋" w:eastAsia="华文中宋" w:cs="Times New Roman"/>
          <w:bCs/>
          <w:kern w:val="2"/>
          <w:sz w:val="20"/>
          <w:szCs w:val="20"/>
          <w:lang w:eastAsia="zh-CN"/>
        </w:rPr>
        <w:t>Reviewer:Eason</w:t>
      </w:r>
    </w:p>
    <w:p w14:paraId="1534D10E">
      <w:pPr>
        <w:spacing w:before="240" w:after="240"/>
        <w:jc w:val="both"/>
        <w:rPr>
          <w:rFonts w:ascii="微软雅黑" w:hAnsi="微软雅黑" w:eastAsia="宋体" w:cs="微软雅黑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Account</w:t>
      </w:r>
    </w:p>
    <w:p w14:paraId="03674CB2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52C2D5BA">
      <w:pPr>
        <w:spacing w:before="240" w:after="240"/>
        <w:rPr>
          <w:lang w:eastAsia="zh-CN"/>
        </w:rPr>
      </w:pPr>
      <w:r>
        <w:rPr>
          <w:sz w:val="21"/>
          <w:szCs w:val="21"/>
          <w:lang w:eastAsia="zh-CN"/>
        </w:rPr>
        <w:t>Check the Warranty Period</w:t>
      </w:r>
      <w:r>
        <w:t xml:space="preserve"> </w:t>
      </w:r>
    </w:p>
    <w:p w14:paraId="49DA9F33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572895" cy="18884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rcRect t="42863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119E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Upgrade Warranty</w:t>
      </w:r>
      <w:r>
        <w:rPr>
          <w:rFonts w:hint="eastAsia"/>
          <w:sz w:val="21"/>
          <w:szCs w:val="21"/>
          <w:lang w:eastAsia="zh-CN"/>
        </w:rPr>
        <w:t>(</w:t>
      </w:r>
      <w:r>
        <w:rPr>
          <w:sz w:val="21"/>
          <w:szCs w:val="21"/>
          <w:lang w:eastAsia="zh-CN"/>
        </w:rPr>
        <w:t>Update warranty period</w:t>
      </w:r>
      <w:r>
        <w:rPr>
          <w:rFonts w:hint="eastAsia"/>
          <w:sz w:val="21"/>
          <w:szCs w:val="21"/>
          <w:lang w:eastAsia="zh-CN"/>
        </w:rPr>
        <w:t>)</w:t>
      </w:r>
    </w:p>
    <w:p w14:paraId="1B44B21A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789430" cy="3809365"/>
            <wp:effectExtent l="0" t="0" r="127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E29D">
      <w:pPr>
        <w:pStyle w:val="14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52E5D4FE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Check the Warranty Period</w:t>
      </w:r>
    </w:p>
    <w:p w14:paraId="73727FBB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APP：</w:t>
      </w:r>
    </w:p>
    <w:p w14:paraId="252F1357">
      <w:pPr>
        <w:spacing w:before="240" w:after="240"/>
        <w:rPr>
          <w:sz w:val="21"/>
          <w:szCs w:val="21"/>
          <w:lang w:val="en-GB" w:eastAsia="zh-CN"/>
        </w:rPr>
      </w:pPr>
      <w:r>
        <w:rPr>
          <w:rFonts w:hint="eastAsia"/>
          <w:sz w:val="21"/>
          <w:szCs w:val="21"/>
          <w:lang w:val="en-GB" w:eastAsia="zh-CN"/>
        </w:rPr>
        <w:t>Go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val="en-GB" w:eastAsia="zh-CN"/>
        </w:rPr>
        <w:t>to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val="en-GB" w:eastAsia="zh-CN"/>
        </w:rPr>
        <w:t>&lt;</w:t>
      </w:r>
      <w:r>
        <w:rPr>
          <w:sz w:val="21"/>
          <w:szCs w:val="21"/>
          <w:lang w:val="en-GB" w:eastAsia="zh-CN"/>
        </w:rPr>
        <w:t>Warranty Management &gt; to check the warranty period.</w:t>
      </w:r>
    </w:p>
    <w:p w14:paraId="65EC4A2A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Service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 xml:space="preserve">Warranty </w:t>
      </w:r>
      <w:r>
        <w:rPr>
          <w:rFonts w:hint="eastAsia"/>
          <w:i/>
          <w:iCs/>
          <w:color w:val="0070C0"/>
          <w:kern w:val="2"/>
          <w:lang w:eastAsia="zh-CN"/>
        </w:rPr>
        <w:t>management</w:t>
      </w:r>
    </w:p>
    <w:p w14:paraId="3B747DBF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738630" cy="37623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013" cy="38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738630" cy="37541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4275" cy="380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734185" cy="3754120"/>
            <wp:effectExtent l="0" t="0" r="0" b="0"/>
            <wp:docPr id="10" name="图片 10" descr="C:\Users\solax\Documents\WXWork\1688857742561559\Cache\Image\2024-11\0bf07db4-bbf4-4eae-ae65-14f06b4599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solax\Documents\WXWork\1688857742561559\Cache\Image\2024-11\0bf07db4-bbf4-4eae-ae65-14f06b4599b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8064" cy="380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A97F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Web：</w:t>
      </w:r>
    </w:p>
    <w:p w14:paraId="45BF3170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>Step1: Go to the website</w:t>
      </w:r>
      <w:r>
        <w:t xml:space="preserve"> </w:t>
      </w:r>
      <w:r>
        <w:rPr>
          <w:sz w:val="21"/>
          <w:szCs w:val="21"/>
        </w:rPr>
        <w:t>&lt;</w:t>
      </w:r>
      <w:r>
        <w:fldChar w:fldCharType="begin"/>
      </w:r>
      <w:r>
        <w:instrText xml:space="preserve"> HYPERLINK "https://www.solaxpower.com/" </w:instrText>
      </w:r>
      <w:r>
        <w:fldChar w:fldCharType="separate"/>
      </w:r>
      <w:r>
        <w:rPr>
          <w:rStyle w:val="8"/>
          <w:sz w:val="21"/>
          <w:szCs w:val="21"/>
        </w:rPr>
        <w:t>https://www.solaxpower.com/</w:t>
      </w:r>
      <w:r>
        <w:rPr>
          <w:rStyle w:val="8"/>
          <w:sz w:val="21"/>
          <w:szCs w:val="21"/>
        </w:rPr>
        <w:fldChar w:fldCharType="end"/>
      </w:r>
      <w:r>
        <w:rPr>
          <w:sz w:val="21"/>
          <w:szCs w:val="21"/>
        </w:rPr>
        <w:t>&gt; , then click “Warranty Inquiry”</w:t>
      </w:r>
    </w:p>
    <w:p w14:paraId="6FA2172E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Service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Warranty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Warranty Inquiry</w:t>
      </w:r>
    </w:p>
    <w:p w14:paraId="4BC9B0AA">
      <w:pPr>
        <w:spacing w:before="240" w:after="24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382645" cy="17265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427" cy="17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BE08">
      <w:pPr>
        <w:spacing w:before="240" w:after="24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378835" cy="16694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984" cy="17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3329940" cy="16376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314" cy="168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8377">
      <w:p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>Step</w:t>
      </w:r>
      <w:r>
        <w:rPr>
          <w:rFonts w:hint="eastAsia"/>
          <w:sz w:val="21"/>
          <w:szCs w:val="21"/>
          <w:lang w:eastAsia="zh-CN"/>
        </w:rPr>
        <w:t>2：Enter</w:t>
      </w:r>
      <w:r>
        <w:rPr>
          <w:sz w:val="21"/>
          <w:szCs w:val="21"/>
          <w:lang w:eastAsia="zh-CN"/>
        </w:rPr>
        <w:t xml:space="preserve"> the </w:t>
      </w:r>
      <w:r>
        <w:rPr>
          <w:rFonts w:hint="eastAsia"/>
          <w:sz w:val="21"/>
          <w:szCs w:val="21"/>
          <w:lang w:val="en-US" w:eastAsia="zh-CN"/>
        </w:rPr>
        <w:t>inverter</w:t>
      </w:r>
      <w:r>
        <w:rPr>
          <w:sz w:val="21"/>
          <w:szCs w:val="21"/>
          <w:lang w:eastAsia="zh-CN"/>
        </w:rPr>
        <w:t xml:space="preserve"> SN to check the warranty start date and the warranty end date, </w:t>
      </w:r>
      <w:r>
        <w:rPr>
          <w:rFonts w:hint="eastAsia"/>
          <w:sz w:val="21"/>
          <w:szCs w:val="21"/>
          <w:lang w:eastAsia="zh-CN"/>
        </w:rPr>
        <w:t>then</w:t>
      </w:r>
      <w:r>
        <w:rPr>
          <w:sz w:val="21"/>
          <w:szCs w:val="21"/>
          <w:lang w:eastAsia="zh-CN"/>
        </w:rPr>
        <w:t xml:space="preserve"> click “download” to download SolaX warranty certificate.</w:t>
      </w:r>
    </w:p>
    <w:p w14:paraId="0FC9688B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 xml:space="preserve"> Device SN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Warranty start date/Warranty end date</w:t>
      </w:r>
      <w:r>
        <w:rPr>
          <w:rFonts w:hint="eastAsia"/>
          <w:i/>
          <w:iCs/>
          <w:color w:val="0070C0"/>
          <w:kern w:val="2"/>
          <w:lang w:eastAsia="zh-CN"/>
        </w:rPr>
        <w:t>→Download</w:t>
      </w:r>
    </w:p>
    <w:p w14:paraId="73393BAC">
      <w:pPr>
        <w:spacing w:before="240" w:after="24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910965" cy="1863725"/>
            <wp:effectExtent l="0" t="0" r="0" b="0"/>
            <wp:docPr id="18" name="图片 18" descr="C:\Users\solax\AppData\Local\Temp\企业微信截图_17313745192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solax\AppData\Local\Temp\企业微信截图_1731374519222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2316" cy="187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3975100" cy="1977390"/>
            <wp:effectExtent l="0" t="0" r="0" b="0"/>
            <wp:docPr id="20" name="图片 20" descr="C:\Users\solax\AppData\Local\Temp\企业微信截图_173137443259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solax\AppData\Local\Temp\企业微信截图_1731374432597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4044" cy="200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F803">
      <w:pPr>
        <w:spacing w:before="240" w:after="24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796665" cy="189103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4383" cy="19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4520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Upgrade Warranty</w:t>
      </w:r>
    </w:p>
    <w:p w14:paraId="565955D3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APP:</w:t>
      </w:r>
    </w:p>
    <w:p w14:paraId="41AD1637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 xml:space="preserve">Step1: </w:t>
      </w:r>
      <w:r>
        <w:rPr>
          <w:rFonts w:hint="eastAsia"/>
          <w:sz w:val="21"/>
          <w:szCs w:val="21"/>
          <w:lang w:val="en-GB" w:eastAsia="zh-CN"/>
        </w:rPr>
        <w:t>Go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val="en-GB" w:eastAsia="zh-CN"/>
        </w:rPr>
        <w:t>to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val="en-GB" w:eastAsia="zh-CN"/>
        </w:rPr>
        <w:t>&lt;</w:t>
      </w:r>
      <w:r>
        <w:rPr>
          <w:sz w:val="21"/>
          <w:szCs w:val="21"/>
          <w:lang w:val="en-GB" w:eastAsia="zh-CN"/>
        </w:rPr>
        <w:t>Warranty Management &gt; and tap on “Filter”.</w:t>
      </w:r>
    </w:p>
    <w:p w14:paraId="49FBE53A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Service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Warranty Management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Filter</w:t>
      </w:r>
    </w:p>
    <w:p w14:paraId="658CD351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315720" cy="284988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29690" cy="287337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35405" cy="28657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0021" cy="289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5BBA">
      <w:pPr>
        <w:spacing w:before="240" w:after="240"/>
        <w:rPr>
          <w:sz w:val="21"/>
          <w:szCs w:val="21"/>
          <w:lang w:val="en-GB" w:eastAsia="zh-CN"/>
        </w:rPr>
      </w:pPr>
      <w:r>
        <w:rPr>
          <w:sz w:val="21"/>
          <w:szCs w:val="21"/>
          <w:lang w:val="en-GB" w:eastAsia="zh-CN"/>
        </w:rPr>
        <w:t>Step2: Filter online inverters and tap on “Upgrade”, then tap on “OK”,</w:t>
      </w:r>
      <w:r>
        <w:t xml:space="preserve"> </w:t>
      </w:r>
      <w:r>
        <w:rPr>
          <w:sz w:val="21"/>
          <w:szCs w:val="21"/>
        </w:rPr>
        <w:t>Country, region and installation address are</w:t>
      </w:r>
      <w:r>
        <w:t xml:space="preserve"> </w:t>
      </w:r>
      <w:r>
        <w:rPr>
          <w:sz w:val="21"/>
          <w:szCs w:val="21"/>
          <w:lang w:val="en-GB" w:eastAsia="zh-CN"/>
        </w:rPr>
        <w:t>automatically generated</w:t>
      </w:r>
      <w:r>
        <w:rPr>
          <w:rFonts w:hint="eastAsia"/>
          <w:sz w:val="21"/>
          <w:szCs w:val="21"/>
          <w:lang w:val="en-GB" w:eastAsia="zh-CN"/>
        </w:rPr>
        <w:t>.</w:t>
      </w:r>
    </w:p>
    <w:p w14:paraId="4DFFFDE9">
      <w:pPr>
        <w:spacing w:before="240" w:after="240"/>
        <w:rPr>
          <w:sz w:val="21"/>
          <w:szCs w:val="21"/>
          <w:lang w:val="en-GB"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Online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Upgrade</w:t>
      </w:r>
      <w:r>
        <w:rPr>
          <w:rFonts w:hint="eastAsia"/>
          <w:i/>
          <w:iCs/>
          <w:color w:val="0070C0"/>
          <w:kern w:val="2"/>
          <w:lang w:eastAsia="zh-CN"/>
        </w:rPr>
        <w:t>→O</w:t>
      </w:r>
      <w:r>
        <w:rPr>
          <w:i/>
          <w:iCs/>
          <w:color w:val="0070C0"/>
          <w:kern w:val="2"/>
          <w:lang w:eastAsia="zh-CN"/>
        </w:rPr>
        <w:t>K</w:t>
      </w:r>
    </w:p>
    <w:p w14:paraId="58AD2EAF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268730" cy="27419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5579" cy="27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04290" cy="27476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5" cy="27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261745" cy="273431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3713" cy="276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957C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W</w:t>
      </w:r>
      <w:r>
        <w:rPr>
          <w:sz w:val="21"/>
          <w:szCs w:val="21"/>
          <w:lang w:eastAsia="zh-CN"/>
        </w:rPr>
        <w:t>eb:</w:t>
      </w:r>
    </w:p>
    <w:p w14:paraId="1DCA07C3">
      <w:pPr>
        <w:spacing w:before="240" w:after="240"/>
        <w:rPr>
          <w:sz w:val="21"/>
          <w:szCs w:val="21"/>
        </w:rPr>
      </w:pPr>
      <w:r>
        <w:rPr>
          <w:sz w:val="21"/>
          <w:szCs w:val="21"/>
          <w:lang w:val="en-GB" w:eastAsia="zh-CN"/>
        </w:rPr>
        <w:t>Step1: Log in the end-user account of SolaX Cloud on the website</w:t>
      </w:r>
      <w:r>
        <w:t xml:space="preserve"> </w:t>
      </w:r>
      <w:r>
        <w:rPr>
          <w:sz w:val="21"/>
          <w:szCs w:val="21"/>
        </w:rPr>
        <w:t>&lt;</w:t>
      </w:r>
      <w:r>
        <w:t xml:space="preserve"> </w:t>
      </w:r>
      <w:r>
        <w:rPr>
          <w:sz w:val="21"/>
          <w:szCs w:val="21"/>
        </w:rPr>
        <w:t>https://www.eu.solaxcloud.com/user-center/&gt;, then click “Service” and “Online Warranty”.</w:t>
      </w:r>
    </w:p>
    <w:p w14:paraId="72F1BC25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Log in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Service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Online Warranty</w:t>
      </w:r>
    </w:p>
    <w:p w14:paraId="330698D5">
      <w:pPr>
        <w:spacing w:before="240" w:after="240"/>
        <w:jc w:val="center"/>
        <w:rPr>
          <w:sz w:val="21"/>
          <w:szCs w:val="21"/>
          <w:lang w:val="en-GB" w:eastAsia="zh-CN"/>
        </w:rPr>
      </w:pPr>
      <w:r>
        <w:rPr>
          <w:lang w:eastAsia="zh-CN"/>
        </w:rPr>
        <w:drawing>
          <wp:inline distT="0" distB="0" distL="0" distR="0">
            <wp:extent cx="4968875" cy="23215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069" cy="237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904A">
      <w:pPr>
        <w:spacing w:before="240" w:after="240"/>
        <w:jc w:val="center"/>
        <w:rPr>
          <w:sz w:val="21"/>
          <w:szCs w:val="21"/>
          <w:lang w:val="en-GB" w:eastAsia="zh-CN"/>
        </w:rPr>
      </w:pPr>
      <w:r>
        <w:rPr>
          <w:lang w:eastAsia="zh-CN"/>
        </w:rPr>
        <w:drawing>
          <wp:inline distT="0" distB="0" distL="0" distR="0">
            <wp:extent cx="5027930" cy="212661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687" cy="21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5066030" cy="21463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645" cy="216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C5C2">
      <w:pPr>
        <w:spacing w:before="240" w:after="240"/>
        <w:rPr>
          <w:sz w:val="21"/>
          <w:szCs w:val="21"/>
        </w:rPr>
      </w:pPr>
      <w:r>
        <w:rPr>
          <w:sz w:val="21"/>
          <w:szCs w:val="21"/>
          <w:lang w:val="en-GB" w:eastAsia="zh-CN"/>
        </w:rPr>
        <w:t>Step2: Find the online device</w:t>
      </w:r>
      <w:bookmarkStart w:id="0" w:name="_GoBack"/>
      <w:bookmarkEnd w:id="0"/>
      <w:r>
        <w:rPr>
          <w:sz w:val="21"/>
          <w:szCs w:val="21"/>
          <w:lang w:val="en-GB" w:eastAsia="zh-CN"/>
        </w:rPr>
        <w:t>, click “upgrade warranty” and select battery/master controller SN, then click “Sure”.</w:t>
      </w:r>
    </w:p>
    <w:p w14:paraId="16E37259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Upgrade warranty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battery/master controller SN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Sure</w:t>
      </w:r>
    </w:p>
    <w:p w14:paraId="150C742C">
      <w:pPr>
        <w:spacing w:before="240" w:after="240"/>
        <w:jc w:val="center"/>
        <w:rPr>
          <w:i/>
          <w:iCs/>
          <w:color w:val="0070C0"/>
          <w:kern w:val="2"/>
          <w:lang w:eastAsia="zh-CN"/>
        </w:rPr>
      </w:pPr>
      <w:r>
        <w:rPr>
          <w:lang w:eastAsia="zh-CN"/>
        </w:rPr>
        <w:drawing>
          <wp:inline distT="0" distB="0" distL="0" distR="0">
            <wp:extent cx="5056505" cy="213804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113" cy="21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6F55">
      <w:pPr>
        <w:spacing w:before="240" w:after="240"/>
        <w:jc w:val="center"/>
        <w:rPr>
          <w:i/>
          <w:iCs/>
          <w:color w:val="0070C0"/>
          <w:kern w:val="2"/>
          <w:lang w:eastAsia="zh-CN"/>
        </w:rPr>
      </w:pPr>
      <w:r>
        <w:rPr>
          <w:lang w:eastAsia="zh-CN"/>
        </w:rPr>
        <w:drawing>
          <wp:inline distT="0" distB="0" distL="0" distR="0">
            <wp:extent cx="4989195" cy="1879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9582" cy="18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5005070" cy="189166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2807" cy="189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CA44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 xml:space="preserve">Step3: </w:t>
      </w:r>
      <w:r>
        <w:rPr>
          <w:rFonts w:hint="eastAsia"/>
          <w:sz w:val="21"/>
          <w:szCs w:val="21"/>
          <w:lang w:val="en-GB" w:eastAsia="zh-CN"/>
        </w:rPr>
        <w:t>After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val="en-GB" w:eastAsia="zh-CN"/>
        </w:rPr>
        <w:t>upgra</w:t>
      </w:r>
      <w:r>
        <w:rPr>
          <w:sz w:val="21"/>
          <w:szCs w:val="21"/>
          <w:lang w:val="en-GB" w:eastAsia="zh-CN"/>
        </w:rPr>
        <w:t>d</w:t>
      </w:r>
      <w:r>
        <w:rPr>
          <w:rFonts w:hint="eastAsia"/>
          <w:sz w:val="21"/>
          <w:szCs w:val="21"/>
          <w:lang w:val="en-GB" w:eastAsia="zh-CN"/>
        </w:rPr>
        <w:t>ing</w:t>
      </w:r>
      <w:r>
        <w:rPr>
          <w:sz w:val="21"/>
          <w:szCs w:val="21"/>
          <w:lang w:val="en-GB" w:eastAsia="zh-CN"/>
        </w:rPr>
        <w:t xml:space="preserve"> the warranty,</w:t>
      </w:r>
      <w:r>
        <w:rPr>
          <w:sz w:val="21"/>
          <w:szCs w:val="21"/>
          <w:lang w:eastAsia="zh-CN"/>
        </w:rPr>
        <w:t xml:space="preserve"> click “download” to download SolaX warranty certificate.</w:t>
      </w:r>
    </w:p>
    <w:p w14:paraId="282F8C9F">
      <w:pPr>
        <w:spacing w:before="240" w:after="240"/>
        <w:jc w:val="center"/>
        <w:rPr>
          <w:rFonts w:hint="eastAsia"/>
          <w:i/>
          <w:iCs/>
          <w:color w:val="0070C0"/>
          <w:kern w:val="2"/>
          <w:lang w:eastAsia="zh-CN"/>
        </w:rPr>
      </w:pPr>
      <w:r>
        <w:rPr>
          <w:lang w:eastAsia="zh-CN"/>
        </w:rPr>
        <w:drawing>
          <wp:inline distT="0" distB="0" distL="0" distR="0">
            <wp:extent cx="5047615" cy="24809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3383" cy="248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7B31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599B9816">
      <w:pPr>
        <w:numPr>
          <w:ilvl w:val="0"/>
          <w:numId w:val="1"/>
        </w:numPr>
        <w:spacing w:before="240" w:after="240"/>
        <w:jc w:val="both"/>
      </w:pPr>
      <w:r>
        <w:rPr>
          <w:sz w:val="21"/>
          <w:szCs w:val="21"/>
          <w:lang w:eastAsia="zh-CN"/>
        </w:rPr>
        <w:t>If the setting fails, please check your mobile network, ensure a stable connection, log out of your account, and then log back in. Follow the steps above to make the changes.</w:t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docVars>
    <w:docVar w:name="commondata" w:val="eyJoZGlkIjoiN2M0YTVhZTk3NGFiMWIxZGNlOThkNmZlNjQ1NjA4NGQifQ=="/>
  </w:docVars>
  <w:rsids>
    <w:rsidRoot w:val="00A77B3E"/>
    <w:rsid w:val="000119E1"/>
    <w:rsid w:val="000402DB"/>
    <w:rsid w:val="0004426D"/>
    <w:rsid w:val="00051A80"/>
    <w:rsid w:val="000714E8"/>
    <w:rsid w:val="00072592"/>
    <w:rsid w:val="00075FB5"/>
    <w:rsid w:val="0008537D"/>
    <w:rsid w:val="000947BC"/>
    <w:rsid w:val="000B6657"/>
    <w:rsid w:val="000E2ABD"/>
    <w:rsid w:val="000F179A"/>
    <w:rsid w:val="000F55C5"/>
    <w:rsid w:val="000F6559"/>
    <w:rsid w:val="00105918"/>
    <w:rsid w:val="00115F0D"/>
    <w:rsid w:val="0012041B"/>
    <w:rsid w:val="00123121"/>
    <w:rsid w:val="00127E4E"/>
    <w:rsid w:val="001309FC"/>
    <w:rsid w:val="0014712A"/>
    <w:rsid w:val="00167770"/>
    <w:rsid w:val="00181509"/>
    <w:rsid w:val="0019175A"/>
    <w:rsid w:val="001C0775"/>
    <w:rsid w:val="001E620F"/>
    <w:rsid w:val="00220975"/>
    <w:rsid w:val="00230DEC"/>
    <w:rsid w:val="00234407"/>
    <w:rsid w:val="00235DA9"/>
    <w:rsid w:val="00245C5C"/>
    <w:rsid w:val="002501B4"/>
    <w:rsid w:val="00261C43"/>
    <w:rsid w:val="00274E6E"/>
    <w:rsid w:val="00294678"/>
    <w:rsid w:val="002A3015"/>
    <w:rsid w:val="002B6E3A"/>
    <w:rsid w:val="002C5768"/>
    <w:rsid w:val="002D4B0A"/>
    <w:rsid w:val="002E4435"/>
    <w:rsid w:val="002F37E9"/>
    <w:rsid w:val="002F554C"/>
    <w:rsid w:val="002F6B4F"/>
    <w:rsid w:val="002F6F37"/>
    <w:rsid w:val="003121A0"/>
    <w:rsid w:val="00317C83"/>
    <w:rsid w:val="00336CE5"/>
    <w:rsid w:val="00337C7E"/>
    <w:rsid w:val="00337DD0"/>
    <w:rsid w:val="00366D21"/>
    <w:rsid w:val="003811EC"/>
    <w:rsid w:val="00383A79"/>
    <w:rsid w:val="00384E67"/>
    <w:rsid w:val="003C0EB3"/>
    <w:rsid w:val="003D19DB"/>
    <w:rsid w:val="003F0CD9"/>
    <w:rsid w:val="00406392"/>
    <w:rsid w:val="0041550C"/>
    <w:rsid w:val="00421C5C"/>
    <w:rsid w:val="004244EC"/>
    <w:rsid w:val="004463B8"/>
    <w:rsid w:val="00475D4D"/>
    <w:rsid w:val="00492E9A"/>
    <w:rsid w:val="004A19D1"/>
    <w:rsid w:val="004C484D"/>
    <w:rsid w:val="004D3E86"/>
    <w:rsid w:val="004F399B"/>
    <w:rsid w:val="004F6672"/>
    <w:rsid w:val="004F7CA3"/>
    <w:rsid w:val="005159A3"/>
    <w:rsid w:val="00542823"/>
    <w:rsid w:val="005529A4"/>
    <w:rsid w:val="00573CF3"/>
    <w:rsid w:val="00574260"/>
    <w:rsid w:val="005A584B"/>
    <w:rsid w:val="005B364C"/>
    <w:rsid w:val="005B3F0A"/>
    <w:rsid w:val="006337AB"/>
    <w:rsid w:val="00637F12"/>
    <w:rsid w:val="00641C8B"/>
    <w:rsid w:val="00653A6B"/>
    <w:rsid w:val="006A47A3"/>
    <w:rsid w:val="006F059B"/>
    <w:rsid w:val="00702858"/>
    <w:rsid w:val="007054C2"/>
    <w:rsid w:val="00756B42"/>
    <w:rsid w:val="00760F4D"/>
    <w:rsid w:val="007666E6"/>
    <w:rsid w:val="00783425"/>
    <w:rsid w:val="007A11D4"/>
    <w:rsid w:val="007A7DA6"/>
    <w:rsid w:val="007C7D41"/>
    <w:rsid w:val="007D49B0"/>
    <w:rsid w:val="007F0CEE"/>
    <w:rsid w:val="007F5287"/>
    <w:rsid w:val="007F664B"/>
    <w:rsid w:val="008046F1"/>
    <w:rsid w:val="00831ED3"/>
    <w:rsid w:val="0084167B"/>
    <w:rsid w:val="00844E83"/>
    <w:rsid w:val="00881222"/>
    <w:rsid w:val="00891BFE"/>
    <w:rsid w:val="008B7B41"/>
    <w:rsid w:val="008C4998"/>
    <w:rsid w:val="008F1CAC"/>
    <w:rsid w:val="00916D70"/>
    <w:rsid w:val="00920A7B"/>
    <w:rsid w:val="00925F06"/>
    <w:rsid w:val="0095701C"/>
    <w:rsid w:val="00991694"/>
    <w:rsid w:val="00994CC1"/>
    <w:rsid w:val="009B5507"/>
    <w:rsid w:val="009F1F81"/>
    <w:rsid w:val="00A14AFF"/>
    <w:rsid w:val="00A228E2"/>
    <w:rsid w:val="00A25740"/>
    <w:rsid w:val="00A726F9"/>
    <w:rsid w:val="00A77B3E"/>
    <w:rsid w:val="00A93012"/>
    <w:rsid w:val="00AB7748"/>
    <w:rsid w:val="00AC5D21"/>
    <w:rsid w:val="00B00721"/>
    <w:rsid w:val="00B0396B"/>
    <w:rsid w:val="00B062F9"/>
    <w:rsid w:val="00B06674"/>
    <w:rsid w:val="00B21FA6"/>
    <w:rsid w:val="00B6511B"/>
    <w:rsid w:val="00B8376A"/>
    <w:rsid w:val="00BA78E2"/>
    <w:rsid w:val="00BB5D12"/>
    <w:rsid w:val="00BB7A7F"/>
    <w:rsid w:val="00BD7393"/>
    <w:rsid w:val="00BF5923"/>
    <w:rsid w:val="00C12991"/>
    <w:rsid w:val="00C30989"/>
    <w:rsid w:val="00C42368"/>
    <w:rsid w:val="00C471FB"/>
    <w:rsid w:val="00C47CC3"/>
    <w:rsid w:val="00C860D6"/>
    <w:rsid w:val="00CA020A"/>
    <w:rsid w:val="00CA2A55"/>
    <w:rsid w:val="00CA3EDC"/>
    <w:rsid w:val="00CC0DC6"/>
    <w:rsid w:val="00CC53F4"/>
    <w:rsid w:val="00CE0804"/>
    <w:rsid w:val="00CE0B9D"/>
    <w:rsid w:val="00D0762C"/>
    <w:rsid w:val="00D32592"/>
    <w:rsid w:val="00D354B7"/>
    <w:rsid w:val="00D409E7"/>
    <w:rsid w:val="00D942D4"/>
    <w:rsid w:val="00D94D7A"/>
    <w:rsid w:val="00D958F2"/>
    <w:rsid w:val="00DA4D29"/>
    <w:rsid w:val="00DB3BB5"/>
    <w:rsid w:val="00DE6110"/>
    <w:rsid w:val="00DF4A72"/>
    <w:rsid w:val="00E110B1"/>
    <w:rsid w:val="00E43D1B"/>
    <w:rsid w:val="00E56E19"/>
    <w:rsid w:val="00E63909"/>
    <w:rsid w:val="00E7004F"/>
    <w:rsid w:val="00E9056B"/>
    <w:rsid w:val="00E923F9"/>
    <w:rsid w:val="00EC5B3E"/>
    <w:rsid w:val="00F353AA"/>
    <w:rsid w:val="00F376A0"/>
    <w:rsid w:val="00F43ED0"/>
    <w:rsid w:val="00F53C7F"/>
    <w:rsid w:val="00F74810"/>
    <w:rsid w:val="00F9294A"/>
    <w:rsid w:val="00FB0275"/>
    <w:rsid w:val="00FD06EF"/>
    <w:rsid w:val="00FD7604"/>
    <w:rsid w:val="00FE00CC"/>
    <w:rsid w:val="00FE2A65"/>
    <w:rsid w:val="0AC27C4A"/>
    <w:rsid w:val="0CBA3508"/>
    <w:rsid w:val="28D20202"/>
    <w:rsid w:val="3B87643D"/>
    <w:rsid w:val="4B580AAD"/>
    <w:rsid w:val="52BA5DF2"/>
    <w:rsid w:val="70F225C2"/>
    <w:rsid w:val="7D56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0"/>
  </w:style>
  <w:style w:type="paragraph" w:styleId="3">
    <w:name w:val="Balloon Text"/>
    <w:basedOn w:val="1"/>
    <w:link w:val="13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0"/>
    <w:rPr>
      <w:color w:val="0000FF" w:themeColor="hyperlink"/>
      <w:u w:val="single"/>
    </w:rPr>
  </w:style>
  <w:style w:type="character" w:styleId="9">
    <w:name w:val="annotation reference"/>
    <w:basedOn w:val="7"/>
    <w:semiHidden/>
    <w:unhideWhenUsed/>
    <w:qFormat/>
    <w:uiPriority w:val="0"/>
    <w:rPr>
      <w:sz w:val="21"/>
      <w:szCs w:val="21"/>
    </w:rPr>
  </w:style>
  <w:style w:type="character" w:customStyle="1" w:styleId="10">
    <w:name w:val="image-componnet-wrapper"/>
    <w:basedOn w:val="7"/>
    <w:qFormat/>
    <w:uiPriority w:val="0"/>
  </w:style>
  <w:style w:type="character" w:customStyle="1" w:styleId="11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7"/>
    <w:link w:val="4"/>
    <w:qFormat/>
    <w:uiPriority w:val="0"/>
    <w:rPr>
      <w:sz w:val="18"/>
      <w:szCs w:val="18"/>
    </w:rPr>
  </w:style>
  <w:style w:type="character" w:customStyle="1" w:styleId="13">
    <w:name w:val="批注框文本 字符"/>
    <w:basedOn w:val="7"/>
    <w:link w:val="3"/>
    <w:semiHidden/>
    <w:qFormat/>
    <w:uiPriority w:val="0"/>
    <w:rPr>
      <w:sz w:val="18"/>
      <w:szCs w:val="18"/>
      <w:lang w:eastAsia="en-US"/>
    </w:rPr>
  </w:style>
  <w:style w:type="paragraph" w:customStyle="1" w:styleId="14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256</Words>
  <Characters>1413</Characters>
  <Lines>12</Lines>
  <Paragraphs>3</Paragraphs>
  <TotalTime>248</TotalTime>
  <ScaleCrop>false</ScaleCrop>
  <LinksUpToDate>false</LinksUpToDate>
  <CharactersWithSpaces>1596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2024-12-05T09:51:14Z</dcterms:modified>
  <cp:revision>161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B83A5393E5604E68BC586B02C2413A8C_12</vt:lpwstr>
  </property>
</Properties>
</file>