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418AB">
      <w:pPr>
        <w:jc w:val="center"/>
        <w:rPr>
          <w:rFonts w:ascii="华文中宋" w:hAnsi="华文中宋" w:eastAsia="华文中宋" w:cs="Times New Roman"/>
          <w:bCs/>
          <w:sz w:val="20"/>
          <w:szCs w:val="20"/>
        </w:rPr>
      </w:pPr>
      <w:r>
        <w:rPr>
          <w:rFonts w:hint="eastAsia" w:cs="Times New Roman"/>
          <w:bCs/>
          <w:sz w:val="36"/>
          <w:szCs w:val="36"/>
        </w:rPr>
        <w:t>EVC</w:t>
      </w:r>
      <w:r>
        <w:rPr>
          <w:rFonts w:cs="Times New Roman"/>
          <w:bCs/>
          <w:sz w:val="36"/>
          <w:szCs w:val="36"/>
        </w:rPr>
        <w:t xml:space="preserve"> Draw</w:t>
      </w:r>
      <w:r>
        <w:rPr>
          <w:rFonts w:hint="eastAsia" w:cs="Times New Roman"/>
          <w:bCs/>
          <w:sz w:val="36"/>
          <w:szCs w:val="36"/>
        </w:rPr>
        <w:t>s</w:t>
      </w:r>
      <w:r>
        <w:rPr>
          <w:rFonts w:cs="Times New Roman"/>
          <w:bCs/>
          <w:sz w:val="36"/>
          <w:szCs w:val="36"/>
        </w:rPr>
        <w:t xml:space="preserve"> Power from the Grid in Green Mode</w:t>
      </w:r>
    </w:p>
    <w:p w14:paraId="72E9D29B">
      <w:pPr>
        <w:jc w:val="right"/>
        <w:rPr>
          <w:rFonts w:ascii="华文中宋" w:hAnsi="华文中宋" w:eastAsia="华文中宋" w:cs="Times New Roman"/>
          <w:bCs/>
          <w:sz w:val="20"/>
          <w:szCs w:val="20"/>
        </w:rPr>
      </w:pPr>
    </w:p>
    <w:p w14:paraId="2733471C">
      <w:pPr>
        <w:jc w:val="right"/>
        <w:rPr>
          <w:rFonts w:hint="eastAsia" w:ascii="华文中宋" w:hAnsi="华文中宋" w:eastAsia="华文中宋" w:cs="Times New Roman"/>
          <w:bCs/>
          <w:sz w:val="20"/>
          <w:szCs w:val="20"/>
        </w:rPr>
      </w:pPr>
      <w:r>
        <w:rPr>
          <w:rFonts w:hint="eastAsia" w:ascii="华文中宋" w:hAnsi="华文中宋" w:eastAsia="华文中宋" w:cs="Times New Roman"/>
          <w:bCs/>
          <w:sz w:val="20"/>
          <w:szCs w:val="20"/>
          <w:lang w:val="en-US" w:eastAsia="zh-CN"/>
        </w:rPr>
        <w:t>Author</w:t>
      </w:r>
      <w:r>
        <w:rPr>
          <w:rFonts w:ascii="华文中宋" w:hAnsi="华文中宋" w:eastAsia="华文中宋" w:cs="Times New Roman"/>
          <w:bCs/>
          <w:sz w:val="20"/>
          <w:szCs w:val="20"/>
        </w:rPr>
        <w:t xml:space="preserve">: </w:t>
      </w:r>
      <w:r>
        <w:rPr>
          <w:rFonts w:hint="eastAsia" w:ascii="华文中宋" w:hAnsi="华文中宋" w:eastAsia="华文中宋" w:cs="Times New Roman"/>
          <w:bCs/>
          <w:sz w:val="20"/>
          <w:szCs w:val="20"/>
        </w:rPr>
        <w:t>Daniel</w:t>
      </w:r>
    </w:p>
    <w:p w14:paraId="55EF438E">
      <w:pPr>
        <w:jc w:val="right"/>
        <w:rPr>
          <w:rFonts w:hint="eastAsia" w:ascii="华文中宋" w:hAnsi="华文中宋" w:eastAsia="华文中宋" w:cs="Times New Roman"/>
          <w:bCs/>
          <w:sz w:val="20"/>
          <w:szCs w:val="20"/>
          <w:lang w:val="en-US" w:eastAsia="zh-CN"/>
        </w:rPr>
      </w:pPr>
      <w:r>
        <w:rPr>
          <w:rFonts w:hint="eastAsia" w:ascii="华文中宋" w:hAnsi="华文中宋" w:eastAsia="华文中宋" w:cs="Times New Roman"/>
          <w:bCs/>
          <w:sz w:val="20"/>
          <w:szCs w:val="20"/>
          <w:lang w:val="en-US" w:eastAsia="zh-CN"/>
        </w:rPr>
        <w:t>Reviewer</w:t>
      </w:r>
      <w:r>
        <w:rPr>
          <w:rFonts w:ascii="华文中宋" w:hAnsi="华文中宋" w:eastAsia="华文中宋" w:cs="Times New Roman"/>
          <w:bCs/>
          <w:sz w:val="20"/>
          <w:szCs w:val="20"/>
        </w:rPr>
        <w:t xml:space="preserve">: </w:t>
      </w:r>
      <w:r>
        <w:rPr>
          <w:rFonts w:hint="eastAsia" w:ascii="华文中宋" w:hAnsi="华文中宋" w:eastAsia="华文中宋" w:cs="Times New Roman"/>
          <w:bCs/>
          <w:sz w:val="20"/>
          <w:szCs w:val="20"/>
          <w:lang w:val="en-US" w:eastAsia="zh-CN"/>
        </w:rPr>
        <w:t>Eason</w:t>
      </w:r>
      <w:bookmarkStart w:id="0" w:name="_GoBack"/>
      <w:bookmarkEnd w:id="0"/>
    </w:p>
    <w:p w14:paraId="2C516EC3">
      <w:pPr>
        <w:spacing w:line="360" w:lineRule="auto"/>
        <w:jc w:val="left"/>
        <w:rPr>
          <w:rFonts w:ascii="Calibri" w:hAnsi="Calibri" w:cs="Calibri"/>
          <w:b/>
          <w:color w:val="C55E10"/>
          <w:sz w:val="24"/>
          <w:szCs w:val="24"/>
        </w:rPr>
      </w:pPr>
      <w:r>
        <w:rPr>
          <w:rFonts w:hint="eastAsia" w:ascii="Calibri" w:hAnsi="Calibri" w:cs="Calibri"/>
          <w:b/>
          <w:color w:val="C55E10"/>
          <w:sz w:val="24"/>
          <w:szCs w:val="24"/>
        </w:rPr>
        <w:t>FAQ</w:t>
      </w:r>
      <w:r>
        <w:rPr>
          <w:rFonts w:ascii="Calibri" w:hAnsi="Calibri" w:cs="Calibri"/>
          <w:b/>
          <w:color w:val="C55E10"/>
          <w:sz w:val="24"/>
          <w:szCs w:val="24"/>
        </w:rPr>
        <w:t>/ EVC</w:t>
      </w:r>
    </w:p>
    <w:p w14:paraId="3DB27F70">
      <w:pPr>
        <w:spacing w:line="360" w:lineRule="auto"/>
        <w:jc w:val="left"/>
        <w:rPr>
          <w:rFonts w:ascii="Calibri" w:hAnsi="Calibri" w:cs="Calibri"/>
          <w:b/>
          <w:color w:val="C55E10"/>
          <w:sz w:val="24"/>
          <w:szCs w:val="24"/>
        </w:rPr>
      </w:pPr>
      <w:r>
        <w:rPr>
          <w:rFonts w:ascii="Calibri" w:hAnsi="Calibri" w:cs="Calibri"/>
          <w:b/>
          <w:color w:val="C55E10"/>
          <w:sz w:val="24"/>
          <w:szCs w:val="24"/>
        </w:rPr>
        <w:t>Issue introduction</w:t>
      </w:r>
    </w:p>
    <w:p w14:paraId="0F80DF4A">
      <w:pPr>
        <w:jc w:val="left"/>
      </w:pPr>
      <w:r>
        <w:t>The customer does not want the EVC to draw power from the grid while in green mode.</w:t>
      </w:r>
    </w:p>
    <w:p w14:paraId="505851A1">
      <w:pPr>
        <w:spacing w:line="360" w:lineRule="auto"/>
        <w:jc w:val="left"/>
        <w:rPr>
          <w:rFonts w:ascii="Calibri" w:hAnsi="Calibri" w:cs="Calibri"/>
          <w:b/>
          <w:color w:val="C55E10"/>
          <w:sz w:val="24"/>
          <w:szCs w:val="24"/>
        </w:rPr>
      </w:pPr>
      <w:r>
        <w:rPr>
          <w:rFonts w:ascii="Calibri" w:hAnsi="Calibri" w:cs="Calibri"/>
          <w:b/>
          <w:color w:val="C55E10"/>
          <w:sz w:val="24"/>
          <w:szCs w:val="24"/>
        </w:rPr>
        <w:t>Confirmation of basic information</w:t>
      </w:r>
    </w:p>
    <w:p w14:paraId="0F4B422E">
      <w:pPr>
        <w:rPr>
          <w:rFonts w:cs="Times New Roman"/>
          <w:color w:val="000000" w:themeColor="text1"/>
          <w14:textFill>
            <w14:solidFill>
              <w14:schemeClr w14:val="tx1"/>
            </w14:solidFill>
          </w14:textFill>
        </w:rPr>
      </w:pPr>
      <w:r>
        <w:rPr>
          <w:rFonts w:hint="eastAsia" w:cs="Times New Roman"/>
          <w:color w:val="000000" w:themeColor="text1"/>
          <w:szCs w:val="21"/>
          <w14:textFill>
            <w14:solidFill>
              <w14:schemeClr w14:val="tx1"/>
            </w14:solidFill>
          </w14:textFill>
        </w:rPr>
        <w:t>[</w:t>
      </w:r>
      <w:r>
        <w:rPr>
          <w:rFonts w:cs="Times New Roman"/>
          <w:color w:val="000000" w:themeColor="text1"/>
          <w:szCs w:val="21"/>
          <w14:textFill>
            <w14:solidFill>
              <w14:schemeClr w14:val="tx1"/>
            </w14:solidFill>
          </w14:textFill>
        </w:rPr>
        <w:t>Photo]SN number of the EVC</w:t>
      </w:r>
    </w:p>
    <w:p w14:paraId="38D1A001">
      <w:pPr>
        <w:spacing w:line="360" w:lineRule="auto"/>
        <w:jc w:val="left"/>
        <w:rPr>
          <w:rFonts w:ascii="Calibri" w:hAnsi="Calibri" w:cs="Calibri"/>
          <w:b/>
          <w:color w:val="C55E10"/>
          <w:sz w:val="24"/>
          <w:szCs w:val="24"/>
        </w:rPr>
      </w:pPr>
      <w:r>
        <w:rPr>
          <w:rFonts w:ascii="Calibri" w:hAnsi="Calibri" w:cs="Calibri"/>
          <w:b/>
          <w:color w:val="C55E10"/>
          <w:sz w:val="24"/>
          <w:szCs w:val="24"/>
        </w:rPr>
        <w:t>Guidance for installer</w:t>
      </w:r>
    </w:p>
    <w:p w14:paraId="706FD839">
      <w:pP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Step1</w:t>
      </w:r>
      <w:r>
        <w:rPr>
          <w:rFonts w:cs="Times New Roman"/>
          <w:color w:val="000000" w:themeColor="text1"/>
          <w14:textFill>
            <w14:solidFill>
              <w14:schemeClr w14:val="tx1"/>
            </w14:solidFill>
          </w14:textFill>
        </w:rPr>
        <w:t>: Check the current level set in green mode. If it is set to 3A, change it to 6A.</w:t>
      </w:r>
    </w:p>
    <w:p w14:paraId="72064337">
      <w:pPr>
        <w:rPr>
          <w:rFonts w:eastAsia="微软雅黑" w:cs="Times New Roman"/>
          <w:i/>
          <w:color w:val="0070C0"/>
          <w:sz w:val="24"/>
          <w:szCs w:val="24"/>
        </w:rPr>
      </w:pPr>
      <w:r>
        <w:rPr>
          <w:rFonts w:cs="Times New Roman"/>
          <w:szCs w:val="21"/>
        </w:rPr>
        <w:t xml:space="preserve">Setting Path: </w:t>
      </w:r>
      <w:r>
        <w:rPr>
          <w:rFonts w:eastAsia="微软雅黑" w:cs="Times New Roman"/>
          <w:i/>
          <w:color w:val="0070C0"/>
          <w:sz w:val="24"/>
          <w:szCs w:val="24"/>
        </w:rPr>
        <w:t>Setting</w:t>
      </w:r>
      <w:r>
        <w:rPr>
          <w:rFonts w:hint="eastAsia" w:eastAsia="微软雅黑" w:cs="Times New Roman"/>
          <w:i/>
          <w:color w:val="0070C0"/>
          <w:sz w:val="24"/>
          <w:szCs w:val="24"/>
        </w:rPr>
        <w:t>→Charger</w:t>
      </w:r>
      <w:r>
        <w:rPr>
          <w:rFonts w:eastAsia="微软雅黑" w:cs="Times New Roman"/>
          <w:i/>
          <w:color w:val="0070C0"/>
          <w:sz w:val="24"/>
          <w:szCs w:val="24"/>
        </w:rPr>
        <w:t xml:space="preserve"> </w:t>
      </w:r>
      <w:r>
        <w:rPr>
          <w:rFonts w:hint="eastAsia" w:eastAsia="微软雅黑" w:cs="Times New Roman"/>
          <w:i/>
          <w:color w:val="0070C0"/>
          <w:sz w:val="24"/>
          <w:szCs w:val="24"/>
        </w:rPr>
        <w:t>Setting→W</w:t>
      </w:r>
      <w:r>
        <w:rPr>
          <w:rFonts w:eastAsia="微软雅黑" w:cs="Times New Roman"/>
          <w:i/>
          <w:color w:val="0070C0"/>
          <w:sz w:val="24"/>
          <w:szCs w:val="24"/>
        </w:rPr>
        <w:t>ork Mode Setting</w:t>
      </w:r>
    </w:p>
    <w:p w14:paraId="28EEFDC1">
      <w:pPr>
        <w:jc w:val="center"/>
        <w:rPr>
          <w:rFonts w:cs="Times New Roman"/>
          <w:color w:val="000000" w:themeColor="text1"/>
          <w14:textFill>
            <w14:solidFill>
              <w14:schemeClr w14:val="tx1"/>
            </w14:solidFill>
          </w14:textFill>
        </w:rPr>
      </w:pPr>
      <w:r>
        <w:t xml:space="preserve">  </w:t>
      </w:r>
      <w:r>
        <w:drawing>
          <wp:inline distT="0" distB="0" distL="0" distR="0">
            <wp:extent cx="2938145" cy="66992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
                    <a:stretch>
                      <a:fillRect/>
                    </a:stretch>
                  </pic:blipFill>
                  <pic:spPr>
                    <a:xfrm>
                      <a:off x="0" y="0"/>
                      <a:ext cx="3057483" cy="697560"/>
                    </a:xfrm>
                    <a:prstGeom prst="rect">
                      <a:avLst/>
                    </a:prstGeom>
                  </pic:spPr>
                </pic:pic>
              </a:graphicData>
            </a:graphic>
          </wp:inline>
        </w:drawing>
      </w:r>
    </w:p>
    <w:p w14:paraId="2B3668C0">
      <w:r>
        <w:t xml:space="preserve">In green mode, when the current level is set to 3A, the EVC will start working when the PV surplus current reaches 3A. </w:t>
      </w:r>
    </w:p>
    <w:p w14:paraId="7B1F7AF8">
      <w:pPr>
        <w:rPr>
          <w:rFonts w:cs="Times New Roman"/>
          <w:color w:val="000000" w:themeColor="text1"/>
          <w14:textFill>
            <w14:solidFill>
              <w14:schemeClr w14:val="tx1"/>
            </w14:solidFill>
          </w14:textFill>
        </w:rPr>
      </w:pPr>
      <w:r>
        <w:rPr>
          <w:rFonts w:hint="eastAsia"/>
          <w:lang w:val="en-US" w:eastAsia="zh-CN"/>
        </w:rPr>
        <w:t>If</w:t>
      </w:r>
      <w:r>
        <w:t xml:space="preserve"> the PV surplus current is between 3A and 6A, the EVC will draw power from the grid to bring the current up to 6A.</w:t>
      </w:r>
      <w:r>
        <w:rPr>
          <w:rFonts w:hint="eastAsia" w:cs="Times New Roman"/>
          <w:color w:val="000000" w:themeColor="text1"/>
          <w:lang w:val="en-US" w:eastAsia="zh-CN"/>
          <w14:textFill>
            <w14:solidFill>
              <w14:schemeClr w14:val="tx1"/>
            </w14:solidFill>
          </w14:textFill>
        </w:rPr>
        <w:t>If</w:t>
      </w:r>
      <w:r>
        <w:rPr>
          <w:rFonts w:cs="Times New Roman"/>
          <w:color w:val="000000" w:themeColor="text1"/>
          <w14:textFill>
            <w14:solidFill>
              <w14:schemeClr w14:val="tx1"/>
            </w14:solidFill>
          </w14:textFill>
        </w:rPr>
        <w:t xml:space="preserve"> the current level is set to 6A, the EVC will only start charging when the PV surplus current reaches 6A </w:t>
      </w:r>
      <w:r>
        <w:rPr>
          <w:rFonts w:hint="eastAsia" w:cs="Times New Roman"/>
          <w:color w:val="000000" w:themeColor="text1"/>
          <w14:textFill>
            <w14:solidFill>
              <w14:schemeClr w14:val="tx1"/>
            </w14:solidFill>
          </w14:textFill>
        </w:rPr>
        <w:t>and</w:t>
      </w:r>
      <w:r>
        <w:rPr>
          <w:rFonts w:cs="Times New Roman"/>
          <w:color w:val="000000" w:themeColor="text1"/>
          <w14:textFill>
            <w14:solidFill>
              <w14:schemeClr w14:val="tx1"/>
            </w14:solidFill>
          </w14:textFill>
        </w:rPr>
        <w:t xml:space="preserve"> </w:t>
      </w:r>
      <w:r>
        <w:rPr>
          <w:rFonts w:hint="eastAsia" w:cs="Times New Roman"/>
          <w:color w:val="000000" w:themeColor="text1"/>
          <w14:textFill>
            <w14:solidFill>
              <w14:schemeClr w14:val="tx1"/>
            </w14:solidFill>
          </w14:textFill>
        </w:rPr>
        <w:t>t</w:t>
      </w:r>
      <w:r>
        <w:rPr>
          <w:rFonts w:cs="Times New Roman"/>
          <w:color w:val="000000" w:themeColor="text1"/>
          <w14:textFill>
            <w14:solidFill>
              <w14:schemeClr w14:val="tx1"/>
            </w14:solidFill>
          </w14:textFill>
        </w:rPr>
        <w:t>he EVC will not draw power from the grid.</w:t>
      </w:r>
    </w:p>
    <w:p w14:paraId="4CEF8400">
      <w:pP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Step</w:t>
      </w:r>
      <w:r>
        <w:rPr>
          <w:rFonts w:cs="Times New Roman"/>
          <w:color w:val="000000" w:themeColor="text1"/>
          <w14:textFill>
            <w14:solidFill>
              <w14:schemeClr w14:val="tx1"/>
            </w14:solidFill>
          </w14:textFill>
        </w:rPr>
        <w:t xml:space="preserve">2: Check the Boost setting, </w:t>
      </w:r>
      <w:r>
        <w:rPr>
          <w:rFonts w:hint="eastAsia"/>
        </w:rPr>
        <w:t>w</w:t>
      </w:r>
      <w:r>
        <w:t>hen the boost setting is enabled, the EVC may draw power from the grid even in green mode, for boost setting has a higher priority than green mode.</w:t>
      </w:r>
    </w:p>
    <w:p w14:paraId="0A6F6369">
      <w:pPr>
        <w:rPr>
          <w:rFonts w:eastAsia="微软雅黑" w:cs="Times New Roman"/>
          <w:i/>
          <w:color w:val="0070C0"/>
          <w:sz w:val="24"/>
          <w:szCs w:val="24"/>
        </w:rPr>
      </w:pPr>
      <w:r>
        <w:rPr>
          <w:rFonts w:cs="Times New Roman"/>
          <w:szCs w:val="21"/>
        </w:rPr>
        <w:t xml:space="preserve">Setting Path: </w:t>
      </w:r>
      <w:r>
        <w:rPr>
          <w:rFonts w:eastAsia="微软雅黑" w:cs="Times New Roman"/>
          <w:i/>
          <w:color w:val="0070C0"/>
          <w:sz w:val="24"/>
          <w:szCs w:val="24"/>
        </w:rPr>
        <w:t>Function Control</w:t>
      </w:r>
      <w:r>
        <w:rPr>
          <w:rFonts w:hint="eastAsia" w:eastAsia="微软雅黑" w:cs="Times New Roman"/>
          <w:i/>
          <w:color w:val="0070C0"/>
          <w:sz w:val="24"/>
          <w:szCs w:val="24"/>
        </w:rPr>
        <w:t>→B</w:t>
      </w:r>
      <w:r>
        <w:rPr>
          <w:rFonts w:eastAsia="微软雅黑" w:cs="Times New Roman"/>
          <w:i/>
          <w:color w:val="0070C0"/>
          <w:sz w:val="24"/>
          <w:szCs w:val="24"/>
        </w:rPr>
        <w:t>oost Setting</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1C03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AFEBB63">
            <w:pPr>
              <w:jc w:val="center"/>
              <w:rPr>
                <w:rFonts w:eastAsia="微软雅黑" w:cs="Times New Roman"/>
                <w:i/>
                <w:color w:val="0070C0"/>
                <w:sz w:val="24"/>
                <w:szCs w:val="24"/>
              </w:rPr>
            </w:pPr>
            <w:r>
              <w:rPr>
                <w:rFonts w:hint="eastAsia" w:cs="Times New Roman"/>
                <w:szCs w:val="21"/>
              </w:rPr>
              <w:t>T</w:t>
            </w:r>
            <w:r>
              <w:rPr>
                <w:rFonts w:cs="Times New Roman"/>
                <w:szCs w:val="21"/>
              </w:rPr>
              <w:t>imed Boost</w:t>
            </w:r>
          </w:p>
        </w:tc>
        <w:tc>
          <w:tcPr>
            <w:tcW w:w="4148" w:type="dxa"/>
          </w:tcPr>
          <w:p w14:paraId="67E9F902">
            <w:pPr>
              <w:jc w:val="center"/>
              <w:rPr>
                <w:rFonts w:eastAsia="微软雅黑" w:cs="Times New Roman"/>
                <w:i/>
                <w:color w:val="0070C0"/>
                <w:sz w:val="24"/>
                <w:szCs w:val="24"/>
              </w:rPr>
            </w:pPr>
            <w:r>
              <w:rPr>
                <w:rFonts w:cs="Times New Roman"/>
                <w:color w:val="000000" w:themeColor="text1"/>
                <w14:textFill>
                  <w14:solidFill>
                    <w14:schemeClr w14:val="tx1"/>
                  </w14:solidFill>
                </w14:textFill>
              </w:rPr>
              <w:t>Smart Boost</w:t>
            </w:r>
          </w:p>
        </w:tc>
      </w:tr>
      <w:tr w14:paraId="30824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9EB5748">
            <w:pPr>
              <w:jc w:val="center"/>
              <w:rPr>
                <w:rFonts w:eastAsia="微软雅黑" w:cs="Times New Roman"/>
                <w:i/>
                <w:color w:val="0070C0"/>
                <w:sz w:val="24"/>
                <w:szCs w:val="24"/>
              </w:rPr>
            </w:pPr>
            <w:r>
              <w:t xml:space="preserve"> </w:t>
            </w:r>
            <w:r>
              <w:drawing>
                <wp:inline distT="0" distB="0" distL="0" distR="0">
                  <wp:extent cx="2223770" cy="1763395"/>
                  <wp:effectExtent l="0" t="0" r="508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282450" cy="1809910"/>
                          </a:xfrm>
                          <a:prstGeom prst="rect">
                            <a:avLst/>
                          </a:prstGeom>
                        </pic:spPr>
                      </pic:pic>
                    </a:graphicData>
                  </a:graphic>
                </wp:inline>
              </w:drawing>
            </w:r>
          </w:p>
        </w:tc>
        <w:tc>
          <w:tcPr>
            <w:tcW w:w="4148" w:type="dxa"/>
          </w:tcPr>
          <w:p w14:paraId="401C01F2">
            <w:pPr>
              <w:jc w:val="center"/>
              <w:rPr>
                <w:rFonts w:eastAsia="微软雅黑" w:cs="Times New Roman"/>
                <w:i/>
                <w:color w:val="0070C0"/>
                <w:sz w:val="24"/>
                <w:szCs w:val="24"/>
              </w:rPr>
            </w:pPr>
            <w:r>
              <w:drawing>
                <wp:inline distT="0" distB="0" distL="0" distR="0">
                  <wp:extent cx="2080260" cy="173799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101756" cy="1755583"/>
                          </a:xfrm>
                          <a:prstGeom prst="rect">
                            <a:avLst/>
                          </a:prstGeom>
                        </pic:spPr>
                      </pic:pic>
                    </a:graphicData>
                  </a:graphic>
                </wp:inline>
              </w:drawing>
            </w:r>
          </w:p>
        </w:tc>
      </w:tr>
      <w:tr w14:paraId="1EA6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4BD5D95">
            <w:r>
              <w:t>By enabling the “Timed Boost” feature, the user can set a time period. During this time period, The EVC will use all available power from both the PV and the grid to reach the maximum charging current (just like Fast mode).</w:t>
            </w:r>
          </w:p>
        </w:tc>
        <w:tc>
          <w:tcPr>
            <w:tcW w:w="4148" w:type="dxa"/>
          </w:tcPr>
          <w:p w14:paraId="65D3E0ED">
            <w:r>
              <w:t>By enabling the “Smart Boost” feature, the user can set the charging amount and stop time. To ensure that the charging amount is reached before the set stop time, the grid power may be used.</w:t>
            </w:r>
          </w:p>
          <w:p w14:paraId="55FAE7E4">
            <w:pPr>
              <w:jc w:val="center"/>
            </w:pPr>
          </w:p>
        </w:tc>
      </w:tr>
    </w:tbl>
    <w:p w14:paraId="64A1FAB3">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 xml:space="preserve">Step3: </w:t>
      </w:r>
      <w:r>
        <w:t>Check the r</w:t>
      </w:r>
      <w:r>
        <w:rPr>
          <w:rFonts w:hint="eastAsia"/>
        </w:rPr>
        <w:t>eservation</w:t>
      </w:r>
      <w:r>
        <w:t xml:space="preserve"> settings, </w:t>
      </w:r>
      <w:r>
        <w:rPr>
          <w:rFonts w:hint="eastAsia"/>
        </w:rPr>
        <w:t>for</w:t>
      </w:r>
      <w:r>
        <w:t xml:space="preserve"> this setting has a higher priority than the green mode and may cause the EVC to draw power from the grid.</w:t>
      </w:r>
    </w:p>
    <w:p w14:paraId="434BB743">
      <w:pPr>
        <w:rPr>
          <w:rFonts w:eastAsia="微软雅黑" w:cs="Times New Roman"/>
          <w:i/>
          <w:color w:val="0070C0"/>
          <w:sz w:val="24"/>
          <w:szCs w:val="24"/>
        </w:rPr>
      </w:pPr>
      <w:r>
        <w:rPr>
          <w:rFonts w:cs="Times New Roman"/>
          <w:szCs w:val="21"/>
        </w:rPr>
        <w:t xml:space="preserve">Setting Path: </w:t>
      </w:r>
      <w:r>
        <w:rPr>
          <w:rFonts w:eastAsia="微软雅黑" w:cs="Times New Roman"/>
          <w:i/>
          <w:color w:val="0070C0"/>
          <w:sz w:val="24"/>
          <w:szCs w:val="24"/>
        </w:rPr>
        <w:t>Function Control</w:t>
      </w:r>
      <w:r>
        <w:rPr>
          <w:rFonts w:hint="eastAsia" w:eastAsia="微软雅黑" w:cs="Times New Roman"/>
          <w:i/>
          <w:color w:val="0070C0"/>
          <w:sz w:val="24"/>
          <w:szCs w:val="24"/>
        </w:rPr>
        <w:t>→</w:t>
      </w:r>
      <w:r>
        <w:rPr>
          <w:rFonts w:eastAsia="微软雅黑" w:cs="Times New Roman"/>
          <w:i/>
          <w:color w:val="0070C0"/>
          <w:sz w:val="24"/>
          <w:szCs w:val="24"/>
        </w:rPr>
        <w:t>Reservation Settings</w:t>
      </w:r>
    </w:p>
    <w:p w14:paraId="64B89C7F">
      <w:pPr>
        <w:jc w:val="center"/>
      </w:pPr>
      <w:r>
        <w:drawing>
          <wp:inline distT="0" distB="0" distL="0" distR="0">
            <wp:extent cx="2885440" cy="164592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7"/>
                    <a:stretch>
                      <a:fillRect/>
                    </a:stretch>
                  </pic:blipFill>
                  <pic:spPr>
                    <a:xfrm>
                      <a:off x="0" y="0"/>
                      <a:ext cx="2917477" cy="1663869"/>
                    </a:xfrm>
                    <a:prstGeom prst="rect">
                      <a:avLst/>
                    </a:prstGeom>
                  </pic:spPr>
                </pic:pic>
              </a:graphicData>
            </a:graphic>
          </wp:inline>
        </w:drawing>
      </w:r>
    </w:p>
    <w:p w14:paraId="6425F86F">
      <w:r>
        <w:t xml:space="preserve">When the reservation settings are enabled, the EVC will charge at the set </w:t>
      </w:r>
      <w:r>
        <w:rPr>
          <w:rFonts w:hint="default"/>
          <w:lang w:val="en-US" w:eastAsia="zh-CN"/>
        </w:rPr>
        <w:t>“</w:t>
      </w:r>
      <w:r>
        <w:rPr>
          <w:rFonts w:hint="eastAsia"/>
          <w:lang w:val="en-US" w:eastAsia="zh-CN"/>
        </w:rPr>
        <w:t>C</w:t>
      </w:r>
      <w:r>
        <w:t>harging current</w:t>
      </w:r>
      <w:r>
        <w:rPr>
          <w:rFonts w:hint="default"/>
          <w:lang w:val="en-US" w:eastAsia="zh-CN"/>
        </w:rPr>
        <w:t>”</w:t>
      </w:r>
      <w:r>
        <w:t xml:space="preserve"> during the time period within each cycle. </w:t>
      </w:r>
      <w:r>
        <w:rPr>
          <w:rFonts w:hint="eastAsia"/>
          <w:lang w:val="en-US" w:eastAsia="zh-CN"/>
        </w:rPr>
        <w:t>If</w:t>
      </w:r>
      <w:r>
        <w:t xml:space="preserve"> PV </w:t>
      </w:r>
      <w:r>
        <w:rPr>
          <w:rFonts w:hint="eastAsia"/>
        </w:rPr>
        <w:t>surplus</w:t>
      </w:r>
      <w:r>
        <w:t xml:space="preserve"> cannot </w:t>
      </w:r>
      <w:r>
        <w:rPr>
          <w:rFonts w:hint="eastAsia"/>
          <w:lang w:val="en-US" w:eastAsia="zh-CN"/>
        </w:rPr>
        <w:t>meet</w:t>
      </w:r>
      <w:r>
        <w:t xml:space="preserve"> the set current, the EVC will draw power from the grid. </w:t>
      </w:r>
    </w:p>
    <w:p w14:paraId="540BA6A7">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Step4:</w:t>
      </w:r>
      <w:r>
        <w:rPr>
          <w:rFonts w:cs="Times New Roman"/>
          <w:color w:val="333333"/>
          <w:szCs w:val="21"/>
          <w:shd w:val="clear" w:color="auto" w:fill="FFFFFF"/>
        </w:rPr>
        <w:t xml:space="preserve"> Upgrade the EVC </w:t>
      </w:r>
      <w:r>
        <w:rPr>
          <w:rFonts w:hint="eastAsia" w:cs="Times New Roman"/>
          <w:color w:val="333333"/>
          <w:szCs w:val="21"/>
          <w:shd w:val="clear" w:color="auto" w:fill="FFFFFF"/>
        </w:rPr>
        <w:t>and</w:t>
      </w:r>
      <w:r>
        <w:rPr>
          <w:rFonts w:cs="Times New Roman"/>
          <w:color w:val="333333"/>
          <w:szCs w:val="21"/>
          <w:shd w:val="clear" w:color="auto" w:fill="FFFFFF"/>
        </w:rPr>
        <w:t xml:space="preserve"> the inverter to the latest firmware version. </w:t>
      </w:r>
    </w:p>
    <w:p w14:paraId="54BDBDF3">
      <w:pPr>
        <w:pStyle w:val="17"/>
        <w:ind w:firstLine="0" w:firstLineChars="0"/>
        <w:rPr>
          <w:rFonts w:cs="Times New Roman"/>
          <w:sz w:val="20"/>
          <w:szCs w:val="20"/>
        </w:rPr>
      </w:pPr>
      <w:r>
        <w:rPr>
          <w:rFonts w:cs="Times New Roman"/>
          <w:color w:val="000000" w:themeColor="text1"/>
          <w14:textFill>
            <w14:solidFill>
              <w14:schemeClr w14:val="tx1"/>
            </w14:solidFill>
          </w14:textFill>
        </w:rPr>
        <w:t xml:space="preserve">Step5: </w:t>
      </w:r>
      <w:r>
        <w:rPr>
          <w:rFonts w:cs="Times New Roman"/>
          <w:sz w:val="20"/>
          <w:szCs w:val="20"/>
        </w:rPr>
        <w:t xml:space="preserve">EVC needs the correct information </w:t>
      </w:r>
      <w:r>
        <w:rPr>
          <w:rFonts w:hint="eastAsia" w:cs="Times New Roman"/>
          <w:sz w:val="20"/>
          <w:szCs w:val="20"/>
        </w:rPr>
        <w:t>of</w:t>
      </w:r>
      <w:r>
        <w:rPr>
          <w:rFonts w:cs="Times New Roman"/>
          <w:color w:val="000000" w:themeColor="text1"/>
          <w14:textFill>
            <w14:solidFill>
              <w14:schemeClr w14:val="tx1"/>
            </w14:solidFill>
          </w14:textFill>
        </w:rPr>
        <w:t xml:space="preserve"> grid connection point</w:t>
      </w:r>
      <w:r>
        <w:rPr>
          <w:rFonts w:cs="Times New Roman"/>
          <w:sz w:val="20"/>
          <w:szCs w:val="20"/>
        </w:rPr>
        <w:t xml:space="preserve"> from the meter/CT to function properly in green mode. Therefore, you need to check if the CT/meter is installed correctly.</w:t>
      </w:r>
    </w:p>
    <w:p w14:paraId="351D3B87">
      <w:pPr>
        <w:pStyle w:val="17"/>
        <w:ind w:firstLine="0" w:firstLineChars="0"/>
        <w:rPr>
          <w:rFonts w:ascii="Calibri" w:hAnsi="Calibri" w:cs="Calibri"/>
          <w:color w:val="000000"/>
          <w:sz w:val="20"/>
          <w:szCs w:val="20"/>
        </w:rPr>
      </w:pPr>
      <w:r>
        <w:rPr>
          <w:rFonts w:ascii="Calibri" w:hAnsi="Calibri" w:cs="Calibri"/>
          <w:b/>
          <w:bCs/>
          <w:color w:val="000000"/>
          <w:sz w:val="22"/>
        </w:rPr>
        <w:t>Situation1</w:t>
      </w:r>
      <w:r>
        <w:rPr>
          <w:rFonts w:ascii="Calibri" w:hAnsi="Calibri" w:cs="Calibri"/>
          <w:color w:val="000000"/>
          <w:sz w:val="20"/>
          <w:szCs w:val="20"/>
        </w:rPr>
        <w:t>&lt;EVC communicates with inverter&gt;</w:t>
      </w:r>
    </w:p>
    <w:p w14:paraId="55557061">
      <w:pPr>
        <w:rPr>
          <w:rFonts w:cs="Times New Roman"/>
          <w:color w:val="333333"/>
          <w:szCs w:val="21"/>
          <w:shd w:val="clear" w:color="auto" w:fill="FFFFFF"/>
        </w:rPr>
      </w:pPr>
      <w:r>
        <w:rPr>
          <w:rFonts w:cs="Times New Roman"/>
          <w:color w:val="333333"/>
          <w:szCs w:val="21"/>
          <w:shd w:val="clear" w:color="auto" w:fill="FFFFFF"/>
        </w:rPr>
        <w:t>Because the operation of the green mode depends on the direction and magnitude of the current in the grid connection point information, it is crucial to ensure that the inverter receives the correct grid connection point information</w:t>
      </w:r>
      <w:r>
        <w:rPr>
          <w:rFonts w:hint="eastAsia" w:cs="Times New Roman"/>
          <w:color w:val="333333"/>
          <w:szCs w:val="21"/>
          <w:shd w:val="clear" w:color="auto" w:fill="FFFFFF"/>
        </w:rPr>
        <w:t>.</w:t>
      </w:r>
      <w:r>
        <w:rPr>
          <w:rFonts w:cs="Times New Roman"/>
          <w:color w:val="333333"/>
          <w:szCs w:val="21"/>
          <w:shd w:val="clear" w:color="auto" w:fill="FFFFFF"/>
        </w:rPr>
        <w:t xml:space="preserve"> </w:t>
      </w:r>
    </w:p>
    <w:p w14:paraId="78558B01">
      <w:pPr>
        <w:pStyle w:val="17"/>
        <w:ind w:firstLine="0" w:firstLineChars="0"/>
        <w:rPr>
          <w:rFonts w:cs="Times New Roman"/>
          <w:sz w:val="20"/>
          <w:szCs w:val="20"/>
        </w:rPr>
      </w:pPr>
      <w:r>
        <w:rPr>
          <w:rFonts w:hint="eastAsia" w:cs="Times New Roman"/>
          <w:color w:val="000000" w:themeColor="text1"/>
          <w14:textFill>
            <w14:solidFill>
              <w14:schemeClr w14:val="tx1"/>
            </w14:solidFill>
          </w14:textFill>
        </w:rPr>
        <w:t>Step1</w:t>
      </w:r>
      <w:r>
        <w:rPr>
          <w:rFonts w:cs="Times New Roman"/>
          <w:color w:val="000000" w:themeColor="text1"/>
          <w14:textFill>
            <w14:solidFill>
              <w14:schemeClr w14:val="tx1"/>
            </w14:solidFill>
          </w14:textFill>
        </w:rPr>
        <w:t xml:space="preserve">: </w:t>
      </w:r>
      <w:r>
        <w:rPr>
          <w:rFonts w:cs="Times New Roman"/>
          <w:sz w:val="20"/>
          <w:szCs w:val="20"/>
        </w:rPr>
        <w:t>Turn off all the loads and set the inverter to forced charge mode.</w:t>
      </w:r>
    </w:p>
    <w:p w14:paraId="404CD06C">
      <w:pPr>
        <w:pStyle w:val="17"/>
        <w:ind w:firstLine="0" w:firstLineChars="0"/>
        <w:rPr>
          <w:rFonts w:eastAsia="微软雅黑" w:cs="Times New Roman"/>
          <w:i/>
          <w:color w:val="0070C0"/>
          <w:kern w:val="0"/>
          <w:sz w:val="24"/>
          <w:szCs w:val="24"/>
          <w:shd w:val="clear" w:color="auto" w:fill="FFFFFF"/>
        </w:rPr>
      </w:pPr>
      <w:r>
        <w:rPr>
          <w:rFonts w:hint="eastAsia"/>
        </w:rPr>
        <w:t xml:space="preserve">Setting </w:t>
      </w:r>
      <w:r>
        <w:t>P</w:t>
      </w:r>
      <w:r>
        <w:rPr>
          <w:rFonts w:hint="eastAsia"/>
        </w:rPr>
        <w:t>ath</w:t>
      </w:r>
      <w:r>
        <w:t>:</w:t>
      </w:r>
      <w:r>
        <w:rPr>
          <w:rFonts w:eastAsia="微软雅黑" w:cs="Times New Roman"/>
          <w:i/>
          <w:color w:val="0070C0"/>
          <w:kern w:val="0"/>
          <w:sz w:val="24"/>
          <w:szCs w:val="24"/>
          <w:shd w:val="clear" w:color="auto" w:fill="FFFFFF"/>
        </w:rPr>
        <w:t xml:space="preserve"> Mode Select</w:t>
      </w:r>
      <w:r>
        <w:rPr>
          <w:rFonts w:ascii="Segoe UI Symbol" w:hAnsi="Segoe UI Symbol" w:eastAsia="微软雅黑" w:cs="Segoe UI Symbol"/>
          <w:i/>
          <w:color w:val="0070C0"/>
          <w:kern w:val="0"/>
          <w:sz w:val="24"/>
          <w:szCs w:val="24"/>
          <w:shd w:val="clear" w:color="auto" w:fill="FFFFFF"/>
        </w:rPr>
        <w:t>➡</w:t>
      </w:r>
      <w:r>
        <w:rPr>
          <w:rFonts w:eastAsia="微软雅黑" w:cs="Times New Roman"/>
          <w:i/>
          <w:color w:val="0070C0"/>
          <w:kern w:val="0"/>
          <w:sz w:val="24"/>
          <w:szCs w:val="24"/>
          <w:shd w:val="clear" w:color="auto" w:fill="FFFFFF"/>
        </w:rPr>
        <w:t>️Manual</w:t>
      </w:r>
      <w:r>
        <w:rPr>
          <w:rFonts w:ascii="Segoe UI Symbol" w:hAnsi="Segoe UI Symbol" w:eastAsia="微软雅黑" w:cs="Segoe UI Symbol"/>
          <w:i/>
          <w:color w:val="0070C0"/>
          <w:kern w:val="0"/>
          <w:sz w:val="24"/>
          <w:szCs w:val="24"/>
          <w:shd w:val="clear" w:color="auto" w:fill="FFFFFF"/>
        </w:rPr>
        <w:t>➡</w:t>
      </w:r>
      <w:r>
        <w:rPr>
          <w:rFonts w:eastAsia="微软雅黑" w:cs="Times New Roman"/>
          <w:i/>
          <w:color w:val="0070C0"/>
          <w:kern w:val="0"/>
          <w:sz w:val="24"/>
          <w:szCs w:val="24"/>
          <w:shd w:val="clear" w:color="auto" w:fill="FFFFFF"/>
        </w:rPr>
        <w:t>️Forced Charge</w:t>
      </w:r>
    </w:p>
    <w:p w14:paraId="0B393705">
      <w:pPr>
        <w:pStyle w:val="17"/>
        <w:ind w:firstLine="0" w:firstLineChars="0"/>
        <w:rPr>
          <w:rFonts w:cs="Times New Roman"/>
          <w:sz w:val="20"/>
          <w:szCs w:val="20"/>
        </w:rPr>
      </w:pPr>
      <w:r>
        <w:rPr>
          <w:rFonts w:hint="eastAsia" w:cs="Times New Roman"/>
          <w:color w:val="000000" w:themeColor="text1"/>
          <w14:textFill>
            <w14:solidFill>
              <w14:schemeClr w14:val="tx1"/>
            </w14:solidFill>
          </w14:textFill>
        </w:rPr>
        <w:t>Step</w:t>
      </w:r>
      <w:r>
        <w:rPr>
          <w:rFonts w:cs="Times New Roman"/>
          <w:color w:val="000000" w:themeColor="text1"/>
          <w14:textFill>
            <w14:solidFill>
              <w14:schemeClr w14:val="tx1"/>
            </w14:solidFill>
          </w14:textFill>
        </w:rPr>
        <w:t>2:</w:t>
      </w:r>
      <w:r>
        <w:rPr>
          <w:rFonts w:cs="Times New Roman"/>
          <w:sz w:val="20"/>
          <w:szCs w:val="20"/>
        </w:rPr>
        <w:t xml:space="preserve"> Check if the power of </w:t>
      </w:r>
      <w:r>
        <w:rPr>
          <w:rFonts w:hint="eastAsia" w:cs="Times New Roman"/>
          <w:sz w:val="20"/>
          <w:szCs w:val="20"/>
        </w:rPr>
        <w:t>each</w:t>
      </w:r>
      <w:r>
        <w:rPr>
          <w:rFonts w:cs="Times New Roman"/>
          <w:sz w:val="20"/>
          <w:szCs w:val="20"/>
        </w:rPr>
        <w:t xml:space="preserve"> phase in “</w:t>
      </w:r>
      <w:r>
        <w:t>O</w:t>
      </w:r>
      <w:r>
        <w:rPr>
          <w:rFonts w:hint="eastAsia"/>
        </w:rPr>
        <w:t>n</w:t>
      </w:r>
      <w:r>
        <w:t>-</w:t>
      </w:r>
      <w:r>
        <w:rPr>
          <w:rFonts w:hint="eastAsia"/>
        </w:rPr>
        <w:t>grid</w:t>
      </w:r>
      <w:r>
        <w:t>”</w:t>
      </w:r>
      <w:r>
        <w:rPr>
          <w:rFonts w:cs="Times New Roman"/>
          <w:sz w:val="20"/>
          <w:szCs w:val="20"/>
        </w:rPr>
        <w:t xml:space="preserve"> is similar to the power in “Meter/CT” in the system status,</w:t>
      </w:r>
      <w:r>
        <w:t xml:space="preserve"> </w:t>
      </w:r>
      <w:r>
        <w:rPr>
          <w:rFonts w:cs="Times New Roman"/>
          <w:sz w:val="20"/>
          <w:szCs w:val="20"/>
        </w:rPr>
        <w:t>a difference of less than 100W between the two is considered normal.</w:t>
      </w:r>
      <w:r>
        <w:rPr>
          <w:rFonts w:hint="eastAsia"/>
        </w:rPr>
        <w:t xml:space="preserve"> </w:t>
      </w:r>
      <w:r>
        <w:t>The information needs to be queried locally through the inverter's screen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5"/>
        <w:gridCol w:w="4121"/>
      </w:tblGrid>
      <w:tr w14:paraId="6C4C4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5" w:type="dxa"/>
          </w:tcPr>
          <w:p w14:paraId="61B370AE">
            <w:pPr>
              <w:pStyle w:val="17"/>
              <w:ind w:firstLine="0" w:firstLineChars="0"/>
              <w:jc w:val="center"/>
              <w:rPr>
                <w:rFonts w:cs="Times New Roman"/>
                <w:sz w:val="20"/>
                <w:szCs w:val="20"/>
              </w:rPr>
            </w:pPr>
            <w:r>
              <w:t>O</w:t>
            </w:r>
            <w:r>
              <w:rPr>
                <w:rFonts w:hint="eastAsia"/>
              </w:rPr>
              <w:t>n</w:t>
            </w:r>
            <w:r>
              <w:t>-</w:t>
            </w:r>
            <w:r>
              <w:rPr>
                <w:rFonts w:hint="eastAsia"/>
              </w:rPr>
              <w:t>grid</w:t>
            </w:r>
            <w:r>
              <w:t xml:space="preserve"> status</w:t>
            </w:r>
            <w:r>
              <w:rPr>
                <w:rFonts w:cs="Times New Roman"/>
                <w:sz w:val="20"/>
                <w:szCs w:val="20"/>
              </w:rPr>
              <w:t xml:space="preserve"> </w:t>
            </w:r>
            <w:r>
              <w:rPr>
                <w:rFonts w:hint="eastAsia" w:cs="Times New Roman"/>
                <w:sz w:val="20"/>
                <w:szCs w:val="20"/>
              </w:rPr>
              <w:t>on</w:t>
            </w:r>
            <w:r>
              <w:rPr>
                <w:rFonts w:cs="Times New Roman"/>
                <w:sz w:val="20"/>
                <w:szCs w:val="20"/>
              </w:rPr>
              <w:t xml:space="preserve"> the inverter</w:t>
            </w:r>
          </w:p>
          <w:p w14:paraId="4E3D17A5">
            <w:pPr>
              <w:pStyle w:val="17"/>
              <w:ind w:firstLine="0" w:firstLineChars="0"/>
              <w:jc w:val="center"/>
              <w:rPr>
                <w:rFonts w:cs="Times New Roman"/>
                <w:sz w:val="20"/>
                <w:szCs w:val="20"/>
              </w:rPr>
            </w:pPr>
            <w:r>
              <w:rPr>
                <w:rFonts w:hint="eastAsia"/>
              </w:rPr>
              <w:t xml:space="preserve">Setting </w:t>
            </w:r>
            <w:r>
              <w:t>P</w:t>
            </w:r>
            <w:r>
              <w:rPr>
                <w:rFonts w:hint="eastAsia"/>
              </w:rPr>
              <w:t>ath</w:t>
            </w:r>
            <w:r>
              <w:t xml:space="preserve">: </w:t>
            </w:r>
            <w:r>
              <w:rPr>
                <w:rFonts w:eastAsia="微软雅黑" w:cs="Times New Roman"/>
                <w:i/>
                <w:color w:val="0070C0"/>
                <w:kern w:val="0"/>
                <w:sz w:val="24"/>
                <w:szCs w:val="24"/>
                <w:shd w:val="clear" w:color="auto" w:fill="FFFFFF"/>
              </w:rPr>
              <w:t>System Status</w:t>
            </w:r>
            <w:r>
              <w:rPr>
                <w:rFonts w:ascii="Segoe UI Symbol" w:hAnsi="Segoe UI Symbol" w:eastAsia="微软雅黑" w:cs="Segoe UI Symbol"/>
                <w:i/>
                <w:color w:val="0070C0"/>
                <w:kern w:val="0"/>
                <w:sz w:val="24"/>
                <w:szCs w:val="24"/>
                <w:shd w:val="clear" w:color="auto" w:fill="FFFFFF"/>
              </w:rPr>
              <w:t>➡</w:t>
            </w:r>
            <w:r>
              <w:rPr>
                <w:rFonts w:eastAsia="微软雅黑" w:cs="Times New Roman"/>
                <w:i/>
                <w:color w:val="0070C0"/>
                <w:kern w:val="0"/>
                <w:sz w:val="24"/>
                <w:szCs w:val="24"/>
                <w:shd w:val="clear" w:color="auto" w:fill="FFFFFF"/>
              </w:rPr>
              <w:t>️ On-grid</w:t>
            </w:r>
          </w:p>
        </w:tc>
        <w:tc>
          <w:tcPr>
            <w:tcW w:w="4121" w:type="dxa"/>
          </w:tcPr>
          <w:p w14:paraId="2BBEC54E">
            <w:pPr>
              <w:pStyle w:val="17"/>
              <w:ind w:firstLine="0" w:firstLineChars="0"/>
              <w:jc w:val="center"/>
            </w:pPr>
            <w:r>
              <w:rPr>
                <w:rFonts w:hint="eastAsia"/>
              </w:rPr>
              <w:t>M</w:t>
            </w:r>
            <w:r>
              <w:t>eter/CT power measured on the inverter</w:t>
            </w:r>
          </w:p>
          <w:p w14:paraId="60D93868">
            <w:pPr>
              <w:rPr>
                <w:rFonts w:ascii="Segoe UI Symbol" w:hAnsi="Segoe UI Symbol" w:eastAsia="微软雅黑" w:cs="Segoe UI Symbol"/>
                <w:i/>
                <w:color w:val="0070C0"/>
                <w:kern w:val="0"/>
                <w:sz w:val="24"/>
                <w:szCs w:val="24"/>
                <w:shd w:val="clear" w:color="auto" w:fill="FFFFFF"/>
              </w:rPr>
            </w:pPr>
            <w:r>
              <w:rPr>
                <w:rFonts w:hint="eastAsia"/>
              </w:rPr>
              <w:t xml:space="preserve">Setting </w:t>
            </w:r>
            <w:r>
              <w:t>P</w:t>
            </w:r>
            <w:r>
              <w:rPr>
                <w:rFonts w:hint="eastAsia"/>
              </w:rPr>
              <w:t>ath</w:t>
            </w:r>
            <w:r>
              <w:t xml:space="preserve">: </w:t>
            </w:r>
            <w:r>
              <w:rPr>
                <w:rFonts w:eastAsia="微软雅黑" w:cs="Times New Roman"/>
                <w:i/>
                <w:color w:val="0070C0"/>
                <w:kern w:val="0"/>
                <w:sz w:val="24"/>
                <w:szCs w:val="24"/>
                <w:shd w:val="clear" w:color="auto" w:fill="FFFFFF"/>
              </w:rPr>
              <w:t>System Status</w:t>
            </w:r>
            <w:r>
              <w:rPr>
                <w:rFonts w:ascii="Segoe UI Symbol" w:hAnsi="Segoe UI Symbol" w:eastAsia="微软雅黑" w:cs="Segoe UI Symbol"/>
                <w:i/>
                <w:color w:val="0070C0"/>
                <w:kern w:val="0"/>
                <w:sz w:val="24"/>
                <w:szCs w:val="24"/>
                <w:shd w:val="clear" w:color="auto" w:fill="FFFFFF"/>
              </w:rPr>
              <w:t>➡</w:t>
            </w:r>
            <w:r>
              <w:rPr>
                <w:rFonts w:eastAsia="微软雅黑" w:cs="Times New Roman"/>
                <w:i/>
                <w:color w:val="0070C0"/>
                <w:kern w:val="0"/>
                <w:sz w:val="24"/>
                <w:szCs w:val="24"/>
                <w:shd w:val="clear" w:color="auto" w:fill="FFFFFF"/>
              </w:rPr>
              <w:t>️ Meter/CT</w:t>
            </w:r>
            <w:r>
              <w:rPr>
                <w:rFonts w:ascii="Segoe UI Symbol" w:hAnsi="Segoe UI Symbol" w:eastAsia="微软雅黑" w:cs="Segoe UI Symbol"/>
                <w:i/>
                <w:color w:val="0070C0"/>
                <w:kern w:val="0"/>
                <w:sz w:val="24"/>
                <w:szCs w:val="24"/>
                <w:shd w:val="clear" w:color="auto" w:fill="FFFFFF"/>
              </w:rPr>
              <w:t xml:space="preserve"> </w:t>
            </w:r>
          </w:p>
        </w:tc>
      </w:tr>
      <w:tr w14:paraId="18AB6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5" w:type="dxa"/>
          </w:tcPr>
          <w:p w14:paraId="7806FFFC">
            <w:pPr>
              <w:pStyle w:val="17"/>
              <w:ind w:firstLine="0" w:firstLineChars="0"/>
              <w:jc w:val="center"/>
              <w:rPr>
                <w:rFonts w:cs="Times New Roman"/>
                <w:sz w:val="20"/>
                <w:szCs w:val="20"/>
              </w:rPr>
            </w:pPr>
            <w:r>
              <w:drawing>
                <wp:inline distT="0" distB="0" distL="0" distR="0">
                  <wp:extent cx="1835785" cy="2442210"/>
                  <wp:effectExtent l="1588" t="0" r="0" b="0"/>
                  <wp:docPr id="6" name="图片 6" descr="C:\Users\solax\Documents\WXWork\1688857742561559\Cache\Image\2024-11\11f35390-36eb-401d-93da-5ed7b3fe7f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solax\Documents\WXWork\1688857742561559\Cache\Image\2024-11\11f35390-36eb-401d-93da-5ed7b3fe7fe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16200000">
                            <a:off x="0" y="0"/>
                            <a:ext cx="1869457" cy="2487214"/>
                          </a:xfrm>
                          <a:prstGeom prst="rect">
                            <a:avLst/>
                          </a:prstGeom>
                          <a:noFill/>
                          <a:ln>
                            <a:noFill/>
                          </a:ln>
                        </pic:spPr>
                      </pic:pic>
                    </a:graphicData>
                  </a:graphic>
                </wp:inline>
              </w:drawing>
            </w:r>
          </w:p>
        </w:tc>
        <w:tc>
          <w:tcPr>
            <w:tcW w:w="4121" w:type="dxa"/>
          </w:tcPr>
          <w:p w14:paraId="637BA8C3">
            <w:pPr>
              <w:pStyle w:val="17"/>
              <w:ind w:firstLine="0" w:firstLineChars="0"/>
              <w:jc w:val="center"/>
              <w:rPr>
                <w:rFonts w:cs="Times New Roman"/>
                <w:sz w:val="20"/>
                <w:szCs w:val="20"/>
              </w:rPr>
            </w:pPr>
            <w:r>
              <w:drawing>
                <wp:inline distT="0" distB="0" distL="0" distR="0">
                  <wp:extent cx="1854835" cy="2468245"/>
                  <wp:effectExtent l="0" t="1905" r="0" b="0"/>
                  <wp:docPr id="19" name="图片 19" descr="C:\Users\solax\Documents\WXWork\1688857742561559\Cache\Image\2024-11\2de5a899-37bc-4010-9a48-fef9319a1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solax\Documents\WXWork\1688857742561559\Cache\Image\2024-11\2de5a899-37bc-4010-9a48-fef9319a105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rot="16200000">
                            <a:off x="0" y="0"/>
                            <a:ext cx="1891670" cy="2516765"/>
                          </a:xfrm>
                          <a:prstGeom prst="rect">
                            <a:avLst/>
                          </a:prstGeom>
                          <a:noFill/>
                          <a:ln>
                            <a:noFill/>
                          </a:ln>
                        </pic:spPr>
                      </pic:pic>
                    </a:graphicData>
                  </a:graphic>
                </wp:inline>
              </w:drawing>
            </w:r>
          </w:p>
        </w:tc>
      </w:tr>
      <w:tr w14:paraId="1F217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5" w:type="dxa"/>
          </w:tcPr>
          <w:p w14:paraId="3F30DC8E">
            <w:pPr>
              <w:pStyle w:val="17"/>
              <w:ind w:firstLine="0" w:firstLineChars="0"/>
              <w:jc w:val="center"/>
              <w:rPr>
                <w:rFonts w:cs="Times New Roman"/>
                <w:sz w:val="20"/>
                <w:szCs w:val="20"/>
              </w:rPr>
            </w:pPr>
            <w:r>
              <w:drawing>
                <wp:inline distT="0" distB="0" distL="0" distR="0">
                  <wp:extent cx="1845945" cy="2456180"/>
                  <wp:effectExtent l="0" t="317" r="1587" b="1588"/>
                  <wp:docPr id="7" name="图片 7" descr="C:\Users\solax\Documents\WXWork\1688857742561559\Cache\Image\2024-11\9602ae48-0574-4c5a-92df-555cb93c58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solax\Documents\WXWork\1688857742561559\Cache\Image\2024-11\9602ae48-0574-4c5a-92df-555cb93c5848.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rot="16200000">
                            <a:off x="0" y="0"/>
                            <a:ext cx="1857467" cy="2471260"/>
                          </a:xfrm>
                          <a:prstGeom prst="rect">
                            <a:avLst/>
                          </a:prstGeom>
                          <a:noFill/>
                          <a:ln>
                            <a:noFill/>
                          </a:ln>
                        </pic:spPr>
                      </pic:pic>
                    </a:graphicData>
                  </a:graphic>
                </wp:inline>
              </w:drawing>
            </w:r>
          </w:p>
        </w:tc>
        <w:tc>
          <w:tcPr>
            <w:tcW w:w="4121" w:type="dxa"/>
          </w:tcPr>
          <w:p w14:paraId="54D9ADEF">
            <w:pPr>
              <w:pStyle w:val="17"/>
              <w:ind w:firstLine="0" w:firstLineChars="0"/>
              <w:jc w:val="center"/>
              <w:rPr>
                <w:rFonts w:cs="Times New Roman"/>
                <w:sz w:val="20"/>
                <w:szCs w:val="20"/>
              </w:rPr>
            </w:pPr>
            <w:r>
              <w:drawing>
                <wp:inline distT="0" distB="0" distL="0" distR="0">
                  <wp:extent cx="1861185" cy="2476500"/>
                  <wp:effectExtent l="0" t="2857" r="2857" b="2858"/>
                  <wp:docPr id="26" name="图片 26" descr="C:\Users\solax\Documents\WXWork\1688857742561559\Cache\Image\2024-11\497e0f59-51fe-4531-a760-75de5b72f8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solax\Documents\WXWork\1688857742561559\Cache\Image\2024-11\497e0f59-51fe-4531-a760-75de5b72f808.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rot="16200000">
                            <a:off x="0" y="0"/>
                            <a:ext cx="1888172" cy="2512113"/>
                          </a:xfrm>
                          <a:prstGeom prst="rect">
                            <a:avLst/>
                          </a:prstGeom>
                          <a:noFill/>
                          <a:ln>
                            <a:noFill/>
                          </a:ln>
                        </pic:spPr>
                      </pic:pic>
                    </a:graphicData>
                  </a:graphic>
                </wp:inline>
              </w:drawing>
            </w:r>
          </w:p>
        </w:tc>
      </w:tr>
      <w:tr w14:paraId="05A61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5" w:type="dxa"/>
          </w:tcPr>
          <w:p w14:paraId="039BC293">
            <w:pPr>
              <w:pStyle w:val="17"/>
              <w:ind w:firstLine="0" w:firstLineChars="0"/>
              <w:jc w:val="center"/>
              <w:rPr>
                <w:rFonts w:cs="Times New Roman"/>
                <w:sz w:val="20"/>
                <w:szCs w:val="20"/>
              </w:rPr>
            </w:pPr>
            <w:r>
              <w:drawing>
                <wp:inline distT="0" distB="0" distL="0" distR="0">
                  <wp:extent cx="1859280" cy="2473325"/>
                  <wp:effectExtent l="0" t="2223" r="5398" b="5397"/>
                  <wp:docPr id="46" name="图片 46" descr="C:\Users\solax\Documents\WXWork\1688857742561559\Cache\Image\2024-11\9f517881-c275-4001-9361-562f089671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C:\Users\solax\Documents\WXWork\1688857742561559\Cache\Image\2024-11\9f517881-c275-4001-9361-562f089671ea.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rot="16200000">
                            <a:off x="0" y="0"/>
                            <a:ext cx="1890828" cy="2515648"/>
                          </a:xfrm>
                          <a:prstGeom prst="rect">
                            <a:avLst/>
                          </a:prstGeom>
                          <a:noFill/>
                          <a:ln>
                            <a:noFill/>
                          </a:ln>
                        </pic:spPr>
                      </pic:pic>
                    </a:graphicData>
                  </a:graphic>
                </wp:inline>
              </w:drawing>
            </w:r>
          </w:p>
        </w:tc>
        <w:tc>
          <w:tcPr>
            <w:tcW w:w="4121" w:type="dxa"/>
          </w:tcPr>
          <w:p w14:paraId="073F4AB4">
            <w:pPr>
              <w:pStyle w:val="17"/>
              <w:ind w:firstLine="0" w:firstLineChars="0"/>
              <w:jc w:val="center"/>
              <w:rPr>
                <w:rFonts w:cs="Times New Roman"/>
                <w:sz w:val="20"/>
                <w:szCs w:val="20"/>
              </w:rPr>
            </w:pPr>
            <w:r>
              <w:drawing>
                <wp:inline distT="0" distB="0" distL="0" distR="0">
                  <wp:extent cx="1863090" cy="2478405"/>
                  <wp:effectExtent l="0" t="2858" r="953" b="952"/>
                  <wp:docPr id="27" name="图片 27" descr="C:\Users\solax\Documents\WXWork\1688857742561559\Cache\Image\2024-11\b570a336-90ac-4b35-ad73-e30c2e3d53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Users\solax\Documents\WXWork\1688857742561559\Cache\Image\2024-11\b570a336-90ac-4b35-ad73-e30c2e3d5397.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rot="16200000">
                            <a:off x="0" y="0"/>
                            <a:ext cx="1895495" cy="2521855"/>
                          </a:xfrm>
                          <a:prstGeom prst="rect">
                            <a:avLst/>
                          </a:prstGeom>
                          <a:noFill/>
                          <a:ln>
                            <a:noFill/>
                          </a:ln>
                        </pic:spPr>
                      </pic:pic>
                    </a:graphicData>
                  </a:graphic>
                </wp:inline>
              </w:drawing>
            </w:r>
          </w:p>
        </w:tc>
      </w:tr>
    </w:tbl>
    <w:p w14:paraId="3EBBC653">
      <w:pPr>
        <w:pStyle w:val="17"/>
        <w:ind w:firstLine="0" w:firstLineChars="0"/>
      </w:pPr>
      <w:r>
        <w:t>If the</w:t>
      </w:r>
      <w:r>
        <w:rPr>
          <w:rFonts w:cs="Times New Roman"/>
          <w:color w:val="000000" w:themeColor="text1"/>
          <w14:textFill>
            <w14:solidFill>
              <w14:schemeClr w14:val="tx1"/>
            </w14:solidFill>
          </w14:textFill>
        </w:rPr>
        <w:t xml:space="preserve"> power displayed on </w:t>
      </w:r>
      <w:r>
        <w:t>o</w:t>
      </w:r>
      <w:r>
        <w:rPr>
          <w:rFonts w:hint="eastAsia"/>
        </w:rPr>
        <w:t>n</w:t>
      </w:r>
      <w:r>
        <w:t>-</w:t>
      </w:r>
      <w:r>
        <w:rPr>
          <w:rFonts w:hint="eastAsia"/>
        </w:rPr>
        <w:t>grid</w:t>
      </w:r>
      <w:r>
        <w:t xml:space="preserve"> status and on meter/CT status are similar in magnitude but one is positive and the other is negative, it indicates that the installation direction of the CT/meter is incorrect. Reinstall the CT/meter in the correct direction.</w:t>
      </w:r>
    </w:p>
    <w:p w14:paraId="2ADB65A6">
      <w:pPr>
        <w:pStyle w:val="23"/>
        <w:spacing w:before="0" w:beforeAutospacing="0" w:after="0" w:afterAutospacing="0"/>
        <w:jc w:val="both"/>
        <w:rPr>
          <w:rFonts w:ascii="Calibri" w:hAnsi="Calibri" w:cs="Calibri"/>
          <w:color w:val="000000"/>
          <w:sz w:val="20"/>
          <w:szCs w:val="20"/>
        </w:rPr>
      </w:pPr>
      <w:r>
        <w:rPr>
          <w:rFonts w:ascii="Calibri" w:hAnsi="Calibri" w:cs="Calibri"/>
          <w:b/>
          <w:bCs/>
          <w:color w:val="000000"/>
          <w:sz w:val="22"/>
          <w:szCs w:val="22"/>
        </w:rPr>
        <w:t xml:space="preserve">Situation2 </w:t>
      </w:r>
      <w:r>
        <w:rPr>
          <w:rFonts w:ascii="Calibri" w:hAnsi="Calibri" w:cs="Calibri"/>
          <w:color w:val="000000"/>
          <w:sz w:val="20"/>
          <w:szCs w:val="20"/>
        </w:rPr>
        <w:t>&lt;EVC communicates with CT/Meter&gt;</w:t>
      </w:r>
    </w:p>
    <w:p w14:paraId="6D200F3B">
      <w:pPr>
        <w:pStyle w:val="17"/>
        <w:ind w:firstLine="0" w:firstLineChars="0"/>
        <w:rPr>
          <w:szCs w:val="21"/>
        </w:rPr>
      </w:pPr>
      <w:r>
        <w:rPr>
          <w:rFonts w:cs="Times New Roman"/>
          <w:szCs w:val="21"/>
        </w:rPr>
        <w:t xml:space="preserve">When the EVC communicates with a meter/CT, </w:t>
      </w:r>
      <w:r>
        <w:rPr>
          <w:rFonts w:hint="eastAsia" w:cs="Times New Roman"/>
          <w:szCs w:val="21"/>
          <w:lang w:val="en-US" w:eastAsia="zh-CN"/>
        </w:rPr>
        <w:t>t</w:t>
      </w:r>
      <w:r>
        <w:rPr>
          <w:szCs w:val="21"/>
        </w:rPr>
        <w:t>he EVC directly obtains</w:t>
      </w:r>
      <w:r>
        <w:rPr>
          <w:rFonts w:cs="Times New Roman"/>
          <w:color w:val="000000" w:themeColor="text1"/>
          <w:szCs w:val="21"/>
          <w14:textFill>
            <w14:solidFill>
              <w14:schemeClr w14:val="tx1"/>
            </w14:solidFill>
          </w14:textFill>
        </w:rPr>
        <w:t xml:space="preserve"> the data</w:t>
      </w:r>
      <w:r>
        <w:rPr>
          <w:rFonts w:hint="eastAsia" w:cs="Times New Roman"/>
          <w:color w:val="000000" w:themeColor="text1"/>
          <w:szCs w:val="21"/>
          <w14:textFill>
            <w14:solidFill>
              <w14:schemeClr w14:val="tx1"/>
            </w14:solidFill>
          </w14:textFill>
        </w:rPr>
        <w:t xml:space="preserve"> </w:t>
      </w:r>
      <w:r>
        <w:rPr>
          <w:rFonts w:cs="Times New Roman"/>
          <w:color w:val="000000" w:themeColor="text1"/>
          <w:szCs w:val="21"/>
          <w14:textFill>
            <w14:solidFill>
              <w14:schemeClr w14:val="tx1"/>
            </w14:solidFill>
          </w14:textFill>
        </w:rPr>
        <w:t xml:space="preserve">of </w:t>
      </w:r>
      <w:r>
        <w:rPr>
          <w:rFonts w:hint="eastAsia" w:cs="Times New Roman"/>
          <w:color w:val="000000" w:themeColor="text1"/>
          <w:szCs w:val="21"/>
          <w14:textFill>
            <w14:solidFill>
              <w14:schemeClr w14:val="tx1"/>
            </w14:solidFill>
          </w14:textFill>
        </w:rPr>
        <w:t>the</w:t>
      </w:r>
      <w:r>
        <w:rPr>
          <w:rFonts w:cs="Times New Roman"/>
          <w:color w:val="000000" w:themeColor="text1"/>
          <w:szCs w:val="21"/>
          <w14:textFill>
            <w14:solidFill>
              <w14:schemeClr w14:val="tx1"/>
            </w14:solidFill>
          </w14:textFill>
        </w:rPr>
        <w:t xml:space="preserve"> grid connection point </w:t>
      </w:r>
      <w:r>
        <w:rPr>
          <w:szCs w:val="21"/>
        </w:rPr>
        <w:t xml:space="preserve">from the meter/CT. </w:t>
      </w:r>
    </w:p>
    <w:p w14:paraId="7D5AE08B">
      <w:pPr>
        <w:pStyle w:val="17"/>
        <w:ind w:firstLine="0" w:firstLineChars="0"/>
        <w:rPr>
          <w:rFonts w:cs="Times New Roman"/>
          <w:sz w:val="20"/>
          <w:szCs w:val="20"/>
        </w:rPr>
      </w:pPr>
      <w:r>
        <w:t xml:space="preserve">Step1: Ensure that the CT/meter is connected to the </w:t>
      </w:r>
      <w:r>
        <w:rPr>
          <w:rFonts w:cs="Times New Roman"/>
          <w:color w:val="000000" w:themeColor="text1"/>
          <w14:textFill>
            <w14:solidFill>
              <w14:schemeClr w14:val="tx1"/>
            </w14:solidFill>
          </w14:textFill>
        </w:rPr>
        <w:t>grid connection point.</w:t>
      </w:r>
    </w:p>
    <w:p w14:paraId="689E2BF5">
      <w:pPr>
        <w:rPr>
          <w:rFonts w:cs="Times New Roman"/>
          <w:color w:val="000000" w:themeColor="text1"/>
          <w14:textFill>
            <w14:solidFill>
              <w14:schemeClr w14:val="tx1"/>
            </w14:solidFill>
          </w14:textFill>
        </w:rPr>
      </w:pPr>
      <w:r>
        <w:t>Step2: When using a CT, confirm that the arrow on the CT is pointing toward the grid.</w:t>
      </w:r>
    </w:p>
    <w:p w14:paraId="41109713">
      <w:pPr>
        <w:jc w:val="center"/>
        <w:rPr>
          <w:rFonts w:cs="Times New Roman"/>
          <w:color w:val="000000" w:themeColor="text1"/>
          <w14:textFill>
            <w14:solidFill>
              <w14:schemeClr w14:val="tx1"/>
            </w14:solidFill>
          </w14:textFill>
        </w:rPr>
      </w:pPr>
      <w:r>
        <w:drawing>
          <wp:inline distT="0" distB="0" distL="0" distR="0">
            <wp:extent cx="2910205" cy="1140460"/>
            <wp:effectExtent l="0" t="0" r="4445" b="2540"/>
            <wp:docPr id="5" name="图片 5" descr="C:\Users\solax\Documents\WXWork\1688857742561559\Cache\Image\2024-11\企业微信截图_17325040912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solax\Documents\WXWork\1688857742561559\Cache\Image\2024-11\企业微信截图_1732504091215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962523" cy="1161022"/>
                    </a:xfrm>
                    <a:prstGeom prst="rect">
                      <a:avLst/>
                    </a:prstGeom>
                    <a:noFill/>
                    <a:ln>
                      <a:noFill/>
                    </a:ln>
                  </pic:spPr>
                </pic:pic>
              </a:graphicData>
            </a:graphic>
          </wp:inline>
        </w:drawing>
      </w:r>
    </w:p>
    <w:p w14:paraId="70D583F9">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When using a meter, ensure the grid side of the meter is pointing toward the grid. (For fusion version, it can only use CT)</w:t>
      </w:r>
    </w:p>
    <w:p w14:paraId="48BA6BC6">
      <w:pPr>
        <w:pStyle w:val="17"/>
        <w:ind w:firstLine="0" w:firstLineChars="0"/>
        <w:jc w:val="center"/>
        <w:rPr>
          <w:rFonts w:cs="Times New Roman"/>
          <w:b/>
          <w:sz w:val="20"/>
          <w:szCs w:val="20"/>
        </w:rPr>
      </w:pPr>
      <w:r>
        <w:drawing>
          <wp:inline distT="0" distB="0" distL="0" distR="0">
            <wp:extent cx="3870960" cy="79819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3928109" cy="810119"/>
                    </a:xfrm>
                    <a:prstGeom prst="rect">
                      <a:avLst/>
                    </a:prstGeom>
                  </pic:spPr>
                </pic:pic>
              </a:graphicData>
            </a:graphic>
          </wp:inline>
        </w:drawing>
      </w:r>
    </w:p>
    <w:p w14:paraId="323678E8">
      <w:pPr>
        <w:spacing w:line="360" w:lineRule="auto"/>
        <w:jc w:val="left"/>
        <w:rPr>
          <w:rFonts w:ascii="Calibri" w:hAnsi="Calibri" w:cs="Calibri"/>
          <w:b/>
          <w:color w:val="C55E10"/>
          <w:sz w:val="24"/>
          <w:szCs w:val="24"/>
        </w:rPr>
      </w:pPr>
      <w:r>
        <w:rPr>
          <w:rFonts w:hint="eastAsia" w:ascii="Calibri" w:hAnsi="Calibri" w:cs="Calibri"/>
          <w:b/>
          <w:color w:val="C55E10"/>
          <w:sz w:val="24"/>
          <w:szCs w:val="24"/>
        </w:rPr>
        <w:t>Information check list</w:t>
      </w:r>
    </w:p>
    <w:p w14:paraId="036380E9">
      <w:pPr>
        <w:rPr>
          <w:rFonts w:cs="Times New Roman"/>
          <w:szCs w:val="21"/>
        </w:rPr>
      </w:pPr>
      <w:r>
        <w:rPr>
          <w:rFonts w:hint="eastAsia" w:cs="Times New Roman"/>
          <w:szCs w:val="21"/>
        </w:rPr>
        <w:t>If you have completed the above &lt;Guidance for installer&gt;, and the problem is still not solved, please collect the following troubleshooting information and send them to the R&amp;D.</w:t>
      </w:r>
    </w:p>
    <w:p w14:paraId="1BF317B5">
      <w:r>
        <w:t>1</w:t>
      </w:r>
      <w:r>
        <w:rPr>
          <w:rFonts w:hint="eastAsia"/>
        </w:rPr>
        <w:t>.</w:t>
      </w:r>
      <w:r>
        <w:t>[Photo]EVC information including SN and registration numbers.</w:t>
      </w:r>
    </w:p>
    <w:p w14:paraId="0F543112">
      <w:pPr>
        <w:jc w:val="center"/>
      </w:pPr>
      <w:r>
        <w:drawing>
          <wp:inline distT="0" distB="0" distL="0" distR="0">
            <wp:extent cx="1947545" cy="2656840"/>
            <wp:effectExtent l="0" t="0" r="0" b="0"/>
            <wp:docPr id="24" name="图片 24" descr="C:\Users\solax\AppData\Local\Temp\企业微信截图_173261078272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solax\AppData\Local\Temp\企业微信截图_17326107827267.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989924" cy="2714196"/>
                    </a:xfrm>
                    <a:prstGeom prst="rect">
                      <a:avLst/>
                    </a:prstGeom>
                    <a:noFill/>
                    <a:ln>
                      <a:noFill/>
                    </a:ln>
                  </pic:spPr>
                </pic:pic>
              </a:graphicData>
            </a:graphic>
          </wp:inline>
        </w:drawing>
      </w:r>
    </w:p>
    <w:p w14:paraId="37B8BD86">
      <w:r>
        <w:t>2</w:t>
      </w:r>
      <w:r>
        <w:rPr>
          <w:rFonts w:hint="eastAsia"/>
        </w:rPr>
        <w:t>.</w:t>
      </w:r>
      <w:r>
        <w:t>[Photo]Current level setting in green mode.</w:t>
      </w:r>
    </w:p>
    <w:p w14:paraId="06DA2813">
      <w:pPr>
        <w:jc w:val="center"/>
      </w:pPr>
      <w:r>
        <w:drawing>
          <wp:inline distT="0" distB="0" distL="0" distR="0">
            <wp:extent cx="2938145" cy="66992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
                    <a:stretch>
                      <a:fillRect/>
                    </a:stretch>
                  </pic:blipFill>
                  <pic:spPr>
                    <a:xfrm>
                      <a:off x="0" y="0"/>
                      <a:ext cx="3057483" cy="697560"/>
                    </a:xfrm>
                    <a:prstGeom prst="rect">
                      <a:avLst/>
                    </a:prstGeom>
                  </pic:spPr>
                </pic:pic>
              </a:graphicData>
            </a:graphic>
          </wp:inline>
        </w:drawing>
      </w:r>
    </w:p>
    <w:p w14:paraId="6714F986">
      <w:r>
        <w:t>3</w:t>
      </w:r>
      <w:r>
        <w:rPr>
          <w:rFonts w:hint="eastAsia"/>
        </w:rPr>
        <w:t>.</w:t>
      </w:r>
      <w:r>
        <w:t>[Photo]Boost settings.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30111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6AADE02">
            <w:pPr>
              <w:jc w:val="center"/>
              <w:rPr>
                <w:rFonts w:eastAsia="微软雅黑" w:cs="Times New Roman"/>
                <w:i/>
                <w:color w:val="0070C0"/>
                <w:sz w:val="24"/>
                <w:szCs w:val="24"/>
              </w:rPr>
            </w:pPr>
            <w:r>
              <w:rPr>
                <w:rFonts w:hint="eastAsia" w:cs="Times New Roman"/>
                <w:szCs w:val="21"/>
              </w:rPr>
              <w:t>T</w:t>
            </w:r>
            <w:r>
              <w:rPr>
                <w:rFonts w:cs="Times New Roman"/>
                <w:szCs w:val="21"/>
              </w:rPr>
              <w:t>imed Boost</w:t>
            </w:r>
          </w:p>
        </w:tc>
        <w:tc>
          <w:tcPr>
            <w:tcW w:w="4148" w:type="dxa"/>
          </w:tcPr>
          <w:p w14:paraId="74A0B171">
            <w:pPr>
              <w:jc w:val="center"/>
              <w:rPr>
                <w:rFonts w:eastAsia="微软雅黑" w:cs="Times New Roman"/>
                <w:i/>
                <w:color w:val="0070C0"/>
                <w:sz w:val="24"/>
                <w:szCs w:val="24"/>
              </w:rPr>
            </w:pPr>
            <w:r>
              <w:rPr>
                <w:rFonts w:cs="Times New Roman"/>
                <w:color w:val="000000" w:themeColor="text1"/>
                <w14:textFill>
                  <w14:solidFill>
                    <w14:schemeClr w14:val="tx1"/>
                  </w14:solidFill>
                </w14:textFill>
              </w:rPr>
              <w:t>Smart Boost</w:t>
            </w:r>
          </w:p>
        </w:tc>
      </w:tr>
      <w:tr w14:paraId="088B8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A109126">
            <w:pPr>
              <w:jc w:val="center"/>
              <w:rPr>
                <w:rFonts w:eastAsia="微软雅黑" w:cs="Times New Roman"/>
                <w:i/>
                <w:color w:val="0070C0"/>
                <w:sz w:val="24"/>
                <w:szCs w:val="24"/>
              </w:rPr>
            </w:pPr>
            <w:r>
              <w:t xml:space="preserve"> </w:t>
            </w:r>
            <w:r>
              <w:drawing>
                <wp:inline distT="0" distB="0" distL="0" distR="0">
                  <wp:extent cx="2359025" cy="1870710"/>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2427063" cy="1924583"/>
                          </a:xfrm>
                          <a:prstGeom prst="rect">
                            <a:avLst/>
                          </a:prstGeom>
                        </pic:spPr>
                      </pic:pic>
                    </a:graphicData>
                  </a:graphic>
                </wp:inline>
              </w:drawing>
            </w:r>
          </w:p>
        </w:tc>
        <w:tc>
          <w:tcPr>
            <w:tcW w:w="4148" w:type="dxa"/>
          </w:tcPr>
          <w:p w14:paraId="5DDC1F58">
            <w:pPr>
              <w:jc w:val="center"/>
              <w:rPr>
                <w:rFonts w:eastAsia="微软雅黑" w:cs="Times New Roman"/>
                <w:i/>
                <w:color w:val="0070C0"/>
                <w:sz w:val="24"/>
                <w:szCs w:val="24"/>
              </w:rPr>
            </w:pPr>
            <w:r>
              <w:drawing>
                <wp:inline distT="0" distB="0" distL="0" distR="0">
                  <wp:extent cx="2250440" cy="187960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2276072" cy="1901189"/>
                          </a:xfrm>
                          <a:prstGeom prst="rect">
                            <a:avLst/>
                          </a:prstGeom>
                        </pic:spPr>
                      </pic:pic>
                    </a:graphicData>
                  </a:graphic>
                </wp:inline>
              </w:drawing>
            </w:r>
          </w:p>
        </w:tc>
      </w:tr>
    </w:tbl>
    <w:p w14:paraId="35300037">
      <w:r>
        <w:t>4</w:t>
      </w:r>
      <w:r>
        <w:rPr>
          <w:rFonts w:hint="eastAsia"/>
        </w:rPr>
        <w:t>.</w:t>
      </w:r>
      <w:r>
        <w:t>[Photo]Reservation setting.</w:t>
      </w:r>
    </w:p>
    <w:p w14:paraId="44D5EB75">
      <w:pPr>
        <w:jc w:val="center"/>
      </w:pPr>
      <w:r>
        <w:drawing>
          <wp:inline distT="0" distB="0" distL="0" distR="0">
            <wp:extent cx="2885440" cy="164592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7"/>
                    <a:stretch>
                      <a:fillRect/>
                    </a:stretch>
                  </pic:blipFill>
                  <pic:spPr>
                    <a:xfrm>
                      <a:off x="0" y="0"/>
                      <a:ext cx="2917477" cy="1663869"/>
                    </a:xfrm>
                    <a:prstGeom prst="rect">
                      <a:avLst/>
                    </a:prstGeom>
                  </pic:spPr>
                </pic:pic>
              </a:graphicData>
            </a:graphic>
          </wp:inline>
        </w:drawing>
      </w:r>
    </w:p>
    <w:p w14:paraId="5DD876F7">
      <w:r>
        <w:t>5</w:t>
      </w:r>
      <w:r>
        <w:rPr>
          <w:rFonts w:hint="eastAsia"/>
        </w:rPr>
        <w:t>.</w:t>
      </w:r>
      <w:r>
        <w:t>[Photo] Meter/CT</w:t>
      </w:r>
      <w:r>
        <w:rPr>
          <w:rFonts w:hint="eastAsia"/>
        </w:rPr>
        <w:t xml:space="preserve"> </w:t>
      </w:r>
      <w:r>
        <w:t xml:space="preserve">status and on-grid status on the inverter after </w:t>
      </w:r>
      <w:r>
        <w:rPr>
          <w:rFonts w:cs="Times New Roman"/>
          <w:sz w:val="20"/>
          <w:szCs w:val="20"/>
        </w:rPr>
        <w:t xml:space="preserve">turning off all the loads and setting the inverter to forced charge mode </w:t>
      </w:r>
      <w:r>
        <w:t>when EVC communicates with inverter.</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5"/>
        <w:gridCol w:w="4121"/>
      </w:tblGrid>
      <w:tr w14:paraId="4D66F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5" w:type="dxa"/>
          </w:tcPr>
          <w:p w14:paraId="55B23F30">
            <w:pPr>
              <w:pStyle w:val="17"/>
              <w:ind w:firstLine="0" w:firstLineChars="0"/>
              <w:jc w:val="center"/>
              <w:rPr>
                <w:rFonts w:cs="Times New Roman"/>
                <w:sz w:val="20"/>
                <w:szCs w:val="20"/>
              </w:rPr>
            </w:pPr>
            <w:r>
              <w:t>O</w:t>
            </w:r>
            <w:r>
              <w:rPr>
                <w:rFonts w:hint="eastAsia"/>
              </w:rPr>
              <w:t>n</w:t>
            </w:r>
            <w:r>
              <w:t>-</w:t>
            </w:r>
            <w:r>
              <w:rPr>
                <w:rFonts w:hint="eastAsia"/>
              </w:rPr>
              <w:t>grid</w:t>
            </w:r>
            <w:r>
              <w:t xml:space="preserve"> status</w:t>
            </w:r>
            <w:r>
              <w:rPr>
                <w:rFonts w:cs="Times New Roman"/>
                <w:sz w:val="20"/>
                <w:szCs w:val="20"/>
              </w:rPr>
              <w:t xml:space="preserve"> </w:t>
            </w:r>
            <w:r>
              <w:rPr>
                <w:rFonts w:hint="eastAsia" w:cs="Times New Roman"/>
                <w:sz w:val="20"/>
                <w:szCs w:val="20"/>
              </w:rPr>
              <w:t>on</w:t>
            </w:r>
            <w:r>
              <w:rPr>
                <w:rFonts w:cs="Times New Roman"/>
                <w:sz w:val="20"/>
                <w:szCs w:val="20"/>
              </w:rPr>
              <w:t xml:space="preserve"> the inverter</w:t>
            </w:r>
          </w:p>
        </w:tc>
        <w:tc>
          <w:tcPr>
            <w:tcW w:w="4121" w:type="dxa"/>
          </w:tcPr>
          <w:p w14:paraId="2F9D7524">
            <w:pPr>
              <w:pStyle w:val="17"/>
              <w:ind w:firstLine="0" w:firstLineChars="0"/>
              <w:jc w:val="center"/>
            </w:pPr>
            <w:r>
              <w:rPr>
                <w:rFonts w:hint="eastAsia"/>
              </w:rPr>
              <w:t>M</w:t>
            </w:r>
            <w:r>
              <w:t>eter/CT power measured on the inverter</w:t>
            </w:r>
          </w:p>
        </w:tc>
      </w:tr>
      <w:tr w14:paraId="1613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5" w:type="dxa"/>
          </w:tcPr>
          <w:p w14:paraId="4BC73803">
            <w:pPr>
              <w:pStyle w:val="17"/>
              <w:ind w:firstLine="0" w:firstLineChars="0"/>
              <w:jc w:val="center"/>
              <w:rPr>
                <w:rFonts w:cs="Times New Roman"/>
                <w:sz w:val="20"/>
                <w:szCs w:val="20"/>
              </w:rPr>
            </w:pPr>
            <w:r>
              <w:drawing>
                <wp:inline distT="0" distB="0" distL="0" distR="0">
                  <wp:extent cx="1835785" cy="2442210"/>
                  <wp:effectExtent l="1588" t="0" r="0" b="0"/>
                  <wp:docPr id="22" name="图片 22" descr="C:\Users\solax\Documents\WXWork\1688857742561559\Cache\Image\2024-11\11f35390-36eb-401d-93da-5ed7b3fe7f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solax\Documents\WXWork\1688857742561559\Cache\Image\2024-11\11f35390-36eb-401d-93da-5ed7b3fe7fe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16200000">
                            <a:off x="0" y="0"/>
                            <a:ext cx="1869457" cy="2487214"/>
                          </a:xfrm>
                          <a:prstGeom prst="rect">
                            <a:avLst/>
                          </a:prstGeom>
                          <a:noFill/>
                          <a:ln>
                            <a:noFill/>
                          </a:ln>
                        </pic:spPr>
                      </pic:pic>
                    </a:graphicData>
                  </a:graphic>
                </wp:inline>
              </w:drawing>
            </w:r>
          </w:p>
        </w:tc>
        <w:tc>
          <w:tcPr>
            <w:tcW w:w="4121" w:type="dxa"/>
          </w:tcPr>
          <w:p w14:paraId="2BE43BF9">
            <w:pPr>
              <w:pStyle w:val="17"/>
              <w:ind w:firstLine="0" w:firstLineChars="0"/>
              <w:jc w:val="center"/>
              <w:rPr>
                <w:rFonts w:cs="Times New Roman"/>
                <w:sz w:val="20"/>
                <w:szCs w:val="20"/>
              </w:rPr>
            </w:pPr>
            <w:r>
              <w:drawing>
                <wp:inline distT="0" distB="0" distL="0" distR="0">
                  <wp:extent cx="1854835" cy="2468245"/>
                  <wp:effectExtent l="0" t="1905" r="0" b="0"/>
                  <wp:docPr id="25" name="图片 25" descr="C:\Users\solax\Documents\WXWork\1688857742561559\Cache\Image\2024-11\2de5a899-37bc-4010-9a48-fef9319a1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Users\solax\Documents\WXWork\1688857742561559\Cache\Image\2024-11\2de5a899-37bc-4010-9a48-fef9319a105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rot="16200000">
                            <a:off x="0" y="0"/>
                            <a:ext cx="1891670" cy="2516765"/>
                          </a:xfrm>
                          <a:prstGeom prst="rect">
                            <a:avLst/>
                          </a:prstGeom>
                          <a:noFill/>
                          <a:ln>
                            <a:noFill/>
                          </a:ln>
                        </pic:spPr>
                      </pic:pic>
                    </a:graphicData>
                  </a:graphic>
                </wp:inline>
              </w:drawing>
            </w:r>
          </w:p>
        </w:tc>
      </w:tr>
      <w:tr w14:paraId="0F05D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5" w:type="dxa"/>
          </w:tcPr>
          <w:p w14:paraId="3A0BD4B2">
            <w:pPr>
              <w:pStyle w:val="17"/>
              <w:ind w:firstLine="0" w:firstLineChars="0"/>
              <w:jc w:val="center"/>
              <w:rPr>
                <w:rFonts w:cs="Times New Roman"/>
                <w:sz w:val="20"/>
                <w:szCs w:val="20"/>
              </w:rPr>
            </w:pPr>
            <w:r>
              <w:drawing>
                <wp:inline distT="0" distB="0" distL="0" distR="0">
                  <wp:extent cx="1845945" cy="2456180"/>
                  <wp:effectExtent l="0" t="317" r="1587" b="1588"/>
                  <wp:docPr id="29" name="图片 29" descr="C:\Users\solax\Documents\WXWork\1688857742561559\Cache\Image\2024-11\9602ae48-0574-4c5a-92df-555cb93c58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solax\Documents\WXWork\1688857742561559\Cache\Image\2024-11\9602ae48-0574-4c5a-92df-555cb93c5848.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rot="16200000">
                            <a:off x="0" y="0"/>
                            <a:ext cx="1857467" cy="2471260"/>
                          </a:xfrm>
                          <a:prstGeom prst="rect">
                            <a:avLst/>
                          </a:prstGeom>
                          <a:noFill/>
                          <a:ln>
                            <a:noFill/>
                          </a:ln>
                        </pic:spPr>
                      </pic:pic>
                    </a:graphicData>
                  </a:graphic>
                </wp:inline>
              </w:drawing>
            </w:r>
          </w:p>
        </w:tc>
        <w:tc>
          <w:tcPr>
            <w:tcW w:w="4121" w:type="dxa"/>
          </w:tcPr>
          <w:p w14:paraId="693E37E3">
            <w:pPr>
              <w:pStyle w:val="17"/>
              <w:ind w:firstLine="0" w:firstLineChars="0"/>
              <w:jc w:val="center"/>
              <w:rPr>
                <w:rFonts w:cs="Times New Roman"/>
                <w:sz w:val="20"/>
                <w:szCs w:val="20"/>
              </w:rPr>
            </w:pPr>
            <w:r>
              <w:drawing>
                <wp:inline distT="0" distB="0" distL="0" distR="0">
                  <wp:extent cx="1861185" cy="2476500"/>
                  <wp:effectExtent l="0" t="2857" r="2857" b="2858"/>
                  <wp:docPr id="30" name="图片 30" descr="C:\Users\solax\Documents\WXWork\1688857742561559\Cache\Image\2024-11\497e0f59-51fe-4531-a760-75de5b72f8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solax\Documents\WXWork\1688857742561559\Cache\Image\2024-11\497e0f59-51fe-4531-a760-75de5b72f808.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rot="16200000">
                            <a:off x="0" y="0"/>
                            <a:ext cx="1888172" cy="2512113"/>
                          </a:xfrm>
                          <a:prstGeom prst="rect">
                            <a:avLst/>
                          </a:prstGeom>
                          <a:noFill/>
                          <a:ln>
                            <a:noFill/>
                          </a:ln>
                        </pic:spPr>
                      </pic:pic>
                    </a:graphicData>
                  </a:graphic>
                </wp:inline>
              </w:drawing>
            </w:r>
          </w:p>
        </w:tc>
      </w:tr>
      <w:tr w14:paraId="6242D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5" w:type="dxa"/>
          </w:tcPr>
          <w:p w14:paraId="01FB5182">
            <w:pPr>
              <w:pStyle w:val="17"/>
              <w:ind w:firstLine="0" w:firstLineChars="0"/>
              <w:jc w:val="center"/>
              <w:rPr>
                <w:rFonts w:cs="Times New Roman"/>
                <w:sz w:val="20"/>
                <w:szCs w:val="20"/>
              </w:rPr>
            </w:pPr>
            <w:r>
              <w:drawing>
                <wp:inline distT="0" distB="0" distL="0" distR="0">
                  <wp:extent cx="1828800" cy="2433320"/>
                  <wp:effectExtent l="2540" t="0" r="2540" b="2540"/>
                  <wp:docPr id="34" name="图片 34" descr="C:\Users\solax\Documents\WXWork\1688857742561559\Cache\Image\2024-11\9f517881-c275-4001-9361-562f089671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Users\solax\Documents\WXWork\1688857742561559\Cache\Image\2024-11\9f517881-c275-4001-9361-562f089671ea.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rot="16200000">
                            <a:off x="0" y="0"/>
                            <a:ext cx="1858500" cy="2472638"/>
                          </a:xfrm>
                          <a:prstGeom prst="rect">
                            <a:avLst/>
                          </a:prstGeom>
                          <a:noFill/>
                          <a:ln>
                            <a:noFill/>
                          </a:ln>
                        </pic:spPr>
                      </pic:pic>
                    </a:graphicData>
                  </a:graphic>
                </wp:inline>
              </w:drawing>
            </w:r>
          </w:p>
        </w:tc>
        <w:tc>
          <w:tcPr>
            <w:tcW w:w="4121" w:type="dxa"/>
          </w:tcPr>
          <w:p w14:paraId="35C2BB2F">
            <w:pPr>
              <w:pStyle w:val="17"/>
              <w:ind w:firstLine="0" w:firstLineChars="0"/>
              <w:jc w:val="center"/>
              <w:rPr>
                <w:rFonts w:cs="Times New Roman"/>
                <w:sz w:val="20"/>
                <w:szCs w:val="20"/>
              </w:rPr>
            </w:pPr>
            <w:r>
              <w:drawing>
                <wp:inline distT="0" distB="0" distL="0" distR="0">
                  <wp:extent cx="1863090" cy="2478405"/>
                  <wp:effectExtent l="0" t="2858" r="953" b="952"/>
                  <wp:docPr id="38" name="图片 38" descr="C:\Users\solax\Documents\WXWork\1688857742561559\Cache\Image\2024-11\b570a336-90ac-4b35-ad73-e30c2e3d53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Users\solax\Documents\WXWork\1688857742561559\Cache\Image\2024-11\b570a336-90ac-4b35-ad73-e30c2e3d5397.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rot="16200000">
                            <a:off x="0" y="0"/>
                            <a:ext cx="1895495" cy="2521855"/>
                          </a:xfrm>
                          <a:prstGeom prst="rect">
                            <a:avLst/>
                          </a:prstGeom>
                          <a:noFill/>
                          <a:ln>
                            <a:noFill/>
                          </a:ln>
                        </pic:spPr>
                      </pic:pic>
                    </a:graphicData>
                  </a:graphic>
                </wp:inline>
              </w:drawing>
            </w:r>
          </w:p>
        </w:tc>
      </w:tr>
    </w:tbl>
    <w:p w14:paraId="28CD7549">
      <w:r>
        <w:t>6</w:t>
      </w:r>
      <w:r>
        <w:rPr>
          <w:rFonts w:hint="eastAsia"/>
        </w:rPr>
        <w:t>.</w:t>
      </w:r>
      <w:r>
        <w:t>[Photo]CT position and direction when EVC communicates with meter/CT.</w:t>
      </w:r>
    </w:p>
    <w:p w14:paraId="1BEFE66A">
      <w:pPr>
        <w:jc w:val="center"/>
      </w:pPr>
      <w:r>
        <w:drawing>
          <wp:inline distT="0" distB="0" distL="0" distR="0">
            <wp:extent cx="2910205" cy="1140460"/>
            <wp:effectExtent l="0" t="0" r="4445" b="2540"/>
            <wp:docPr id="18" name="图片 18" descr="C:\Users\solax\Documents\WXWork\1688857742561559\Cache\Image\2024-11\企业微信截图_17325040912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solax\Documents\WXWork\1688857742561559\Cache\Image\2024-11\企业微信截图_1732504091215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962523" cy="1161022"/>
                    </a:xfrm>
                    <a:prstGeom prst="rect">
                      <a:avLst/>
                    </a:prstGeom>
                    <a:noFill/>
                    <a:ln>
                      <a:noFill/>
                    </a:ln>
                  </pic:spPr>
                </pic:pic>
              </a:graphicData>
            </a:graphic>
          </wp:inline>
        </w:drawing>
      </w:r>
    </w:p>
    <w:p w14:paraId="3F76D24A">
      <w:r>
        <w:t>7</w:t>
      </w:r>
      <w:r>
        <w:rPr>
          <w:rFonts w:hint="eastAsia"/>
        </w:rPr>
        <w:t>.</w:t>
      </w:r>
      <w:r>
        <w:t>[Photo]Meter position and direction when EVC communicates with meter/CT.</w:t>
      </w:r>
    </w:p>
    <w:p w14:paraId="40D392D6">
      <w:pPr>
        <w:jc w:val="center"/>
      </w:pPr>
      <w:r>
        <w:drawing>
          <wp:inline distT="0" distB="0" distL="0" distR="0">
            <wp:extent cx="3870960" cy="798195"/>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5"/>
                    <a:stretch>
                      <a:fillRect/>
                    </a:stretch>
                  </pic:blipFill>
                  <pic:spPr>
                    <a:xfrm>
                      <a:off x="0" y="0"/>
                      <a:ext cx="3928109" cy="810119"/>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Segoe UI Symbol">
    <w:panose1 w:val="020B0502040204020203"/>
    <w:charset w:val="00"/>
    <w:family w:val="swiss"/>
    <w:pitch w:val="default"/>
    <w:sig w:usb0="800001E3" w:usb1="1200FFEF" w:usb2="00040000" w:usb3="04000000"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s>
  <w:rsids>
    <w:rsidRoot w:val="0034442F"/>
    <w:rsid w:val="000008A7"/>
    <w:rsid w:val="00005FD3"/>
    <w:rsid w:val="00014380"/>
    <w:rsid w:val="00014522"/>
    <w:rsid w:val="00020E9B"/>
    <w:rsid w:val="0002290C"/>
    <w:rsid w:val="0002576A"/>
    <w:rsid w:val="00025C19"/>
    <w:rsid w:val="00035226"/>
    <w:rsid w:val="00044BDA"/>
    <w:rsid w:val="000528F1"/>
    <w:rsid w:val="00053C91"/>
    <w:rsid w:val="00055B81"/>
    <w:rsid w:val="000628A8"/>
    <w:rsid w:val="00065404"/>
    <w:rsid w:val="00067230"/>
    <w:rsid w:val="000729FC"/>
    <w:rsid w:val="00083F0B"/>
    <w:rsid w:val="000875FA"/>
    <w:rsid w:val="000916FE"/>
    <w:rsid w:val="00091AD4"/>
    <w:rsid w:val="00097538"/>
    <w:rsid w:val="000A05BD"/>
    <w:rsid w:val="000A0631"/>
    <w:rsid w:val="000A4FF9"/>
    <w:rsid w:val="000B306A"/>
    <w:rsid w:val="000B7EEC"/>
    <w:rsid w:val="000C3104"/>
    <w:rsid w:val="000C5C2F"/>
    <w:rsid w:val="000D374D"/>
    <w:rsid w:val="000D665D"/>
    <w:rsid w:val="000E24A0"/>
    <w:rsid w:val="000E3130"/>
    <w:rsid w:val="000F0FBF"/>
    <w:rsid w:val="000F4087"/>
    <w:rsid w:val="000F5E13"/>
    <w:rsid w:val="000F7D26"/>
    <w:rsid w:val="00101023"/>
    <w:rsid w:val="00104AAB"/>
    <w:rsid w:val="00107AF7"/>
    <w:rsid w:val="0011133A"/>
    <w:rsid w:val="00115C2C"/>
    <w:rsid w:val="00116B30"/>
    <w:rsid w:val="00122D53"/>
    <w:rsid w:val="00123BB5"/>
    <w:rsid w:val="001341EF"/>
    <w:rsid w:val="0013522A"/>
    <w:rsid w:val="001358DE"/>
    <w:rsid w:val="00135BF9"/>
    <w:rsid w:val="00144E72"/>
    <w:rsid w:val="00153392"/>
    <w:rsid w:val="00160450"/>
    <w:rsid w:val="0016241B"/>
    <w:rsid w:val="00163B11"/>
    <w:rsid w:val="00164EEE"/>
    <w:rsid w:val="00167B83"/>
    <w:rsid w:val="00167F63"/>
    <w:rsid w:val="00171ADE"/>
    <w:rsid w:val="00175087"/>
    <w:rsid w:val="00181F9A"/>
    <w:rsid w:val="0018232F"/>
    <w:rsid w:val="00185D8B"/>
    <w:rsid w:val="0018667C"/>
    <w:rsid w:val="00187A25"/>
    <w:rsid w:val="00194854"/>
    <w:rsid w:val="00197366"/>
    <w:rsid w:val="001A2BDB"/>
    <w:rsid w:val="001A2D9B"/>
    <w:rsid w:val="001A6DE8"/>
    <w:rsid w:val="001B48F0"/>
    <w:rsid w:val="001B56DC"/>
    <w:rsid w:val="001B7BC6"/>
    <w:rsid w:val="001C1384"/>
    <w:rsid w:val="001C2C31"/>
    <w:rsid w:val="001C3FE8"/>
    <w:rsid w:val="001C71BE"/>
    <w:rsid w:val="001D0BCE"/>
    <w:rsid w:val="001D51B5"/>
    <w:rsid w:val="001F32F4"/>
    <w:rsid w:val="001F4E8F"/>
    <w:rsid w:val="001F52E1"/>
    <w:rsid w:val="001F61E5"/>
    <w:rsid w:val="00200006"/>
    <w:rsid w:val="00201B25"/>
    <w:rsid w:val="00222579"/>
    <w:rsid w:val="00223F74"/>
    <w:rsid w:val="00235A35"/>
    <w:rsid w:val="00237261"/>
    <w:rsid w:val="00240FF2"/>
    <w:rsid w:val="0024761E"/>
    <w:rsid w:val="00250910"/>
    <w:rsid w:val="00252818"/>
    <w:rsid w:val="00261D91"/>
    <w:rsid w:val="00264548"/>
    <w:rsid w:val="00267102"/>
    <w:rsid w:val="002756AA"/>
    <w:rsid w:val="002804CA"/>
    <w:rsid w:val="002815EF"/>
    <w:rsid w:val="00287881"/>
    <w:rsid w:val="00287AD8"/>
    <w:rsid w:val="002905E9"/>
    <w:rsid w:val="00292DAE"/>
    <w:rsid w:val="002A23B5"/>
    <w:rsid w:val="002A35F0"/>
    <w:rsid w:val="002A585F"/>
    <w:rsid w:val="002B45DD"/>
    <w:rsid w:val="002B5FAF"/>
    <w:rsid w:val="002B75C4"/>
    <w:rsid w:val="002C2325"/>
    <w:rsid w:val="002C29FD"/>
    <w:rsid w:val="002C35C3"/>
    <w:rsid w:val="002C443A"/>
    <w:rsid w:val="002C5FDD"/>
    <w:rsid w:val="002C7D5E"/>
    <w:rsid w:val="002D1566"/>
    <w:rsid w:val="002D230E"/>
    <w:rsid w:val="002D284F"/>
    <w:rsid w:val="002D3044"/>
    <w:rsid w:val="002D339C"/>
    <w:rsid w:val="002D3C94"/>
    <w:rsid w:val="002D3FAA"/>
    <w:rsid w:val="002D635B"/>
    <w:rsid w:val="002E4BE4"/>
    <w:rsid w:val="002E7EE0"/>
    <w:rsid w:val="002F0EA4"/>
    <w:rsid w:val="002F28BA"/>
    <w:rsid w:val="002F35BB"/>
    <w:rsid w:val="002F406C"/>
    <w:rsid w:val="002F45F2"/>
    <w:rsid w:val="002F676F"/>
    <w:rsid w:val="00312198"/>
    <w:rsid w:val="00315D96"/>
    <w:rsid w:val="00317450"/>
    <w:rsid w:val="003179B4"/>
    <w:rsid w:val="003201BE"/>
    <w:rsid w:val="0032131E"/>
    <w:rsid w:val="00323A04"/>
    <w:rsid w:val="00325012"/>
    <w:rsid w:val="003323E5"/>
    <w:rsid w:val="003372D8"/>
    <w:rsid w:val="00342824"/>
    <w:rsid w:val="00342A1F"/>
    <w:rsid w:val="0034442F"/>
    <w:rsid w:val="00344463"/>
    <w:rsid w:val="00345051"/>
    <w:rsid w:val="00346F0B"/>
    <w:rsid w:val="00350E99"/>
    <w:rsid w:val="00357401"/>
    <w:rsid w:val="00357994"/>
    <w:rsid w:val="00361697"/>
    <w:rsid w:val="00361FB9"/>
    <w:rsid w:val="00367C59"/>
    <w:rsid w:val="00372EA2"/>
    <w:rsid w:val="00380798"/>
    <w:rsid w:val="00382C85"/>
    <w:rsid w:val="0038307D"/>
    <w:rsid w:val="00383EF8"/>
    <w:rsid w:val="00385074"/>
    <w:rsid w:val="00387108"/>
    <w:rsid w:val="0039036E"/>
    <w:rsid w:val="003942DC"/>
    <w:rsid w:val="00394D2D"/>
    <w:rsid w:val="003A477D"/>
    <w:rsid w:val="003B47EC"/>
    <w:rsid w:val="003B4A38"/>
    <w:rsid w:val="003D0211"/>
    <w:rsid w:val="003D04E6"/>
    <w:rsid w:val="003D063A"/>
    <w:rsid w:val="003D7188"/>
    <w:rsid w:val="003E4410"/>
    <w:rsid w:val="003F1E7F"/>
    <w:rsid w:val="003F76EB"/>
    <w:rsid w:val="003F7B20"/>
    <w:rsid w:val="00406E73"/>
    <w:rsid w:val="00407E28"/>
    <w:rsid w:val="004172BA"/>
    <w:rsid w:val="00421603"/>
    <w:rsid w:val="00423F9D"/>
    <w:rsid w:val="0042573A"/>
    <w:rsid w:val="004265B8"/>
    <w:rsid w:val="00432F31"/>
    <w:rsid w:val="0043490D"/>
    <w:rsid w:val="00443131"/>
    <w:rsid w:val="004516A3"/>
    <w:rsid w:val="00451893"/>
    <w:rsid w:val="00452FDA"/>
    <w:rsid w:val="00460CCE"/>
    <w:rsid w:val="00461562"/>
    <w:rsid w:val="00464855"/>
    <w:rsid w:val="004708AA"/>
    <w:rsid w:val="004719A5"/>
    <w:rsid w:val="00482BB1"/>
    <w:rsid w:val="00486512"/>
    <w:rsid w:val="00494069"/>
    <w:rsid w:val="004A051E"/>
    <w:rsid w:val="004A6B98"/>
    <w:rsid w:val="004B05A9"/>
    <w:rsid w:val="004B5862"/>
    <w:rsid w:val="004B5A71"/>
    <w:rsid w:val="004B7DF6"/>
    <w:rsid w:val="004C0DFE"/>
    <w:rsid w:val="004C4C57"/>
    <w:rsid w:val="004C6D10"/>
    <w:rsid w:val="004D5402"/>
    <w:rsid w:val="004E013E"/>
    <w:rsid w:val="004E2BBF"/>
    <w:rsid w:val="004E2E9F"/>
    <w:rsid w:val="004F06DB"/>
    <w:rsid w:val="0050399B"/>
    <w:rsid w:val="0050678F"/>
    <w:rsid w:val="00506838"/>
    <w:rsid w:val="00506EC0"/>
    <w:rsid w:val="005073B1"/>
    <w:rsid w:val="00513C45"/>
    <w:rsid w:val="00517C11"/>
    <w:rsid w:val="00517DE7"/>
    <w:rsid w:val="00525560"/>
    <w:rsid w:val="005276BE"/>
    <w:rsid w:val="00531AEB"/>
    <w:rsid w:val="0056273F"/>
    <w:rsid w:val="005627A8"/>
    <w:rsid w:val="00562BCE"/>
    <w:rsid w:val="00563045"/>
    <w:rsid w:val="00567891"/>
    <w:rsid w:val="00571197"/>
    <w:rsid w:val="00571C4E"/>
    <w:rsid w:val="0057332E"/>
    <w:rsid w:val="005734C4"/>
    <w:rsid w:val="00580332"/>
    <w:rsid w:val="00581747"/>
    <w:rsid w:val="00584641"/>
    <w:rsid w:val="005906A7"/>
    <w:rsid w:val="00590B66"/>
    <w:rsid w:val="00592525"/>
    <w:rsid w:val="00595438"/>
    <w:rsid w:val="00597335"/>
    <w:rsid w:val="005A0127"/>
    <w:rsid w:val="005A0D61"/>
    <w:rsid w:val="005A1EA8"/>
    <w:rsid w:val="005A581C"/>
    <w:rsid w:val="005A5936"/>
    <w:rsid w:val="005A6A16"/>
    <w:rsid w:val="005B1E85"/>
    <w:rsid w:val="005B2076"/>
    <w:rsid w:val="005B5B9B"/>
    <w:rsid w:val="005C0918"/>
    <w:rsid w:val="005C1731"/>
    <w:rsid w:val="005C2982"/>
    <w:rsid w:val="005C6724"/>
    <w:rsid w:val="005C6C0B"/>
    <w:rsid w:val="005D3816"/>
    <w:rsid w:val="005E158D"/>
    <w:rsid w:val="005E16F6"/>
    <w:rsid w:val="005E2EF5"/>
    <w:rsid w:val="005E696E"/>
    <w:rsid w:val="005E7C11"/>
    <w:rsid w:val="005F7111"/>
    <w:rsid w:val="00603A7D"/>
    <w:rsid w:val="0061662A"/>
    <w:rsid w:val="00616CB9"/>
    <w:rsid w:val="006172EF"/>
    <w:rsid w:val="00621E96"/>
    <w:rsid w:val="00622727"/>
    <w:rsid w:val="006267D1"/>
    <w:rsid w:val="00627FAB"/>
    <w:rsid w:val="00630EAC"/>
    <w:rsid w:val="00635DD0"/>
    <w:rsid w:val="0063683B"/>
    <w:rsid w:val="006435B8"/>
    <w:rsid w:val="00645425"/>
    <w:rsid w:val="00647BAB"/>
    <w:rsid w:val="00653734"/>
    <w:rsid w:val="00653C7E"/>
    <w:rsid w:val="00657458"/>
    <w:rsid w:val="006604B6"/>
    <w:rsid w:val="006605ED"/>
    <w:rsid w:val="00670A57"/>
    <w:rsid w:val="006752DC"/>
    <w:rsid w:val="0068242A"/>
    <w:rsid w:val="0068477B"/>
    <w:rsid w:val="006878B2"/>
    <w:rsid w:val="00691566"/>
    <w:rsid w:val="0069230E"/>
    <w:rsid w:val="006971B9"/>
    <w:rsid w:val="006A3C02"/>
    <w:rsid w:val="006B4F77"/>
    <w:rsid w:val="006B772E"/>
    <w:rsid w:val="006B78FB"/>
    <w:rsid w:val="006C29D3"/>
    <w:rsid w:val="006D1394"/>
    <w:rsid w:val="006D2E83"/>
    <w:rsid w:val="006D4D89"/>
    <w:rsid w:val="006D5242"/>
    <w:rsid w:val="006E21EE"/>
    <w:rsid w:val="006E4D28"/>
    <w:rsid w:val="006F38B7"/>
    <w:rsid w:val="006F4662"/>
    <w:rsid w:val="00702A01"/>
    <w:rsid w:val="00704452"/>
    <w:rsid w:val="00704D0D"/>
    <w:rsid w:val="00705B40"/>
    <w:rsid w:val="00713D20"/>
    <w:rsid w:val="00714798"/>
    <w:rsid w:val="00714EE4"/>
    <w:rsid w:val="00717303"/>
    <w:rsid w:val="00720DEC"/>
    <w:rsid w:val="00721EE2"/>
    <w:rsid w:val="00724E88"/>
    <w:rsid w:val="00734538"/>
    <w:rsid w:val="00742F30"/>
    <w:rsid w:val="00747499"/>
    <w:rsid w:val="00751215"/>
    <w:rsid w:val="00751E2B"/>
    <w:rsid w:val="007527A1"/>
    <w:rsid w:val="00753E88"/>
    <w:rsid w:val="00754674"/>
    <w:rsid w:val="00756E9B"/>
    <w:rsid w:val="007572A1"/>
    <w:rsid w:val="007615D6"/>
    <w:rsid w:val="00762E9C"/>
    <w:rsid w:val="0076433E"/>
    <w:rsid w:val="0076794F"/>
    <w:rsid w:val="00767F46"/>
    <w:rsid w:val="007724F5"/>
    <w:rsid w:val="00775579"/>
    <w:rsid w:val="00782038"/>
    <w:rsid w:val="007831C9"/>
    <w:rsid w:val="00784B15"/>
    <w:rsid w:val="00787C18"/>
    <w:rsid w:val="007940D5"/>
    <w:rsid w:val="00794935"/>
    <w:rsid w:val="00797546"/>
    <w:rsid w:val="007A112E"/>
    <w:rsid w:val="007A2C08"/>
    <w:rsid w:val="007A40D0"/>
    <w:rsid w:val="007A6F44"/>
    <w:rsid w:val="007B748A"/>
    <w:rsid w:val="007C1C0E"/>
    <w:rsid w:val="007C5943"/>
    <w:rsid w:val="007C7B19"/>
    <w:rsid w:val="007E1815"/>
    <w:rsid w:val="007E1FA3"/>
    <w:rsid w:val="007E4255"/>
    <w:rsid w:val="007E4DD8"/>
    <w:rsid w:val="007E66ED"/>
    <w:rsid w:val="007F12BD"/>
    <w:rsid w:val="007F3A21"/>
    <w:rsid w:val="007F49D9"/>
    <w:rsid w:val="007F4DC7"/>
    <w:rsid w:val="007F53A3"/>
    <w:rsid w:val="008007A7"/>
    <w:rsid w:val="00800922"/>
    <w:rsid w:val="00801C48"/>
    <w:rsid w:val="00804D1D"/>
    <w:rsid w:val="00821298"/>
    <w:rsid w:val="00825A2D"/>
    <w:rsid w:val="00826BFA"/>
    <w:rsid w:val="00831301"/>
    <w:rsid w:val="0083412C"/>
    <w:rsid w:val="00834E90"/>
    <w:rsid w:val="0083552F"/>
    <w:rsid w:val="008355E6"/>
    <w:rsid w:val="0084035E"/>
    <w:rsid w:val="00843B89"/>
    <w:rsid w:val="008446C0"/>
    <w:rsid w:val="00846899"/>
    <w:rsid w:val="0084706C"/>
    <w:rsid w:val="008509E3"/>
    <w:rsid w:val="008516B8"/>
    <w:rsid w:val="00854399"/>
    <w:rsid w:val="00855159"/>
    <w:rsid w:val="00856823"/>
    <w:rsid w:val="008611DA"/>
    <w:rsid w:val="00864632"/>
    <w:rsid w:val="00866A2D"/>
    <w:rsid w:val="00867AB4"/>
    <w:rsid w:val="008704BA"/>
    <w:rsid w:val="00875610"/>
    <w:rsid w:val="008771A7"/>
    <w:rsid w:val="008825B9"/>
    <w:rsid w:val="00886F48"/>
    <w:rsid w:val="00892AFE"/>
    <w:rsid w:val="00894BE7"/>
    <w:rsid w:val="00894C77"/>
    <w:rsid w:val="008A0428"/>
    <w:rsid w:val="008A0444"/>
    <w:rsid w:val="008A164E"/>
    <w:rsid w:val="008A3C9F"/>
    <w:rsid w:val="008A4A99"/>
    <w:rsid w:val="008B258E"/>
    <w:rsid w:val="008B3E3F"/>
    <w:rsid w:val="008D024D"/>
    <w:rsid w:val="008D4DA2"/>
    <w:rsid w:val="008D6D83"/>
    <w:rsid w:val="008E2882"/>
    <w:rsid w:val="008F1DD2"/>
    <w:rsid w:val="008F65F1"/>
    <w:rsid w:val="008F748F"/>
    <w:rsid w:val="00900194"/>
    <w:rsid w:val="009022D7"/>
    <w:rsid w:val="00905DE9"/>
    <w:rsid w:val="009075EC"/>
    <w:rsid w:val="0090796A"/>
    <w:rsid w:val="0091292A"/>
    <w:rsid w:val="00913468"/>
    <w:rsid w:val="00920755"/>
    <w:rsid w:val="009214A5"/>
    <w:rsid w:val="00924C09"/>
    <w:rsid w:val="009276CF"/>
    <w:rsid w:val="00934B85"/>
    <w:rsid w:val="00936779"/>
    <w:rsid w:val="00937478"/>
    <w:rsid w:val="00945276"/>
    <w:rsid w:val="00952738"/>
    <w:rsid w:val="0095462D"/>
    <w:rsid w:val="009564A0"/>
    <w:rsid w:val="0095711F"/>
    <w:rsid w:val="009655C8"/>
    <w:rsid w:val="00965BDA"/>
    <w:rsid w:val="009662AE"/>
    <w:rsid w:val="009662E3"/>
    <w:rsid w:val="009701BA"/>
    <w:rsid w:val="0097191F"/>
    <w:rsid w:val="00973649"/>
    <w:rsid w:val="0098058A"/>
    <w:rsid w:val="00982BBF"/>
    <w:rsid w:val="00983C56"/>
    <w:rsid w:val="009907BF"/>
    <w:rsid w:val="00993DB6"/>
    <w:rsid w:val="009948CD"/>
    <w:rsid w:val="009956CB"/>
    <w:rsid w:val="009A1DB8"/>
    <w:rsid w:val="009A5488"/>
    <w:rsid w:val="009A6731"/>
    <w:rsid w:val="009A6B22"/>
    <w:rsid w:val="009B074E"/>
    <w:rsid w:val="009B4CDA"/>
    <w:rsid w:val="009B6230"/>
    <w:rsid w:val="009C2F9F"/>
    <w:rsid w:val="009C3C6C"/>
    <w:rsid w:val="009C4988"/>
    <w:rsid w:val="009D0280"/>
    <w:rsid w:val="009D10CC"/>
    <w:rsid w:val="009D44BD"/>
    <w:rsid w:val="009D69A3"/>
    <w:rsid w:val="009E057F"/>
    <w:rsid w:val="009E1962"/>
    <w:rsid w:val="009E4812"/>
    <w:rsid w:val="009E6EC8"/>
    <w:rsid w:val="009E7B5E"/>
    <w:rsid w:val="009F0DB4"/>
    <w:rsid w:val="009F1FFE"/>
    <w:rsid w:val="009F4508"/>
    <w:rsid w:val="009F54AC"/>
    <w:rsid w:val="009F70D1"/>
    <w:rsid w:val="00A00C08"/>
    <w:rsid w:val="00A04504"/>
    <w:rsid w:val="00A064C4"/>
    <w:rsid w:val="00A06772"/>
    <w:rsid w:val="00A06D02"/>
    <w:rsid w:val="00A10155"/>
    <w:rsid w:val="00A142D3"/>
    <w:rsid w:val="00A160A2"/>
    <w:rsid w:val="00A17728"/>
    <w:rsid w:val="00A17BF0"/>
    <w:rsid w:val="00A23BF7"/>
    <w:rsid w:val="00A2440E"/>
    <w:rsid w:val="00A2657E"/>
    <w:rsid w:val="00A30E35"/>
    <w:rsid w:val="00A33BA3"/>
    <w:rsid w:val="00A34F60"/>
    <w:rsid w:val="00A35ACD"/>
    <w:rsid w:val="00A40DBD"/>
    <w:rsid w:val="00A40EBA"/>
    <w:rsid w:val="00A43EC8"/>
    <w:rsid w:val="00A5012D"/>
    <w:rsid w:val="00A54F26"/>
    <w:rsid w:val="00A55B7F"/>
    <w:rsid w:val="00A6150E"/>
    <w:rsid w:val="00A62C4B"/>
    <w:rsid w:val="00A62FCD"/>
    <w:rsid w:val="00A65DEB"/>
    <w:rsid w:val="00A67292"/>
    <w:rsid w:val="00A71DEA"/>
    <w:rsid w:val="00A7689E"/>
    <w:rsid w:val="00A77138"/>
    <w:rsid w:val="00A9221F"/>
    <w:rsid w:val="00A95F78"/>
    <w:rsid w:val="00AA16D6"/>
    <w:rsid w:val="00AA2014"/>
    <w:rsid w:val="00AA3545"/>
    <w:rsid w:val="00AA44D8"/>
    <w:rsid w:val="00AA78BE"/>
    <w:rsid w:val="00AA7982"/>
    <w:rsid w:val="00AB530C"/>
    <w:rsid w:val="00AB6E04"/>
    <w:rsid w:val="00AB6E8E"/>
    <w:rsid w:val="00AB71E0"/>
    <w:rsid w:val="00AC277C"/>
    <w:rsid w:val="00AC3C53"/>
    <w:rsid w:val="00AC5ECB"/>
    <w:rsid w:val="00AD0118"/>
    <w:rsid w:val="00AD0B00"/>
    <w:rsid w:val="00AD3676"/>
    <w:rsid w:val="00AD36FC"/>
    <w:rsid w:val="00AD5D9C"/>
    <w:rsid w:val="00AE67D5"/>
    <w:rsid w:val="00AE73B4"/>
    <w:rsid w:val="00AF05A2"/>
    <w:rsid w:val="00AF0FF1"/>
    <w:rsid w:val="00AF5C03"/>
    <w:rsid w:val="00B025F8"/>
    <w:rsid w:val="00B0265B"/>
    <w:rsid w:val="00B04F5A"/>
    <w:rsid w:val="00B111DE"/>
    <w:rsid w:val="00B11E06"/>
    <w:rsid w:val="00B1246C"/>
    <w:rsid w:val="00B244BC"/>
    <w:rsid w:val="00B270CC"/>
    <w:rsid w:val="00B31E52"/>
    <w:rsid w:val="00B32E99"/>
    <w:rsid w:val="00B37E1E"/>
    <w:rsid w:val="00B40E24"/>
    <w:rsid w:val="00B41415"/>
    <w:rsid w:val="00B46808"/>
    <w:rsid w:val="00B50A95"/>
    <w:rsid w:val="00B569CF"/>
    <w:rsid w:val="00B60EEE"/>
    <w:rsid w:val="00B62920"/>
    <w:rsid w:val="00B66FD2"/>
    <w:rsid w:val="00B734AE"/>
    <w:rsid w:val="00B7607E"/>
    <w:rsid w:val="00B81896"/>
    <w:rsid w:val="00B84FEA"/>
    <w:rsid w:val="00B92A7D"/>
    <w:rsid w:val="00B94AD9"/>
    <w:rsid w:val="00B94B73"/>
    <w:rsid w:val="00B96DB3"/>
    <w:rsid w:val="00BA5237"/>
    <w:rsid w:val="00BA5473"/>
    <w:rsid w:val="00BA64B6"/>
    <w:rsid w:val="00BB7397"/>
    <w:rsid w:val="00BC08B5"/>
    <w:rsid w:val="00BC4015"/>
    <w:rsid w:val="00BC40E0"/>
    <w:rsid w:val="00BD5038"/>
    <w:rsid w:val="00BE29B4"/>
    <w:rsid w:val="00BF608D"/>
    <w:rsid w:val="00C0423B"/>
    <w:rsid w:val="00C07F82"/>
    <w:rsid w:val="00C10075"/>
    <w:rsid w:val="00C15989"/>
    <w:rsid w:val="00C22784"/>
    <w:rsid w:val="00C22A6F"/>
    <w:rsid w:val="00C26DF1"/>
    <w:rsid w:val="00C41122"/>
    <w:rsid w:val="00C41D5E"/>
    <w:rsid w:val="00C4316C"/>
    <w:rsid w:val="00C44673"/>
    <w:rsid w:val="00C51010"/>
    <w:rsid w:val="00C525C0"/>
    <w:rsid w:val="00C52F58"/>
    <w:rsid w:val="00C574F9"/>
    <w:rsid w:val="00C60460"/>
    <w:rsid w:val="00C61147"/>
    <w:rsid w:val="00C6234A"/>
    <w:rsid w:val="00C62C4A"/>
    <w:rsid w:val="00C62D5E"/>
    <w:rsid w:val="00C64312"/>
    <w:rsid w:val="00C65BB4"/>
    <w:rsid w:val="00C66A9E"/>
    <w:rsid w:val="00C70693"/>
    <w:rsid w:val="00C726CC"/>
    <w:rsid w:val="00C76975"/>
    <w:rsid w:val="00C80422"/>
    <w:rsid w:val="00C82A90"/>
    <w:rsid w:val="00C85FF3"/>
    <w:rsid w:val="00CA2ACA"/>
    <w:rsid w:val="00CA5E0B"/>
    <w:rsid w:val="00CB12F7"/>
    <w:rsid w:val="00CC18AA"/>
    <w:rsid w:val="00CC1DB0"/>
    <w:rsid w:val="00CC50E9"/>
    <w:rsid w:val="00CC6623"/>
    <w:rsid w:val="00CD11DF"/>
    <w:rsid w:val="00CD4B74"/>
    <w:rsid w:val="00CD5672"/>
    <w:rsid w:val="00CD6F7B"/>
    <w:rsid w:val="00CE1C9D"/>
    <w:rsid w:val="00CE405D"/>
    <w:rsid w:val="00CF019B"/>
    <w:rsid w:val="00CF2BE6"/>
    <w:rsid w:val="00CF3642"/>
    <w:rsid w:val="00CF7146"/>
    <w:rsid w:val="00D006A2"/>
    <w:rsid w:val="00D07DC7"/>
    <w:rsid w:val="00D1029B"/>
    <w:rsid w:val="00D10674"/>
    <w:rsid w:val="00D126EC"/>
    <w:rsid w:val="00D16FA9"/>
    <w:rsid w:val="00D21D4E"/>
    <w:rsid w:val="00D25EE0"/>
    <w:rsid w:val="00D26FDD"/>
    <w:rsid w:val="00D27449"/>
    <w:rsid w:val="00D3000B"/>
    <w:rsid w:val="00D31E86"/>
    <w:rsid w:val="00D33416"/>
    <w:rsid w:val="00D34425"/>
    <w:rsid w:val="00D42846"/>
    <w:rsid w:val="00D5148A"/>
    <w:rsid w:val="00D56A12"/>
    <w:rsid w:val="00D6622E"/>
    <w:rsid w:val="00D76D11"/>
    <w:rsid w:val="00D83784"/>
    <w:rsid w:val="00D845D6"/>
    <w:rsid w:val="00D85729"/>
    <w:rsid w:val="00D915B4"/>
    <w:rsid w:val="00D92DA7"/>
    <w:rsid w:val="00D95113"/>
    <w:rsid w:val="00D961B1"/>
    <w:rsid w:val="00D969F9"/>
    <w:rsid w:val="00DA3FF9"/>
    <w:rsid w:val="00DA4047"/>
    <w:rsid w:val="00DA45C4"/>
    <w:rsid w:val="00DB1806"/>
    <w:rsid w:val="00DB1DFF"/>
    <w:rsid w:val="00DB2F7C"/>
    <w:rsid w:val="00DB4296"/>
    <w:rsid w:val="00DB48CE"/>
    <w:rsid w:val="00DB7810"/>
    <w:rsid w:val="00DC4938"/>
    <w:rsid w:val="00DC4F01"/>
    <w:rsid w:val="00DC54A1"/>
    <w:rsid w:val="00DC72B2"/>
    <w:rsid w:val="00DD15F4"/>
    <w:rsid w:val="00DD1873"/>
    <w:rsid w:val="00DD334B"/>
    <w:rsid w:val="00DD4DCC"/>
    <w:rsid w:val="00DD5007"/>
    <w:rsid w:val="00DD5D1C"/>
    <w:rsid w:val="00DD5E9B"/>
    <w:rsid w:val="00DE1328"/>
    <w:rsid w:val="00DE2BDD"/>
    <w:rsid w:val="00DE3D1D"/>
    <w:rsid w:val="00DE4E3E"/>
    <w:rsid w:val="00DE60CA"/>
    <w:rsid w:val="00DE61B1"/>
    <w:rsid w:val="00DE64D4"/>
    <w:rsid w:val="00DF2F51"/>
    <w:rsid w:val="00DF58B6"/>
    <w:rsid w:val="00DF6FB4"/>
    <w:rsid w:val="00DF7C4A"/>
    <w:rsid w:val="00DF7F7B"/>
    <w:rsid w:val="00E0042F"/>
    <w:rsid w:val="00E00939"/>
    <w:rsid w:val="00E01DE6"/>
    <w:rsid w:val="00E107D9"/>
    <w:rsid w:val="00E121DD"/>
    <w:rsid w:val="00E140BA"/>
    <w:rsid w:val="00E171BE"/>
    <w:rsid w:val="00E209D4"/>
    <w:rsid w:val="00E231A8"/>
    <w:rsid w:val="00E2442C"/>
    <w:rsid w:val="00E24E78"/>
    <w:rsid w:val="00E25F10"/>
    <w:rsid w:val="00E27923"/>
    <w:rsid w:val="00E3235A"/>
    <w:rsid w:val="00E33F2B"/>
    <w:rsid w:val="00E35F0D"/>
    <w:rsid w:val="00E41F05"/>
    <w:rsid w:val="00E4289E"/>
    <w:rsid w:val="00E446CC"/>
    <w:rsid w:val="00E44AE8"/>
    <w:rsid w:val="00E45C45"/>
    <w:rsid w:val="00E473EB"/>
    <w:rsid w:val="00E50A9E"/>
    <w:rsid w:val="00E52E9B"/>
    <w:rsid w:val="00E5534A"/>
    <w:rsid w:val="00E574D4"/>
    <w:rsid w:val="00E577EE"/>
    <w:rsid w:val="00E62942"/>
    <w:rsid w:val="00E63B2C"/>
    <w:rsid w:val="00E644D5"/>
    <w:rsid w:val="00E66339"/>
    <w:rsid w:val="00E7141D"/>
    <w:rsid w:val="00E73978"/>
    <w:rsid w:val="00E7413B"/>
    <w:rsid w:val="00E75A03"/>
    <w:rsid w:val="00E766A7"/>
    <w:rsid w:val="00E811F1"/>
    <w:rsid w:val="00E814C2"/>
    <w:rsid w:val="00E84B07"/>
    <w:rsid w:val="00E871EE"/>
    <w:rsid w:val="00E92BFB"/>
    <w:rsid w:val="00E940E5"/>
    <w:rsid w:val="00E94BCC"/>
    <w:rsid w:val="00E955EB"/>
    <w:rsid w:val="00E96AFB"/>
    <w:rsid w:val="00E97867"/>
    <w:rsid w:val="00E97F85"/>
    <w:rsid w:val="00EA01F3"/>
    <w:rsid w:val="00EA41F3"/>
    <w:rsid w:val="00EA5AFB"/>
    <w:rsid w:val="00EB6B86"/>
    <w:rsid w:val="00EC0F87"/>
    <w:rsid w:val="00ED4EBB"/>
    <w:rsid w:val="00EE6AF0"/>
    <w:rsid w:val="00EE6ED4"/>
    <w:rsid w:val="00EF3408"/>
    <w:rsid w:val="00F0248E"/>
    <w:rsid w:val="00F0514A"/>
    <w:rsid w:val="00F12800"/>
    <w:rsid w:val="00F23CF7"/>
    <w:rsid w:val="00F25857"/>
    <w:rsid w:val="00F2619E"/>
    <w:rsid w:val="00F34D5C"/>
    <w:rsid w:val="00F358EA"/>
    <w:rsid w:val="00F36C48"/>
    <w:rsid w:val="00F400BF"/>
    <w:rsid w:val="00F4198B"/>
    <w:rsid w:val="00F4663C"/>
    <w:rsid w:val="00F50710"/>
    <w:rsid w:val="00F5149A"/>
    <w:rsid w:val="00F518A3"/>
    <w:rsid w:val="00F57FAF"/>
    <w:rsid w:val="00F61891"/>
    <w:rsid w:val="00F72973"/>
    <w:rsid w:val="00F739BF"/>
    <w:rsid w:val="00F766D5"/>
    <w:rsid w:val="00F87C0E"/>
    <w:rsid w:val="00F90318"/>
    <w:rsid w:val="00F908E4"/>
    <w:rsid w:val="00F9564E"/>
    <w:rsid w:val="00F97731"/>
    <w:rsid w:val="00FA4AD2"/>
    <w:rsid w:val="00FB0C92"/>
    <w:rsid w:val="00FB28B4"/>
    <w:rsid w:val="00FB521A"/>
    <w:rsid w:val="00FD41C5"/>
    <w:rsid w:val="00FD4C23"/>
    <w:rsid w:val="00FD5014"/>
    <w:rsid w:val="00FD5981"/>
    <w:rsid w:val="00FD5D43"/>
    <w:rsid w:val="00FE0EBC"/>
    <w:rsid w:val="00FE5CD8"/>
    <w:rsid w:val="00FE6A73"/>
    <w:rsid w:val="00FE6F6C"/>
    <w:rsid w:val="00FE7185"/>
    <w:rsid w:val="00FF2E90"/>
    <w:rsid w:val="00FF3DDF"/>
    <w:rsid w:val="00FF5280"/>
    <w:rsid w:val="00FF63FD"/>
    <w:rsid w:val="00FF76F6"/>
    <w:rsid w:val="00FF7EA4"/>
    <w:rsid w:val="04DF4080"/>
    <w:rsid w:val="06482DA3"/>
    <w:rsid w:val="07F43565"/>
    <w:rsid w:val="0ABE68FF"/>
    <w:rsid w:val="1066798C"/>
    <w:rsid w:val="138E47BF"/>
    <w:rsid w:val="15761C62"/>
    <w:rsid w:val="166F3725"/>
    <w:rsid w:val="17F37142"/>
    <w:rsid w:val="22750E5C"/>
    <w:rsid w:val="2288087A"/>
    <w:rsid w:val="25DA3FA1"/>
    <w:rsid w:val="30C458D1"/>
    <w:rsid w:val="315746B8"/>
    <w:rsid w:val="384916FA"/>
    <w:rsid w:val="3DBB3202"/>
    <w:rsid w:val="3EE85404"/>
    <w:rsid w:val="404B6F16"/>
    <w:rsid w:val="484768C7"/>
    <w:rsid w:val="4A8F2BD7"/>
    <w:rsid w:val="4B663F1F"/>
    <w:rsid w:val="54C7106D"/>
    <w:rsid w:val="6401553C"/>
    <w:rsid w:val="66580842"/>
    <w:rsid w:val="679B1372"/>
    <w:rsid w:val="67B63AE7"/>
    <w:rsid w:val="6C170B64"/>
    <w:rsid w:val="6F675ECC"/>
    <w:rsid w:val="6F9F112C"/>
    <w:rsid w:val="70D334DD"/>
    <w:rsid w:val="713734FD"/>
    <w:rsid w:val="723914F7"/>
    <w:rsid w:val="72493733"/>
    <w:rsid w:val="77373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semiHidden/>
    <w:unhideWhenUsed/>
    <w:qFormat/>
    <w:uiPriority w:val="35"/>
    <w:rPr>
      <w:rFonts w:eastAsia="黑体" w:asciiTheme="majorHAnsi" w:hAnsiTheme="majorHAnsi" w:cstheme="majorBidi"/>
      <w:sz w:val="20"/>
      <w:szCs w:val="20"/>
    </w:rPr>
  </w:style>
  <w:style w:type="paragraph" w:styleId="3">
    <w:name w:val="annotation text"/>
    <w:basedOn w:val="1"/>
    <w:semiHidden/>
    <w:unhideWhenUsed/>
    <w:qFormat/>
    <w:uiPriority w:val="99"/>
    <w:pPr>
      <w:jc w:val="left"/>
    </w:pPr>
  </w:style>
  <w:style w:type="paragraph" w:styleId="4">
    <w:name w:val="Balloon Text"/>
    <w:basedOn w:val="1"/>
    <w:link w:val="21"/>
    <w:semiHidden/>
    <w:unhideWhenUsed/>
    <w:qFormat/>
    <w:uiPriority w:val="99"/>
    <w:rPr>
      <w:sz w:val="18"/>
      <w:szCs w:val="18"/>
    </w:rPr>
  </w:style>
  <w:style w:type="paragraph" w:styleId="5">
    <w:name w:val="footer"/>
    <w:basedOn w:val="1"/>
    <w:link w:val="20"/>
    <w:unhideWhenUsed/>
    <w:qFormat/>
    <w:uiPriority w:val="99"/>
    <w:pPr>
      <w:tabs>
        <w:tab w:val="center" w:pos="4153"/>
        <w:tab w:val="right" w:pos="8306"/>
      </w:tabs>
      <w:snapToGrid w:val="0"/>
      <w:jc w:val="left"/>
    </w:pPr>
    <w:rPr>
      <w:sz w:val="18"/>
      <w:szCs w:val="18"/>
    </w:rPr>
  </w:style>
  <w:style w:type="paragraph" w:styleId="6">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18"/>
    <w:semiHidden/>
    <w:unhideWhenUsed/>
    <w:qFormat/>
    <w:uiPriority w:val="99"/>
    <w:pPr>
      <w:snapToGrid w:val="0"/>
      <w:jc w:val="left"/>
    </w:pPr>
    <w:rPr>
      <w:sz w:val="18"/>
      <w:szCs w:val="18"/>
    </w:rPr>
  </w:style>
  <w:style w:type="paragraph" w:styleId="8">
    <w:name w:val="Normal (Web)"/>
    <w:basedOn w:val="1"/>
    <w:unhideWhenUsed/>
    <w:qFormat/>
    <w:uiPriority w:val="99"/>
    <w:pPr>
      <w:widowControl/>
      <w:shd w:val="clear" w:color="auto" w:fill="FFFFFF"/>
      <w:ind w:firstLine="400" w:firstLineChars="200"/>
      <w:jc w:val="left"/>
    </w:pPr>
    <w:rPr>
      <w:rFonts w:cs="Times New Roman"/>
      <w:kern w:val="0"/>
      <w:sz w:val="24"/>
    </w:rPr>
  </w:style>
  <w:style w:type="paragraph" w:styleId="9">
    <w:name w:val="Title"/>
    <w:basedOn w:val="1"/>
    <w:next w:val="1"/>
    <w:link w:val="16"/>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1">
    <w:name w:val="Table Grid"/>
    <w:basedOn w:val="10"/>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annotation reference"/>
    <w:basedOn w:val="12"/>
    <w:semiHidden/>
    <w:unhideWhenUsed/>
    <w:qFormat/>
    <w:uiPriority w:val="99"/>
    <w:rPr>
      <w:sz w:val="21"/>
      <w:szCs w:val="21"/>
    </w:rPr>
  </w:style>
  <w:style w:type="character" w:styleId="15">
    <w:name w:val="footnote reference"/>
    <w:basedOn w:val="12"/>
    <w:autoRedefine/>
    <w:semiHidden/>
    <w:unhideWhenUsed/>
    <w:qFormat/>
    <w:uiPriority w:val="99"/>
    <w:rPr>
      <w:vertAlign w:val="superscript"/>
    </w:rPr>
  </w:style>
  <w:style w:type="character" w:customStyle="1" w:styleId="16">
    <w:name w:val="标题 字符"/>
    <w:basedOn w:val="12"/>
    <w:link w:val="9"/>
    <w:autoRedefine/>
    <w:qFormat/>
    <w:uiPriority w:val="10"/>
    <w:rPr>
      <w:rFonts w:asciiTheme="majorHAnsi" w:hAnsiTheme="majorHAnsi" w:eastAsiaTheme="majorEastAsia" w:cstheme="majorBidi"/>
      <w:b/>
      <w:bCs/>
      <w:sz w:val="32"/>
      <w:szCs w:val="32"/>
    </w:rPr>
  </w:style>
  <w:style w:type="paragraph" w:styleId="17">
    <w:name w:val="List Paragraph"/>
    <w:basedOn w:val="1"/>
    <w:qFormat/>
    <w:uiPriority w:val="34"/>
    <w:pPr>
      <w:ind w:firstLine="420" w:firstLineChars="200"/>
    </w:pPr>
  </w:style>
  <w:style w:type="character" w:customStyle="1" w:styleId="18">
    <w:name w:val="脚注文本 字符"/>
    <w:basedOn w:val="12"/>
    <w:link w:val="7"/>
    <w:autoRedefine/>
    <w:semiHidden/>
    <w:qFormat/>
    <w:uiPriority w:val="99"/>
    <w:rPr>
      <w:sz w:val="18"/>
      <w:szCs w:val="18"/>
    </w:rPr>
  </w:style>
  <w:style w:type="character" w:customStyle="1" w:styleId="19">
    <w:name w:val="页眉 字符"/>
    <w:basedOn w:val="12"/>
    <w:link w:val="6"/>
    <w:qFormat/>
    <w:uiPriority w:val="99"/>
    <w:rPr>
      <w:rFonts w:asciiTheme="minorHAnsi" w:hAnsiTheme="minorHAnsi" w:eastAsiaTheme="minorEastAsia" w:cstheme="minorBidi"/>
      <w:kern w:val="2"/>
      <w:sz w:val="18"/>
      <w:szCs w:val="18"/>
    </w:rPr>
  </w:style>
  <w:style w:type="character" w:customStyle="1" w:styleId="20">
    <w:name w:val="页脚 字符"/>
    <w:basedOn w:val="12"/>
    <w:link w:val="5"/>
    <w:qFormat/>
    <w:uiPriority w:val="99"/>
    <w:rPr>
      <w:rFonts w:asciiTheme="minorHAnsi" w:hAnsiTheme="minorHAnsi" w:eastAsiaTheme="minorEastAsia" w:cstheme="minorBidi"/>
      <w:kern w:val="2"/>
      <w:sz w:val="18"/>
      <w:szCs w:val="18"/>
    </w:rPr>
  </w:style>
  <w:style w:type="character" w:customStyle="1" w:styleId="21">
    <w:name w:val="批注框文本 字符"/>
    <w:basedOn w:val="12"/>
    <w:link w:val="4"/>
    <w:semiHidden/>
    <w:qFormat/>
    <w:uiPriority w:val="99"/>
    <w:rPr>
      <w:rFonts w:cstheme="minorBidi"/>
      <w:kern w:val="2"/>
      <w:sz w:val="18"/>
      <w:szCs w:val="18"/>
    </w:rPr>
  </w:style>
  <w:style w:type="character" w:customStyle="1" w:styleId="22">
    <w:name w:val="image-componnet-wrapper"/>
    <w:basedOn w:val="12"/>
    <w:qFormat/>
    <w:uiPriority w:val="0"/>
  </w:style>
  <w:style w:type="paragraph" w:customStyle="1" w:styleId="23">
    <w:name w:val="paragraph"/>
    <w:basedOn w:val="1"/>
    <w:semiHidden/>
    <w:qFormat/>
    <w:uiPriority w:val="0"/>
    <w:pPr>
      <w:widowControl/>
      <w:spacing w:before="100" w:beforeAutospacing="1" w:after="100" w:afterAutospacing="1"/>
      <w:jc w:val="left"/>
    </w:pPr>
    <w:rPr>
      <w:rFonts w:ascii="等线" w:hAnsi="等线" w:eastAsia="等线" w:cs="Times New Roman"/>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741</Words>
  <Characters>3715</Characters>
  <Lines>32</Lines>
  <Paragraphs>9</Paragraphs>
  <TotalTime>111</TotalTime>
  <ScaleCrop>false</ScaleCrop>
  <LinksUpToDate>false</LinksUpToDate>
  <CharactersWithSpaces>4407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2024-10-29T09:02:00Z</dcterms:created>
  <dc:creator>lenovo</dc:creator>
  <cp:lastModifiedBy>©</cp:lastModifiedBy>
  <dcterms:modified xsi:type="dcterms:W3CDTF">2024-12-12T08:59:13Z</dcterms:modified>
  <cp:revision>592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124BBF73A0AC47EEA435E377992EBCE0_13</vt:lpwstr>
  </property>
</Properties>
</file>