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00618">
      <w:pPr>
        <w:spacing w:after="240"/>
        <w:jc w:val="center"/>
        <w:rPr>
          <w:rFonts w:ascii="微软雅黑" w:hAnsi="微软雅黑" w:eastAsia="微软雅黑" w:cs="微软雅黑"/>
        </w:rPr>
      </w:pPr>
      <w:r>
        <w:rPr>
          <w:sz w:val="36"/>
          <w:szCs w:val="36"/>
        </w:rPr>
        <w:t xml:space="preserve"> How to Set Charging and Discharging Period</w:t>
      </w:r>
    </w:p>
    <w:p w14:paraId="0899779C">
      <w:pPr>
        <w:spacing w:before="240" w:after="240"/>
        <w:jc w:val="right"/>
        <w:rPr>
          <w:rFonts w:hint="default" w:ascii="华文中宋" w:hAnsi="华文中宋" w:eastAsia="华文中宋" w:cs="华文中宋"/>
          <w:sz w:val="20"/>
          <w:szCs w:val="20"/>
          <w:lang w:val="en-US" w:eastAsia="zh-CN"/>
        </w:rPr>
      </w:pPr>
      <w:r>
        <w:rPr>
          <w:rFonts w:hint="eastAsia" w:ascii="华文中宋" w:hAnsi="华文中宋" w:eastAsia="华文中宋" w:cs="华文中宋"/>
          <w:sz w:val="20"/>
          <w:szCs w:val="20"/>
          <w:lang w:eastAsia="zh-CN"/>
        </w:rPr>
        <w:t>A</w:t>
      </w:r>
      <w:r>
        <w:rPr>
          <w:rFonts w:hint="eastAsia" w:ascii="华文中宋" w:hAnsi="华文中宋" w:eastAsia="华文中宋" w:cs="华文中宋"/>
          <w:sz w:val="20"/>
          <w:szCs w:val="20"/>
        </w:rPr>
        <w:t>uthor</w:t>
      </w:r>
      <w:r>
        <w:rPr>
          <w:rFonts w:ascii="华文中宋" w:hAnsi="华文中宋" w:eastAsia="华文中宋" w:cs="华文中宋"/>
          <w:sz w:val="20"/>
          <w:szCs w:val="20"/>
        </w:rPr>
        <w:t xml:space="preserve">: </w:t>
      </w:r>
      <w:r>
        <w:rPr>
          <w:rFonts w:hint="eastAsia" w:ascii="华文中宋" w:hAnsi="华文中宋" w:eastAsia="华文中宋" w:cs="华文中宋"/>
          <w:sz w:val="20"/>
          <w:szCs w:val="20"/>
          <w:lang w:val="en-US" w:eastAsia="zh-CN"/>
        </w:rPr>
        <w:t>Eason</w:t>
      </w:r>
    </w:p>
    <w:p w14:paraId="7406FEBD">
      <w:pPr>
        <w:spacing w:before="240" w:after="240"/>
        <w:jc w:val="both"/>
        <w:rPr>
          <w:rFonts w:ascii="微软雅黑" w:hAnsi="微软雅黑" w:eastAsia="微软雅黑" w:cs="微软雅黑"/>
        </w:rPr>
      </w:pPr>
      <w:r>
        <w:rPr>
          <w:rFonts w:ascii="Calibri" w:hAnsi="Calibri" w:eastAsia="Calibri" w:cs="Calibri"/>
          <w:b/>
          <w:bCs/>
          <w:color w:val="C8460A"/>
        </w:rPr>
        <w:t>Hybrid INV</w:t>
      </w:r>
    </w:p>
    <w:p w14:paraId="730309DA">
      <w:pPr>
        <w:spacing w:before="240" w:after="240"/>
        <w:jc w:val="both"/>
        <w:rPr>
          <w:rFonts w:ascii="Calibri" w:hAnsi="Calibri" w:eastAsia="Calibri" w:cs="Calibri"/>
          <w:b/>
          <w:bCs/>
          <w:color w:val="C8460A"/>
        </w:rPr>
      </w:pPr>
      <w:r>
        <w:rPr>
          <w:rFonts w:ascii="Calibri" w:hAnsi="Calibri" w:eastAsia="Calibri" w:cs="Calibri"/>
          <w:b/>
          <w:bCs/>
          <w:color w:val="C8460A"/>
        </w:rPr>
        <w:t>Issue introduction</w:t>
      </w:r>
      <w:bookmarkStart w:id="0" w:name="_GoBack"/>
      <w:bookmarkEnd w:id="0"/>
    </w:p>
    <w:p w14:paraId="455C758A">
      <w:pPr>
        <w:spacing w:before="240" w:after="240"/>
        <w:jc w:val="both"/>
        <w:rPr>
          <w:rFonts w:hint="eastAsia"/>
          <w:sz w:val="21"/>
          <w:szCs w:val="21"/>
        </w:rPr>
      </w:pPr>
      <w:r>
        <w:rPr>
          <w:rFonts w:hint="eastAsia"/>
          <w:sz w:val="21"/>
          <w:szCs w:val="21"/>
        </w:rPr>
        <w:t>I don’t know how to set the charge and discharge time periods, or the meanings of the related settings.</w:t>
      </w:r>
    </w:p>
    <w:p w14:paraId="4A60DA29">
      <w:pPr>
        <w:spacing w:before="240" w:after="240"/>
        <w:jc w:val="center"/>
        <w:rPr>
          <w:rFonts w:hint="default"/>
          <w:sz w:val="21"/>
          <w:szCs w:val="21"/>
          <w:lang w:val="en-GB"/>
        </w:rPr>
      </w:pPr>
      <w:r>
        <w:drawing>
          <wp:inline distT="0" distB="0" distL="114300" distR="114300">
            <wp:extent cx="1845310" cy="1559560"/>
            <wp:effectExtent l="0" t="0" r="889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1845310" cy="1559560"/>
                    </a:xfrm>
                    <a:prstGeom prst="rect">
                      <a:avLst/>
                    </a:prstGeom>
                    <a:noFill/>
                    <a:ln>
                      <a:noFill/>
                    </a:ln>
                  </pic:spPr>
                </pic:pic>
              </a:graphicData>
            </a:graphic>
          </wp:inline>
        </w:drawing>
      </w:r>
    </w:p>
    <w:p w14:paraId="5AA382DD">
      <w:pPr>
        <w:pStyle w:val="11"/>
        <w:spacing w:before="240" w:beforeAutospacing="0" w:after="240" w:afterAutospacing="0"/>
        <w:jc w:val="both"/>
      </w:pPr>
      <w:r>
        <w:rPr>
          <w:rFonts w:ascii="Calibri" w:hAnsi="Calibri" w:cs="Calibri"/>
          <w:b/>
          <w:bCs/>
          <w:color w:val="C8460A"/>
        </w:rPr>
        <w:t>Operation guidance</w:t>
      </w:r>
    </w:p>
    <w:p w14:paraId="25F80941">
      <w:pPr>
        <w:spacing w:before="240" w:after="240"/>
        <w:rPr>
          <w:sz w:val="21"/>
          <w:szCs w:val="21"/>
        </w:rPr>
      </w:pPr>
      <w:r>
        <w:rPr>
          <w:sz w:val="21"/>
          <w:szCs w:val="21"/>
        </w:rPr>
        <w:t xml:space="preserve">Step1: </w:t>
      </w:r>
      <w:r>
        <w:rPr>
          <w:sz w:val="21"/>
          <w:szCs w:val="21"/>
          <w:lang w:eastAsia="zh-CN"/>
        </w:rPr>
        <w:t xml:space="preserve">Go to </w:t>
      </w:r>
      <w:r>
        <w:rPr>
          <w:sz w:val="21"/>
          <w:szCs w:val="21"/>
        </w:rPr>
        <w:t>&lt;User settings&gt; to set the parameters for each work mode and set charging and discharging period.</w:t>
      </w:r>
    </w:p>
    <w:p w14:paraId="4043DF2B">
      <w:pPr>
        <w:spacing w:before="240" w:after="240"/>
        <w:rPr>
          <w:i/>
          <w:iCs/>
          <w:color w:val="0070C0"/>
          <w:kern w:val="2"/>
          <w:lang w:eastAsia="zh-CN"/>
        </w:rPr>
      </w:pPr>
      <w:r>
        <w:rPr>
          <w:rFonts w:hint="eastAsia"/>
          <w:sz w:val="21"/>
          <w:szCs w:val="21"/>
          <w:lang w:eastAsia="zh-CN"/>
        </w:rPr>
        <w:t>Setting path：</w:t>
      </w:r>
      <w:r>
        <w:rPr>
          <w:rFonts w:hint="eastAsia"/>
          <w:i/>
          <w:iCs/>
          <w:color w:val="0070C0"/>
          <w:kern w:val="2"/>
          <w:lang w:eastAsia="zh-CN"/>
        </w:rPr>
        <w:t xml:space="preserve"> Setting→</w:t>
      </w:r>
      <w:r>
        <w:rPr>
          <w:i/>
          <w:iCs/>
          <w:color w:val="0070C0"/>
          <w:kern w:val="2"/>
          <w:lang w:eastAsia="zh-CN"/>
        </w:rPr>
        <w:t>Password</w:t>
      </w:r>
      <w:r>
        <w:rPr>
          <w:rFonts w:hint="default"/>
          <w:i/>
          <w:iCs/>
          <w:color w:val="0070C0"/>
          <w:kern w:val="2"/>
          <w:lang w:val="en-GB" w:eastAsia="zh-CN"/>
        </w:rPr>
        <w:t>(0000)</w:t>
      </w:r>
      <w:r>
        <w:rPr>
          <w:rFonts w:hint="eastAsia"/>
          <w:i/>
          <w:iCs/>
          <w:color w:val="0070C0"/>
          <w:kern w:val="2"/>
          <w:lang w:eastAsia="zh-CN"/>
        </w:rPr>
        <w:t>→</w:t>
      </w:r>
      <w:r>
        <w:rPr>
          <w:i/>
          <w:iCs/>
          <w:color w:val="0070C0"/>
          <w:kern w:val="2"/>
          <w:lang w:eastAsia="zh-CN"/>
        </w:rPr>
        <w:t>User settings</w:t>
      </w:r>
    </w:p>
    <w:p w14:paraId="4374F911">
      <w:pPr>
        <w:spacing w:before="240" w:after="240"/>
        <w:jc w:val="center"/>
        <w:rPr>
          <w:rFonts w:ascii="微软雅黑" w:hAnsi="微软雅黑" w:eastAsia="微软雅黑" w:cs="微软雅黑"/>
        </w:rPr>
      </w:pPr>
      <w:r>
        <w:t xml:space="preserve"> </w:t>
      </w:r>
      <w:r>
        <w:rPr>
          <w:lang w:eastAsia="zh-CN"/>
        </w:rPr>
        <w:t xml:space="preserve"> </w:t>
      </w:r>
      <w:r>
        <w:rPr>
          <w:lang w:eastAsia="zh-CN"/>
        </w:rPr>
        <w:drawing>
          <wp:inline distT="0" distB="0" distL="0" distR="0">
            <wp:extent cx="1714500" cy="37109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1725327" cy="3733711"/>
                    </a:xfrm>
                    <a:prstGeom prst="rect">
                      <a:avLst/>
                    </a:prstGeom>
                  </pic:spPr>
                </pic:pic>
              </a:graphicData>
            </a:graphic>
          </wp:inline>
        </w:drawing>
      </w:r>
      <w:r>
        <w:rPr>
          <w:lang w:eastAsia="zh-CN"/>
        </w:rPr>
        <w:drawing>
          <wp:inline distT="0" distB="0" distL="0" distR="0">
            <wp:extent cx="1712595" cy="37064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1732176" cy="3748532"/>
                    </a:xfrm>
                    <a:prstGeom prst="rect">
                      <a:avLst/>
                    </a:prstGeom>
                  </pic:spPr>
                </pic:pic>
              </a:graphicData>
            </a:graphic>
          </wp:inline>
        </w:drawing>
      </w:r>
      <w:r>
        <w:drawing>
          <wp:inline distT="0" distB="0" distL="114300" distR="114300">
            <wp:extent cx="1983105" cy="3702685"/>
            <wp:effectExtent l="0" t="0" r="10795"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1983105" cy="3702685"/>
                    </a:xfrm>
                    <a:prstGeom prst="rect">
                      <a:avLst/>
                    </a:prstGeom>
                    <a:noFill/>
                    <a:ln>
                      <a:noFill/>
                    </a:ln>
                  </pic:spPr>
                </pic:pic>
              </a:graphicData>
            </a:graphic>
          </wp:inline>
        </w:drawing>
      </w:r>
    </w:p>
    <w:p w14:paraId="7518E163">
      <w:pPr>
        <w:spacing w:before="240" w:after="240"/>
        <w:rPr>
          <w:rFonts w:hint="default"/>
          <w:sz w:val="21"/>
          <w:szCs w:val="21"/>
          <w:lang w:val="en-US" w:eastAsia="zh-CN"/>
        </w:rPr>
      </w:pPr>
      <w:r>
        <w:rPr>
          <w:sz w:val="21"/>
          <w:szCs w:val="21"/>
        </w:rPr>
        <w:t>Step2:</w:t>
      </w:r>
      <w:r>
        <w:rPr>
          <w:sz w:val="21"/>
          <w:szCs w:val="21"/>
          <w:lang w:eastAsia="zh-CN"/>
        </w:rPr>
        <w:t xml:space="preserve"> </w:t>
      </w:r>
      <w:r>
        <w:rPr>
          <w:rFonts w:hint="eastAsia"/>
          <w:sz w:val="21"/>
          <w:szCs w:val="21"/>
          <w:lang w:eastAsia="zh-CN"/>
        </w:rPr>
        <w:t>Example of selfuse operating mode</w:t>
      </w:r>
      <w:r>
        <w:rPr>
          <w:rFonts w:hint="eastAsia"/>
          <w:sz w:val="21"/>
          <w:szCs w:val="21"/>
          <w:lang w:val="en-US" w:eastAsia="zh-CN"/>
        </w:rPr>
        <w:t>,</w:t>
      </w:r>
      <w:r>
        <w:rPr>
          <w:rFonts w:hint="eastAsia"/>
          <w:sz w:val="21"/>
          <w:szCs w:val="21"/>
          <w:lang w:eastAsia="zh-CN"/>
        </w:rPr>
        <w:t>understand the settings such as Min SOC.</w:t>
      </w:r>
    </w:p>
    <w:p w14:paraId="7FAE61EA">
      <w:pPr>
        <w:spacing w:before="240" w:after="240"/>
        <w:jc w:val="center"/>
        <w:rPr>
          <w:rFonts w:hint="eastAsia" w:eastAsiaTheme="minorEastAsia"/>
          <w:i/>
          <w:iCs/>
          <w:color w:val="0070C0"/>
          <w:kern w:val="2"/>
          <w:lang w:val="en-US" w:eastAsia="zh-CN"/>
        </w:rPr>
      </w:pPr>
      <w:r>
        <w:drawing>
          <wp:inline distT="0" distB="0" distL="114300" distR="114300">
            <wp:extent cx="2197100" cy="1885950"/>
            <wp:effectExtent l="0" t="0" r="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2197100" cy="1885950"/>
                    </a:xfrm>
                    <a:prstGeom prst="rect">
                      <a:avLst/>
                    </a:prstGeom>
                    <a:noFill/>
                    <a:ln>
                      <a:noFill/>
                    </a:ln>
                  </pic:spPr>
                </pic:pic>
              </a:graphicData>
            </a:graphic>
          </wp:inline>
        </w:drawing>
      </w:r>
    </w:p>
    <w:p w14:paraId="1D8A0442">
      <w:pPr>
        <w:pStyle w:val="4"/>
        <w:keepNext w:val="0"/>
        <w:keepLines w:val="0"/>
        <w:widowControl/>
        <w:suppressLineNumbers w:val="0"/>
        <w:rPr>
          <w:sz w:val="21"/>
          <w:szCs w:val="21"/>
          <w:lang w:eastAsia="zh-CN"/>
        </w:rPr>
      </w:pPr>
      <w:r>
        <w:rPr>
          <w:sz w:val="21"/>
          <w:szCs w:val="21"/>
          <w:lang w:eastAsia="zh-CN"/>
        </w:rPr>
        <w:t>Min Soc (setable range 10%~100%): When the battery discharges to the set minimum SOC value, it will stop discharging, and the inverter will enter idle mode, halting operation. It will remain in this state until surplus PV energy is available to charge the battery, or until the scheduled boost charging time period begins, at which point it will charge the battery using grid power.</w:t>
      </w:r>
    </w:p>
    <w:p w14:paraId="60A9FE7E">
      <w:pPr>
        <w:spacing w:before="240" w:after="240"/>
        <w:jc w:val="both"/>
        <w:rPr>
          <w:rFonts w:ascii="Times New Roman" w:hAnsi="Times New Roman" w:cs="Times New Roman" w:eastAsiaTheme="minorEastAsia"/>
          <w:kern w:val="0"/>
          <w:sz w:val="21"/>
          <w:szCs w:val="21"/>
          <w:lang w:val="en-US" w:eastAsia="zh-CN" w:bidi="ar"/>
        </w:rPr>
      </w:pPr>
      <w:r>
        <w:rPr>
          <w:rFonts w:ascii="Times New Roman" w:hAnsi="Times New Roman" w:cs="Times New Roman" w:eastAsiaTheme="minorEastAsia"/>
          <w:kern w:val="0"/>
          <w:sz w:val="21"/>
          <w:szCs w:val="21"/>
          <w:lang w:val="en-US" w:eastAsia="zh-CN" w:bidi="ar"/>
        </w:rPr>
        <w:t>Charge from grid(enable/disable): It depends on whether you are willing to buy electricity from the grid to charge the battery.</w:t>
      </w:r>
      <w:r>
        <w:rPr>
          <w:sz w:val="21"/>
          <w:szCs w:val="21"/>
          <w:lang w:eastAsia="zh-CN"/>
        </w:rPr>
        <w:t>When you enable the "Charge from Grid" feature, you can configure the “Charge Battery to” setting. This determines the maximum state of charge you want to allow the battery to reach when charging from the grid.</w:t>
      </w:r>
      <w:r>
        <w:rPr>
          <w:rFonts w:ascii="Times New Roman" w:hAnsi="Times New Roman" w:cs="Times New Roman" w:eastAsiaTheme="minorEastAsia"/>
          <w:kern w:val="0"/>
          <w:sz w:val="21"/>
          <w:szCs w:val="21"/>
          <w:lang w:val="en-US" w:eastAsia="zh-CN" w:bidi="ar"/>
        </w:rPr>
        <w:t>The setting in the above diagram indicates that during the charging process, the battery will charge from the grid at full power until the SOC reaches 30%. Once it reaches 30%, the battery will wait for surplus PV energy to charge the battery until it is fully charged.</w:t>
      </w:r>
    </w:p>
    <w:p w14:paraId="3EE6AED4">
      <w:pPr>
        <w:spacing w:before="240" w:after="240"/>
        <w:rPr>
          <w:sz w:val="21"/>
          <w:szCs w:val="21"/>
        </w:rPr>
      </w:pPr>
      <w:r>
        <w:rPr>
          <w:sz w:val="21"/>
          <w:szCs w:val="21"/>
        </w:rPr>
        <w:t>Step3:</w:t>
      </w:r>
      <w:r>
        <w:rPr>
          <w:sz w:val="21"/>
          <w:szCs w:val="21"/>
          <w:lang w:eastAsia="zh-CN"/>
        </w:rPr>
        <w:t xml:space="preserve"> </w:t>
      </w:r>
      <w:r>
        <w:rPr>
          <w:sz w:val="21"/>
          <w:szCs w:val="21"/>
        </w:rPr>
        <w:t xml:space="preserve"> </w:t>
      </w:r>
      <w:r>
        <w:rPr>
          <w:rFonts w:hint="eastAsia"/>
          <w:sz w:val="21"/>
          <w:szCs w:val="21"/>
          <w:lang w:val="en-US" w:eastAsia="zh-CN"/>
        </w:rPr>
        <w:t>For the &lt;Chrg&amp;Dischrg Period&gt; setting,</w:t>
      </w:r>
      <w:r>
        <w:rPr>
          <w:rFonts w:hint="eastAsia"/>
          <w:sz w:val="21"/>
          <w:szCs w:val="21"/>
        </w:rPr>
        <w:t>The battery will only discharge during the allowed discharge time period. If the time settings for parts 1 and 2 overlap, the charging time of part 1 will take priority and be executed first.</w:t>
      </w:r>
    </w:p>
    <w:p w14:paraId="7128ABAC">
      <w:pPr>
        <w:spacing w:before="240" w:after="240"/>
        <w:jc w:val="center"/>
        <w:rPr>
          <w:rFonts w:hint="default"/>
          <w:sz w:val="21"/>
          <w:szCs w:val="21"/>
          <w:lang w:val="en-US" w:eastAsia="zh-CN"/>
        </w:rPr>
      </w:pPr>
      <w:r>
        <w:drawing>
          <wp:inline distT="0" distB="0" distL="114300" distR="114300">
            <wp:extent cx="3307715" cy="3324225"/>
            <wp:effectExtent l="0" t="0" r="6985" b="317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3307715" cy="3324225"/>
                    </a:xfrm>
                    <a:prstGeom prst="rect">
                      <a:avLst/>
                    </a:prstGeom>
                    <a:noFill/>
                    <a:ln>
                      <a:noFill/>
                    </a:ln>
                  </pic:spPr>
                </pic:pic>
              </a:graphicData>
            </a:graphic>
          </wp:inline>
        </w:drawing>
      </w:r>
    </w:p>
    <w:p w14:paraId="5209A443">
      <w:pPr>
        <w:spacing w:before="240" w:after="240"/>
        <w:rPr>
          <w:sz w:val="21"/>
          <w:szCs w:val="21"/>
        </w:rPr>
      </w:pPr>
      <w:r>
        <w:rPr>
          <w:sz w:val="21"/>
          <w:szCs w:val="21"/>
        </w:rPr>
        <w:t xml:space="preserve">In the forced charge period, </w:t>
      </w:r>
      <w:r>
        <w:rPr>
          <w:rFonts w:hint="eastAsia"/>
          <w:sz w:val="21"/>
          <w:szCs w:val="21"/>
          <w:lang w:val="en-US" w:eastAsia="zh-CN"/>
        </w:rPr>
        <w:t>w</w:t>
      </w:r>
      <w:r>
        <w:rPr>
          <w:rFonts w:hint="eastAsia"/>
          <w:sz w:val="21"/>
          <w:szCs w:val="21"/>
        </w:rPr>
        <w:t>hen the battery SOC is lower than the value set in **&lt;Charge battery to %&gt;** mentioned in step 2, both PV and grid power will prioritize charging the battery. However, when the SOC is higher than this value, the battery will not discharge, even if PV energy is insufficient to power the load.</w:t>
      </w:r>
    </w:p>
    <w:p w14:paraId="2CFA6C80">
      <w:pPr>
        <w:spacing w:before="240" w:after="240"/>
        <w:rPr>
          <w:sz w:val="21"/>
          <w:szCs w:val="21"/>
        </w:rPr>
      </w:pPr>
      <w:r>
        <w:rPr>
          <w:sz w:val="21"/>
          <w:szCs w:val="21"/>
        </w:rPr>
        <w:t xml:space="preserve">In the </w:t>
      </w:r>
      <w:r>
        <w:rPr>
          <w:rFonts w:hint="eastAsia"/>
          <w:sz w:val="21"/>
          <w:szCs w:val="21"/>
          <w:lang w:eastAsia="zh-CN"/>
        </w:rPr>
        <w:t>allowed</w:t>
      </w:r>
      <w:r>
        <w:rPr>
          <w:sz w:val="21"/>
          <w:szCs w:val="21"/>
        </w:rPr>
        <w:t xml:space="preserve"> discharge period,</w:t>
      </w:r>
      <w:r>
        <w:rPr>
          <w:rFonts w:hint="eastAsia"/>
          <w:sz w:val="21"/>
          <w:szCs w:val="21"/>
          <w:lang w:val="en-US" w:eastAsia="zh-CN"/>
        </w:rPr>
        <w:t>b</w:t>
      </w:r>
      <w:r>
        <w:rPr>
          <w:rFonts w:hint="eastAsia"/>
          <w:sz w:val="21"/>
          <w:szCs w:val="21"/>
        </w:rPr>
        <w:t>oth the battery and PV will supply power to the load, with PV being prioritized. Once the battery discharges to the value set in **&lt;Min SOC&gt;**, the inverter will enter idle mode.</w:t>
      </w:r>
    </w:p>
    <w:p w14:paraId="1211809F">
      <w:pPr>
        <w:spacing w:before="240" w:after="240"/>
        <w:jc w:val="both"/>
        <w:rPr>
          <w:rFonts w:ascii="Calibri" w:hAnsi="Calibri" w:eastAsia="宋体" w:cs="Calibri"/>
          <w:b/>
          <w:bCs/>
          <w:color w:val="C8460A"/>
          <w:lang w:eastAsia="zh-CN"/>
        </w:rPr>
      </w:pPr>
      <w:r>
        <w:rPr>
          <w:rFonts w:hint="eastAsia" w:ascii="Calibri" w:hAnsi="Calibri" w:eastAsia="宋体" w:cs="Calibri"/>
          <w:b/>
          <w:bCs/>
          <w:color w:val="C8460A"/>
          <w:lang w:eastAsia="zh-CN"/>
        </w:rPr>
        <w:t>Please note</w:t>
      </w:r>
    </w:p>
    <w:p w14:paraId="66B6839B">
      <w:pPr>
        <w:numPr>
          <w:ilvl w:val="0"/>
          <w:numId w:val="1"/>
        </w:numPr>
        <w:spacing w:before="240" w:after="240"/>
        <w:jc w:val="both"/>
        <w:rPr>
          <w:sz w:val="21"/>
          <w:szCs w:val="21"/>
          <w:lang w:eastAsia="zh-CN"/>
        </w:rPr>
      </w:pPr>
      <w:r>
        <w:rPr>
          <w:sz w:val="21"/>
          <w:szCs w:val="21"/>
          <w:lang w:eastAsia="zh-CN"/>
        </w:rPr>
        <w:t>If the settings save fails, please check your mobile network, ensure a stable connection, log out of your account, and then log back in. Follow the steps above to make the changes.</w:t>
      </w:r>
    </w:p>
    <w:sectPr>
      <w:pgSz w:w="12240" w:h="15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EFB6BD"/>
    <w:multiLevelType w:val="singleLevel"/>
    <w:tmpl w:val="1CEFB6BD"/>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79D8"/>
    <w:rsid w:val="00024CC1"/>
    <w:rsid w:val="00032106"/>
    <w:rsid w:val="00047963"/>
    <w:rsid w:val="00051A80"/>
    <w:rsid w:val="00055B8E"/>
    <w:rsid w:val="00063093"/>
    <w:rsid w:val="00066470"/>
    <w:rsid w:val="000702E4"/>
    <w:rsid w:val="000755CE"/>
    <w:rsid w:val="00083B2F"/>
    <w:rsid w:val="000947BC"/>
    <w:rsid w:val="000B67F6"/>
    <w:rsid w:val="000D1095"/>
    <w:rsid w:val="00104B26"/>
    <w:rsid w:val="00112976"/>
    <w:rsid w:val="0012041B"/>
    <w:rsid w:val="00151B86"/>
    <w:rsid w:val="001540A7"/>
    <w:rsid w:val="00167770"/>
    <w:rsid w:val="001760DF"/>
    <w:rsid w:val="00177592"/>
    <w:rsid w:val="00181509"/>
    <w:rsid w:val="00184B03"/>
    <w:rsid w:val="00185920"/>
    <w:rsid w:val="00185D51"/>
    <w:rsid w:val="0018635E"/>
    <w:rsid w:val="0018732E"/>
    <w:rsid w:val="001C7DDA"/>
    <w:rsid w:val="001E0275"/>
    <w:rsid w:val="00201117"/>
    <w:rsid w:val="002012EE"/>
    <w:rsid w:val="00202D13"/>
    <w:rsid w:val="00220975"/>
    <w:rsid w:val="002301EF"/>
    <w:rsid w:val="00230EE1"/>
    <w:rsid w:val="00233A71"/>
    <w:rsid w:val="00234862"/>
    <w:rsid w:val="002413D4"/>
    <w:rsid w:val="002501B4"/>
    <w:rsid w:val="00261C43"/>
    <w:rsid w:val="002752D9"/>
    <w:rsid w:val="002851E7"/>
    <w:rsid w:val="0028678F"/>
    <w:rsid w:val="002A2057"/>
    <w:rsid w:val="002A38E7"/>
    <w:rsid w:val="002A48C4"/>
    <w:rsid w:val="002A7852"/>
    <w:rsid w:val="002C36EE"/>
    <w:rsid w:val="002D399A"/>
    <w:rsid w:val="002D4B0A"/>
    <w:rsid w:val="002E4EC6"/>
    <w:rsid w:val="002F00E4"/>
    <w:rsid w:val="002F6F37"/>
    <w:rsid w:val="00305E35"/>
    <w:rsid w:val="00313A88"/>
    <w:rsid w:val="003172F0"/>
    <w:rsid w:val="00320362"/>
    <w:rsid w:val="0032751F"/>
    <w:rsid w:val="00337DD0"/>
    <w:rsid w:val="00347C2A"/>
    <w:rsid w:val="00367275"/>
    <w:rsid w:val="0037587F"/>
    <w:rsid w:val="00383A79"/>
    <w:rsid w:val="00397E72"/>
    <w:rsid w:val="003C0EB3"/>
    <w:rsid w:val="003C11D7"/>
    <w:rsid w:val="003C35D0"/>
    <w:rsid w:val="003D4306"/>
    <w:rsid w:val="003D5B00"/>
    <w:rsid w:val="003D5CE4"/>
    <w:rsid w:val="003F2A37"/>
    <w:rsid w:val="00412F6B"/>
    <w:rsid w:val="00422D28"/>
    <w:rsid w:val="00423B65"/>
    <w:rsid w:val="00425A17"/>
    <w:rsid w:val="00437188"/>
    <w:rsid w:val="00445C44"/>
    <w:rsid w:val="0045422A"/>
    <w:rsid w:val="00467DA2"/>
    <w:rsid w:val="0047100D"/>
    <w:rsid w:val="00475601"/>
    <w:rsid w:val="00475D4D"/>
    <w:rsid w:val="004830E0"/>
    <w:rsid w:val="00495B7D"/>
    <w:rsid w:val="004A27C5"/>
    <w:rsid w:val="004D6959"/>
    <w:rsid w:val="004E5FE0"/>
    <w:rsid w:val="004F26F4"/>
    <w:rsid w:val="004F3248"/>
    <w:rsid w:val="00514DC3"/>
    <w:rsid w:val="00517FED"/>
    <w:rsid w:val="00525E8C"/>
    <w:rsid w:val="00530542"/>
    <w:rsid w:val="0054508E"/>
    <w:rsid w:val="00545DB8"/>
    <w:rsid w:val="005600CC"/>
    <w:rsid w:val="0056395D"/>
    <w:rsid w:val="0056403F"/>
    <w:rsid w:val="00574260"/>
    <w:rsid w:val="005837EB"/>
    <w:rsid w:val="00592F83"/>
    <w:rsid w:val="005A2603"/>
    <w:rsid w:val="005A261F"/>
    <w:rsid w:val="005A72EC"/>
    <w:rsid w:val="005B69F6"/>
    <w:rsid w:val="005D59F0"/>
    <w:rsid w:val="006003D3"/>
    <w:rsid w:val="0061756E"/>
    <w:rsid w:val="006252DB"/>
    <w:rsid w:val="006312B8"/>
    <w:rsid w:val="006318A8"/>
    <w:rsid w:val="00652D4E"/>
    <w:rsid w:val="00655EEF"/>
    <w:rsid w:val="00670B88"/>
    <w:rsid w:val="00672BFF"/>
    <w:rsid w:val="006870C0"/>
    <w:rsid w:val="00687341"/>
    <w:rsid w:val="006A160A"/>
    <w:rsid w:val="006B3769"/>
    <w:rsid w:val="006B5F8B"/>
    <w:rsid w:val="006F4408"/>
    <w:rsid w:val="007054C2"/>
    <w:rsid w:val="007230B0"/>
    <w:rsid w:val="007245D0"/>
    <w:rsid w:val="0073461C"/>
    <w:rsid w:val="0074495D"/>
    <w:rsid w:val="00744A6A"/>
    <w:rsid w:val="00753082"/>
    <w:rsid w:val="00754C4A"/>
    <w:rsid w:val="007666E6"/>
    <w:rsid w:val="00777E4C"/>
    <w:rsid w:val="0078063A"/>
    <w:rsid w:val="007818FE"/>
    <w:rsid w:val="007820A2"/>
    <w:rsid w:val="00783425"/>
    <w:rsid w:val="007A321D"/>
    <w:rsid w:val="007B0F83"/>
    <w:rsid w:val="007B3122"/>
    <w:rsid w:val="007B580E"/>
    <w:rsid w:val="007B7087"/>
    <w:rsid w:val="007B763E"/>
    <w:rsid w:val="007B7972"/>
    <w:rsid w:val="007C16BD"/>
    <w:rsid w:val="007C3234"/>
    <w:rsid w:val="007C59FA"/>
    <w:rsid w:val="007C64DF"/>
    <w:rsid w:val="007C7E04"/>
    <w:rsid w:val="007D3DA8"/>
    <w:rsid w:val="007F418A"/>
    <w:rsid w:val="00813080"/>
    <w:rsid w:val="008152D4"/>
    <w:rsid w:val="00823164"/>
    <w:rsid w:val="0083697B"/>
    <w:rsid w:val="0084647B"/>
    <w:rsid w:val="00861059"/>
    <w:rsid w:val="008610B9"/>
    <w:rsid w:val="008651FD"/>
    <w:rsid w:val="00866BBC"/>
    <w:rsid w:val="00874B98"/>
    <w:rsid w:val="00877C2E"/>
    <w:rsid w:val="00896645"/>
    <w:rsid w:val="008A7BEB"/>
    <w:rsid w:val="008B570A"/>
    <w:rsid w:val="008C1DB6"/>
    <w:rsid w:val="008C3FFF"/>
    <w:rsid w:val="008C4821"/>
    <w:rsid w:val="008E1960"/>
    <w:rsid w:val="008E2F00"/>
    <w:rsid w:val="008E6DF6"/>
    <w:rsid w:val="008F1CAC"/>
    <w:rsid w:val="009160EA"/>
    <w:rsid w:val="00920A7B"/>
    <w:rsid w:val="00951BED"/>
    <w:rsid w:val="00953019"/>
    <w:rsid w:val="00956434"/>
    <w:rsid w:val="00960BD0"/>
    <w:rsid w:val="00970B10"/>
    <w:rsid w:val="009900E9"/>
    <w:rsid w:val="00991044"/>
    <w:rsid w:val="009A4E9C"/>
    <w:rsid w:val="009A6848"/>
    <w:rsid w:val="009B1C70"/>
    <w:rsid w:val="009C120A"/>
    <w:rsid w:val="009C2B70"/>
    <w:rsid w:val="009C3513"/>
    <w:rsid w:val="009F7F8D"/>
    <w:rsid w:val="00A06D2B"/>
    <w:rsid w:val="00A107A5"/>
    <w:rsid w:val="00A12603"/>
    <w:rsid w:val="00A16904"/>
    <w:rsid w:val="00A21E00"/>
    <w:rsid w:val="00A642D1"/>
    <w:rsid w:val="00A7073E"/>
    <w:rsid w:val="00A72AB2"/>
    <w:rsid w:val="00A743E2"/>
    <w:rsid w:val="00A77B3E"/>
    <w:rsid w:val="00A83498"/>
    <w:rsid w:val="00A83E24"/>
    <w:rsid w:val="00A83F5F"/>
    <w:rsid w:val="00AA7498"/>
    <w:rsid w:val="00AC3C5E"/>
    <w:rsid w:val="00AC59CE"/>
    <w:rsid w:val="00AD5A8F"/>
    <w:rsid w:val="00AE55DB"/>
    <w:rsid w:val="00AF1C60"/>
    <w:rsid w:val="00B00321"/>
    <w:rsid w:val="00B02793"/>
    <w:rsid w:val="00B12E78"/>
    <w:rsid w:val="00B36D14"/>
    <w:rsid w:val="00B40AEF"/>
    <w:rsid w:val="00B43B41"/>
    <w:rsid w:val="00B4772D"/>
    <w:rsid w:val="00B51A1F"/>
    <w:rsid w:val="00B75721"/>
    <w:rsid w:val="00B828AC"/>
    <w:rsid w:val="00BA0F59"/>
    <w:rsid w:val="00BA134C"/>
    <w:rsid w:val="00BA226C"/>
    <w:rsid w:val="00BF743E"/>
    <w:rsid w:val="00C219B3"/>
    <w:rsid w:val="00C47317"/>
    <w:rsid w:val="00C47CC3"/>
    <w:rsid w:val="00C50622"/>
    <w:rsid w:val="00C510C3"/>
    <w:rsid w:val="00C51D78"/>
    <w:rsid w:val="00C52453"/>
    <w:rsid w:val="00C578F9"/>
    <w:rsid w:val="00C70B8E"/>
    <w:rsid w:val="00C71105"/>
    <w:rsid w:val="00C74EF9"/>
    <w:rsid w:val="00C834A5"/>
    <w:rsid w:val="00CA2A55"/>
    <w:rsid w:val="00CA39AB"/>
    <w:rsid w:val="00CA3EDC"/>
    <w:rsid w:val="00CC0FAE"/>
    <w:rsid w:val="00CC36D0"/>
    <w:rsid w:val="00CD0E02"/>
    <w:rsid w:val="00CD7651"/>
    <w:rsid w:val="00CE09CD"/>
    <w:rsid w:val="00CE6F1D"/>
    <w:rsid w:val="00CF5621"/>
    <w:rsid w:val="00D051E5"/>
    <w:rsid w:val="00D1202D"/>
    <w:rsid w:val="00D3673B"/>
    <w:rsid w:val="00D40108"/>
    <w:rsid w:val="00D544F5"/>
    <w:rsid w:val="00D65829"/>
    <w:rsid w:val="00D867B3"/>
    <w:rsid w:val="00DB3BB5"/>
    <w:rsid w:val="00DC36FA"/>
    <w:rsid w:val="00DD0F1C"/>
    <w:rsid w:val="00DD3D57"/>
    <w:rsid w:val="00DF0789"/>
    <w:rsid w:val="00DF3E27"/>
    <w:rsid w:val="00DF576F"/>
    <w:rsid w:val="00E042CE"/>
    <w:rsid w:val="00E1618C"/>
    <w:rsid w:val="00E54D54"/>
    <w:rsid w:val="00E577DA"/>
    <w:rsid w:val="00E770DF"/>
    <w:rsid w:val="00E806F6"/>
    <w:rsid w:val="00E80C09"/>
    <w:rsid w:val="00E834FB"/>
    <w:rsid w:val="00EC0C75"/>
    <w:rsid w:val="00EC5B3E"/>
    <w:rsid w:val="00ED60F4"/>
    <w:rsid w:val="00EF5A0D"/>
    <w:rsid w:val="00F13F37"/>
    <w:rsid w:val="00F26C05"/>
    <w:rsid w:val="00F31E67"/>
    <w:rsid w:val="00F503A3"/>
    <w:rsid w:val="00F51081"/>
    <w:rsid w:val="00F57D22"/>
    <w:rsid w:val="00F62E46"/>
    <w:rsid w:val="00F73B8D"/>
    <w:rsid w:val="00F74810"/>
    <w:rsid w:val="00F917D9"/>
    <w:rsid w:val="00FA2F68"/>
    <w:rsid w:val="00FB267F"/>
    <w:rsid w:val="00FB5AD4"/>
    <w:rsid w:val="00FD29A8"/>
    <w:rsid w:val="00FD7604"/>
    <w:rsid w:val="00FE0C1F"/>
    <w:rsid w:val="00FE3815"/>
    <w:rsid w:val="00FE3F04"/>
    <w:rsid w:val="118E0A4F"/>
    <w:rsid w:val="1D5726AE"/>
    <w:rsid w:val="1E2D620F"/>
    <w:rsid w:val="37EE55A5"/>
    <w:rsid w:val="4B016424"/>
    <w:rsid w:val="4EC512BE"/>
    <w:rsid w:val="51B67998"/>
    <w:rsid w:val="5BC546AB"/>
    <w:rsid w:val="62073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0"/>
    <w:pPr>
      <w:tabs>
        <w:tab w:val="center" w:pos="4153"/>
        <w:tab w:val="right" w:pos="8306"/>
      </w:tabs>
      <w:snapToGrid w:val="0"/>
    </w:pPr>
    <w:rPr>
      <w:sz w:val="18"/>
      <w:szCs w:val="18"/>
    </w:rPr>
  </w:style>
  <w:style w:type="paragraph" w:styleId="3">
    <w:name w:val="header"/>
    <w:basedOn w:val="1"/>
    <w:link w:val="9"/>
    <w:unhideWhenUsed/>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image-componnet-wrapper"/>
    <w:basedOn w:val="6"/>
    <w:qFormat/>
    <w:uiPriority w:val="0"/>
  </w:style>
  <w:style w:type="character" w:customStyle="1" w:styleId="9">
    <w:name w:val="页眉 字符"/>
    <w:basedOn w:val="6"/>
    <w:link w:val="3"/>
    <w:qFormat/>
    <w:uiPriority w:val="0"/>
    <w:rPr>
      <w:sz w:val="18"/>
      <w:szCs w:val="18"/>
    </w:rPr>
  </w:style>
  <w:style w:type="character" w:customStyle="1" w:styleId="10">
    <w:name w:val="页脚 字符"/>
    <w:basedOn w:val="6"/>
    <w:link w:val="2"/>
    <w:qFormat/>
    <w:uiPriority w:val="0"/>
    <w:rPr>
      <w:sz w:val="18"/>
      <w:szCs w:val="18"/>
    </w:rPr>
  </w:style>
  <w:style w:type="paragraph" w:customStyle="1" w:styleId="11">
    <w:name w:val="paragraph"/>
    <w:basedOn w:val="1"/>
    <w:semiHidden/>
    <w:qFormat/>
    <w:uiPriority w:val="0"/>
    <w:pPr>
      <w:spacing w:before="100" w:beforeAutospacing="1" w:after="100" w:afterAutospacing="1"/>
    </w:pPr>
    <w:rPr>
      <w:rFonts w:ascii="等线" w:hAnsi="等线" w:eastAsia="等线"/>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373</Words>
  <Characters>1827</Characters>
  <Lines>15</Lines>
  <Paragraphs>4</Paragraphs>
  <TotalTime>4</TotalTime>
  <ScaleCrop>false</ScaleCrop>
  <LinksUpToDate>false</LinksUpToDate>
  <CharactersWithSpaces>2182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2024-11-06T01:40:00Z</dcterms:created>
  <dc:creator>lenovo</dc:creator>
  <cp:lastModifiedBy>©</cp:lastModifiedBy>
  <dcterms:modified xsi:type="dcterms:W3CDTF">2024-11-21T05:42:50Z</dcterms:modified>
  <cp:revision>249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C1F9E29CFA704390AC0585B044238050_13</vt:lpwstr>
  </property>
</Properties>
</file>