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política-de-respaldo-y-recuperación"/>
    <w:p>
      <w:pPr>
        <w:pStyle w:val="Heading1"/>
      </w:pPr>
      <w:r>
        <w:t xml:space="preserve">Política de Respaldo y Recuperación</w:t>
      </w:r>
    </w:p>
    <w:bookmarkStart w:id="21" w:name="sistema-de-gestión-de-parques-nacionales"/>
    <w:p>
      <w:pPr>
        <w:pStyle w:val="Heading2"/>
      </w:pPr>
      <w:r>
        <w:t xml:space="preserve">Sistema de Gestión de Parques Nacionales</w:t>
      </w:r>
    </w:p>
    <w:bookmarkStart w:id="20" w:name="objetivo"/>
    <w:p>
      <w:pPr>
        <w:pStyle w:val="Heading3"/>
      </w:pPr>
      <w:r>
        <w:t xml:space="preserve">Objetivo</w:t>
      </w:r>
    </w:p>
    <w:p>
      <w:pPr>
        <w:pStyle w:val="FirstParagraph"/>
      </w:pPr>
      <w:r>
        <w:t xml:space="preserve">Garantizar la disponibilidad y recuperación de la información del Sistema de Gestión de Parques Nacionales ante fallas de hardware, errores humanos, corrupción de datos o incidentes que afecten el normal funcionamiento de la base de datos.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estrategia-de-backups"/>
    <w:p>
      <w:pPr>
        <w:pStyle w:val="Heading2"/>
      </w:pPr>
      <w:r>
        <w:t xml:space="preserve">Estrategia de Backups</w:t>
      </w:r>
    </w:p>
    <w:bookmarkStart w:id="22" w:name="backup-completo-full-backup"/>
    <w:p>
      <w:pPr>
        <w:pStyle w:val="Heading3"/>
      </w:pPr>
      <w:r>
        <w:t xml:space="preserve">Backup Completo (Full Backup)</w:t>
      </w:r>
    </w:p>
    <w:p>
      <w:pPr>
        <w:pStyle w:val="Compact"/>
        <w:numPr>
          <w:ilvl w:val="0"/>
          <w:numId w:val="1001"/>
        </w:numPr>
      </w:pPr>
      <w:r>
        <w:t xml:space="preserve">Frecuencia: Semanal.</w:t>
      </w:r>
    </w:p>
    <w:p>
      <w:pPr>
        <w:pStyle w:val="Compact"/>
        <w:numPr>
          <w:ilvl w:val="0"/>
          <w:numId w:val="1001"/>
        </w:numPr>
      </w:pPr>
      <w:r>
        <w:t xml:space="preserve">Día de ejecución: Domingo.</w:t>
      </w:r>
    </w:p>
    <w:p>
      <w:pPr>
        <w:pStyle w:val="Compact"/>
        <w:numPr>
          <w:ilvl w:val="0"/>
          <w:numId w:val="1001"/>
        </w:numPr>
      </w:pPr>
      <w:r>
        <w:t xml:space="preserve">Hora de ejecución: 03:00 hs.</w:t>
      </w:r>
    </w:p>
    <w:p>
      <w:pPr>
        <w:pStyle w:val="Compact"/>
        <w:numPr>
          <w:ilvl w:val="0"/>
          <w:numId w:val="1001"/>
        </w:numPr>
      </w:pPr>
      <w:r>
        <w:t xml:space="preserve">Alcance: Base de datos completa.</w:t>
      </w:r>
    </w:p>
    <w:p>
      <w:pPr>
        <w:pStyle w:val="FirstParagraph"/>
      </w:pPr>
      <w:r>
        <w:t xml:space="preserve">Objetivo:</w:t>
      </w:r>
    </w:p>
    <w:p>
      <w:pPr>
        <w:pStyle w:val="BodyText"/>
      </w:pPr>
      <w:r>
        <w:t xml:space="preserve">Permitir la recuperación total de la base de datos a partir de una copia íntegra del sistema.</w:t>
      </w:r>
    </w:p>
    <w:p>
      <w:r>
        <w:pict>
          <v:rect style="width:0;height:1.5pt" o:hralign="center" o:hrstd="t" o:hr="t"/>
        </w:pict>
      </w:r>
    </w:p>
    <w:bookmarkEnd w:id="22"/>
    <w:bookmarkStart w:id="23" w:name="backup-diferencial"/>
    <w:p>
      <w:pPr>
        <w:pStyle w:val="Heading3"/>
      </w:pPr>
      <w:r>
        <w:t xml:space="preserve">Backup Diferencial</w:t>
      </w:r>
    </w:p>
    <w:p>
      <w:pPr>
        <w:pStyle w:val="Compact"/>
        <w:numPr>
          <w:ilvl w:val="0"/>
          <w:numId w:val="1002"/>
        </w:numPr>
      </w:pPr>
      <w:r>
        <w:t xml:space="preserve">Frecuencia: Diaria.</w:t>
      </w:r>
    </w:p>
    <w:p>
      <w:pPr>
        <w:pStyle w:val="Compact"/>
        <w:numPr>
          <w:ilvl w:val="0"/>
          <w:numId w:val="1002"/>
        </w:numPr>
      </w:pPr>
      <w:r>
        <w:t xml:space="preserve">Hora de ejecución: 03:00 hs.</w:t>
      </w:r>
    </w:p>
    <w:p>
      <w:pPr>
        <w:pStyle w:val="Compact"/>
        <w:numPr>
          <w:ilvl w:val="0"/>
          <w:numId w:val="1002"/>
        </w:numPr>
      </w:pPr>
      <w:r>
        <w:t xml:space="preserve">Alcance: Cambios realizados desde el último backup completo.</w:t>
      </w:r>
    </w:p>
    <w:p>
      <w:pPr>
        <w:pStyle w:val="FirstParagraph"/>
      </w:pPr>
      <w:r>
        <w:t xml:space="preserve">Objetivo:</w:t>
      </w:r>
    </w:p>
    <w:p>
      <w:pPr>
        <w:pStyle w:val="BodyText"/>
      </w:pPr>
      <w:r>
        <w:t xml:space="preserve">Reducir el tiempo de restauración y minimizar el espacio de almacenamiento utilizado.</w:t>
      </w:r>
    </w:p>
    <w:p>
      <w:r>
        <w:pict>
          <v:rect style="width:0;height:1.5pt" o:hralign="center" o:hrstd="t" o:hr="t"/>
        </w:pict>
      </w:r>
    </w:p>
    <w:bookmarkEnd w:id="23"/>
    <w:bookmarkStart w:id="24" w:name="backup-de-log-de-transacciones"/>
    <w:p>
      <w:pPr>
        <w:pStyle w:val="Heading3"/>
      </w:pPr>
      <w:r>
        <w:t xml:space="preserve">Backup de Log de Transacciones</w:t>
      </w:r>
    </w:p>
    <w:p>
      <w:pPr>
        <w:pStyle w:val="Compact"/>
        <w:numPr>
          <w:ilvl w:val="0"/>
          <w:numId w:val="1003"/>
        </w:numPr>
      </w:pPr>
      <w:r>
        <w:t xml:space="preserve">Frecuencia: Cada 6 horas.</w:t>
      </w:r>
    </w:p>
    <w:p>
      <w:pPr>
        <w:pStyle w:val="Compact"/>
        <w:numPr>
          <w:ilvl w:val="0"/>
          <w:numId w:val="1003"/>
        </w:numPr>
      </w:pPr>
      <w:r>
        <w:t xml:space="preserve">Horarios de ejecución:</w:t>
      </w:r>
    </w:p>
    <w:p>
      <w:pPr>
        <w:pStyle w:val="Compact"/>
        <w:numPr>
          <w:ilvl w:val="1"/>
          <w:numId w:val="1004"/>
        </w:numPr>
      </w:pPr>
      <w:r>
        <w:t xml:space="preserve">03:00 hs</w:t>
      </w:r>
    </w:p>
    <w:p>
      <w:pPr>
        <w:pStyle w:val="Compact"/>
        <w:numPr>
          <w:ilvl w:val="1"/>
          <w:numId w:val="1004"/>
        </w:numPr>
      </w:pPr>
      <w:r>
        <w:t xml:space="preserve">09:00 hs</w:t>
      </w:r>
    </w:p>
    <w:p>
      <w:pPr>
        <w:pStyle w:val="Compact"/>
        <w:numPr>
          <w:ilvl w:val="1"/>
          <w:numId w:val="1004"/>
        </w:numPr>
      </w:pPr>
      <w:r>
        <w:t xml:space="preserve">15:00 hs</w:t>
      </w:r>
    </w:p>
    <w:p>
      <w:pPr>
        <w:pStyle w:val="Compact"/>
        <w:numPr>
          <w:ilvl w:val="1"/>
          <w:numId w:val="1004"/>
        </w:numPr>
      </w:pPr>
      <w:r>
        <w:t xml:space="preserve">21:00 hs</w:t>
      </w:r>
    </w:p>
    <w:p>
      <w:pPr>
        <w:pStyle w:val="FirstParagraph"/>
      </w:pPr>
      <w:r>
        <w:t xml:space="preserve">Objetivo:</w:t>
      </w:r>
    </w:p>
    <w:p>
      <w:pPr>
        <w:pStyle w:val="BodyText"/>
      </w:pPr>
      <w:r>
        <w:t xml:space="preserve">Permitir la recuperación de transacciones recientes y minimizar la pérdida de información ante una falla inesperada.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olítica-de-retención"/>
    <w:p>
      <w:pPr>
        <w:pStyle w:val="Heading2"/>
      </w:pPr>
      <w:r>
        <w:t xml:space="preserve">Política de Retención</w:t>
      </w:r>
    </w:p>
    <w:p>
      <w:pPr>
        <w:pStyle w:val="Compact"/>
        <w:numPr>
          <w:ilvl w:val="0"/>
          <w:numId w:val="1005"/>
        </w:numPr>
      </w:pPr>
      <w:r>
        <w:t xml:space="preserve">Backups completos: 90 días.</w:t>
      </w:r>
    </w:p>
    <w:p>
      <w:pPr>
        <w:pStyle w:val="Compact"/>
        <w:numPr>
          <w:ilvl w:val="0"/>
          <w:numId w:val="1005"/>
        </w:numPr>
      </w:pPr>
      <w:r>
        <w:t xml:space="preserve">Backups diferenciales: 30 días.</w:t>
      </w:r>
    </w:p>
    <w:p>
      <w:pPr>
        <w:pStyle w:val="Compact"/>
        <w:numPr>
          <w:ilvl w:val="0"/>
          <w:numId w:val="1005"/>
        </w:numPr>
      </w:pPr>
      <w:r>
        <w:t xml:space="preserve">Backups de log de transacciones: 15 días.</w:t>
      </w:r>
    </w:p>
    <w:p>
      <w:pPr>
        <w:pStyle w:val="FirstParagraph"/>
      </w:pPr>
      <w:r>
        <w:t xml:space="preserve">Una vez superado el período de retención, las copias podrán eliminarse automáticamente para optimizar el espacio de almacenamiento.</w:t>
      </w:r>
    </w:p>
    <w:p>
      <w:r>
        <w:pict>
          <v:rect style="width:0;height:1.5pt" o:hralign="center" o:hrstd="t" o:hr="t"/>
        </w:pict>
      </w:r>
    </w:p>
    <w:bookmarkEnd w:id="26"/>
    <w:bookmarkStart w:id="27" w:name="rpo-recovery-point-objective"/>
    <w:p>
      <w:pPr>
        <w:pStyle w:val="Heading2"/>
      </w:pPr>
      <w:r>
        <w:t xml:space="preserve">RPO (Recovery Point Objective)</w:t>
      </w:r>
    </w:p>
    <w:p>
      <w:pPr>
        <w:pStyle w:val="FirstParagraph"/>
      </w:pPr>
      <w:r>
        <w:rPr>
          <w:b/>
          <w:bCs/>
        </w:rPr>
        <w:t xml:space="preserve">RPO: 6 horas</w:t>
      </w:r>
    </w:p>
    <w:p>
      <w:pPr>
        <w:pStyle w:val="BodyText"/>
      </w:pPr>
      <w:r>
        <w:t xml:space="preserve">En caso de producirse una falla crítica, se acepta una pérdida máxima de información equivalente a las últimas 6 horas de actividad del sistema.</w:t>
      </w:r>
    </w:p>
    <w:p>
      <w:r>
        <w:pict>
          <v:rect style="width:0;height:1.5pt" o:hralign="center" o:hrstd="t" o:hr="t"/>
        </w:pict>
      </w:r>
    </w:p>
    <w:bookmarkEnd w:id="27"/>
    <w:bookmarkStart w:id="28" w:name="rto-recovery-time-objective"/>
    <w:p>
      <w:pPr>
        <w:pStyle w:val="Heading2"/>
      </w:pPr>
      <w:r>
        <w:t xml:space="preserve">RTO (Recovery Time Objective)</w:t>
      </w:r>
    </w:p>
    <w:p>
      <w:pPr>
        <w:pStyle w:val="FirstParagraph"/>
      </w:pPr>
      <w:r>
        <w:rPr>
          <w:b/>
          <w:bCs/>
        </w:rPr>
        <w:t xml:space="preserve">RTO: 2 horas</w:t>
      </w:r>
    </w:p>
    <w:p>
      <w:pPr>
        <w:pStyle w:val="BodyText"/>
      </w:pPr>
      <w:r>
        <w:t xml:space="preserve">El tiempo máximo esperado para restaurar el servicio y volver a poner el sistema en funcionamiento es de 2 horas desde la detección del incidente.</w:t>
      </w:r>
    </w:p>
    <w:p>
      <w:r>
        <w:pict>
          <v:rect style="width:0;height:1.5pt" o:hralign="center" o:hrstd="t" o:hr="t"/>
        </w:pict>
      </w:r>
    </w:p>
    <w:bookmarkEnd w:id="28"/>
    <w:bookmarkStart w:id="35" w:name="almacenamiento-de-copias-de-seguridad"/>
    <w:p>
      <w:pPr>
        <w:pStyle w:val="Heading2"/>
      </w:pPr>
      <w:r>
        <w:t xml:space="preserve">Almacenamiento de Copias de Seguridad</w:t>
      </w:r>
    </w:p>
    <w:p>
      <w:pPr>
        <w:pStyle w:val="FirstParagraph"/>
      </w:pPr>
      <w:r>
        <w:t xml:space="preserve">Se recomienda mantener una estrategia de almacenamiento redundante, conservando las copias tanto localmente como en servicios externos.</w:t>
      </w:r>
    </w:p>
    <w:bookmarkStart w:id="34" w:name="opciones-de-almacenamiento-en-la-nube"/>
    <w:p>
      <w:pPr>
        <w:pStyle w:val="Heading3"/>
      </w:pPr>
      <w:r>
        <w:t xml:space="preserve">Opciones de almacenamiento en la nube</w:t>
      </w:r>
    </w:p>
    <w:bookmarkStart w:id="29" w:name="microsoft-azure-blob-storage"/>
    <w:p>
      <w:pPr>
        <w:pStyle w:val="Heading4"/>
      </w:pPr>
      <w:r>
        <w:t xml:space="preserve">Microsoft Azure Blob Storage</w:t>
      </w:r>
    </w:p>
    <w:p>
      <w:pPr>
        <w:pStyle w:val="FirstParagraph"/>
      </w:pPr>
      <w:r>
        <w:t xml:space="preserve">Ventajas:</w:t>
      </w:r>
    </w:p>
    <w:p>
      <w:pPr>
        <w:pStyle w:val="Compact"/>
        <w:numPr>
          <w:ilvl w:val="0"/>
          <w:numId w:val="1006"/>
        </w:numPr>
      </w:pPr>
      <w:r>
        <w:t xml:space="preserve">Integración nativa con SQL Server.</w:t>
      </w:r>
    </w:p>
    <w:p>
      <w:pPr>
        <w:pStyle w:val="Compact"/>
        <w:numPr>
          <w:ilvl w:val="0"/>
          <w:numId w:val="1006"/>
        </w:numPr>
      </w:pPr>
      <w:r>
        <w:t xml:space="preserve">Alta disponibilidad.</w:t>
      </w:r>
    </w:p>
    <w:p>
      <w:pPr>
        <w:pStyle w:val="Compact"/>
        <w:numPr>
          <w:ilvl w:val="0"/>
          <w:numId w:val="1006"/>
        </w:numPr>
      </w:pPr>
      <w:r>
        <w:t xml:space="preserve">Replicación geográfica opcional.</w:t>
      </w:r>
    </w:p>
    <w:p>
      <w:pPr>
        <w:pStyle w:val="Compact"/>
        <w:numPr>
          <w:ilvl w:val="0"/>
          <w:numId w:val="1006"/>
        </w:numPr>
      </w:pPr>
      <w:r>
        <w:t xml:space="preserve">Escalabilidad automática.</w:t>
      </w:r>
    </w:p>
    <w:bookmarkEnd w:id="29"/>
    <w:bookmarkStart w:id="30" w:name="amazon-s3-aws"/>
    <w:p>
      <w:pPr>
        <w:pStyle w:val="Heading4"/>
      </w:pPr>
      <w:r>
        <w:t xml:space="preserve">Amazon S3 (AWS)</w:t>
      </w:r>
    </w:p>
    <w:p>
      <w:pPr>
        <w:pStyle w:val="FirstParagraph"/>
      </w:pPr>
      <w:r>
        <w:t xml:space="preserve">Ventajas:</w:t>
      </w:r>
    </w:p>
    <w:p>
      <w:pPr>
        <w:pStyle w:val="Compact"/>
        <w:numPr>
          <w:ilvl w:val="0"/>
          <w:numId w:val="1007"/>
        </w:numPr>
      </w:pPr>
      <w:r>
        <w:t xml:space="preserve">Amplia adopción en la industria.</w:t>
      </w:r>
    </w:p>
    <w:p>
      <w:pPr>
        <w:pStyle w:val="Compact"/>
        <w:numPr>
          <w:ilvl w:val="0"/>
          <w:numId w:val="1007"/>
        </w:numPr>
      </w:pPr>
      <w:r>
        <w:t xml:space="preserve">Alta durabilidad (99,999999999%).</w:t>
      </w:r>
    </w:p>
    <w:p>
      <w:pPr>
        <w:pStyle w:val="Compact"/>
        <w:numPr>
          <w:ilvl w:val="0"/>
          <w:numId w:val="1007"/>
        </w:numPr>
      </w:pPr>
      <w:r>
        <w:t xml:space="preserve">Versionado de archivos.</w:t>
      </w:r>
    </w:p>
    <w:p>
      <w:pPr>
        <w:pStyle w:val="Compact"/>
        <w:numPr>
          <w:ilvl w:val="0"/>
          <w:numId w:val="1007"/>
        </w:numPr>
      </w:pPr>
      <w:r>
        <w:t xml:space="preserve">Amplias opciones de automatización.</w:t>
      </w:r>
    </w:p>
    <w:bookmarkEnd w:id="30"/>
    <w:bookmarkStart w:id="31" w:name="google-cloud-storage"/>
    <w:p>
      <w:pPr>
        <w:pStyle w:val="Heading4"/>
      </w:pPr>
      <w:r>
        <w:t xml:space="preserve">Google Cloud Storage</w:t>
      </w:r>
    </w:p>
    <w:p>
      <w:pPr>
        <w:pStyle w:val="FirstParagraph"/>
      </w:pPr>
      <w:r>
        <w:t xml:space="preserve">Ventajas:</w:t>
      </w:r>
    </w:p>
    <w:p>
      <w:pPr>
        <w:pStyle w:val="Compact"/>
        <w:numPr>
          <w:ilvl w:val="0"/>
          <w:numId w:val="1008"/>
        </w:numPr>
      </w:pPr>
      <w:r>
        <w:t xml:space="preserve">Costos competitivos.</w:t>
      </w:r>
    </w:p>
    <w:p>
      <w:pPr>
        <w:pStyle w:val="Compact"/>
        <w:numPr>
          <w:ilvl w:val="0"/>
          <w:numId w:val="1008"/>
        </w:numPr>
      </w:pPr>
      <w:r>
        <w:t xml:space="preserve">Integración con servicios de análisis y procesamiento de datos.</w:t>
      </w:r>
    </w:p>
    <w:p>
      <w:pPr>
        <w:pStyle w:val="Compact"/>
        <w:numPr>
          <w:ilvl w:val="0"/>
          <w:numId w:val="1008"/>
        </w:numPr>
      </w:pPr>
      <w:r>
        <w:t xml:space="preserve">Alta disponibilidad y redundancia.</w:t>
      </w:r>
    </w:p>
    <w:bookmarkEnd w:id="31"/>
    <w:bookmarkStart w:id="32" w:name="backblaze-b2"/>
    <w:p>
      <w:pPr>
        <w:pStyle w:val="Heading4"/>
      </w:pPr>
      <w:r>
        <w:t xml:space="preserve">Backblaze B2</w:t>
      </w:r>
    </w:p>
    <w:p>
      <w:pPr>
        <w:pStyle w:val="FirstParagraph"/>
      </w:pPr>
      <w:r>
        <w:t xml:space="preserve">Ventajas:</w:t>
      </w:r>
    </w:p>
    <w:p>
      <w:pPr>
        <w:pStyle w:val="Compact"/>
        <w:numPr>
          <w:ilvl w:val="0"/>
          <w:numId w:val="1009"/>
        </w:numPr>
      </w:pPr>
      <w:r>
        <w:t xml:space="preserve">Menor costo de almacenamiento.</w:t>
      </w:r>
    </w:p>
    <w:p>
      <w:pPr>
        <w:pStyle w:val="Compact"/>
        <w:numPr>
          <w:ilvl w:val="0"/>
          <w:numId w:val="1009"/>
        </w:numPr>
      </w:pPr>
      <w:r>
        <w:t xml:space="preserve">API compatible con múltiples herramientas de backup.</w:t>
      </w:r>
    </w:p>
    <w:p>
      <w:pPr>
        <w:pStyle w:val="Compact"/>
        <w:numPr>
          <w:ilvl w:val="0"/>
          <w:numId w:val="1009"/>
        </w:numPr>
      </w:pPr>
      <w:r>
        <w:t xml:space="preserve">Fácil administración.</w:t>
      </w:r>
    </w:p>
    <w:bookmarkEnd w:id="32"/>
    <w:bookmarkStart w:id="33" w:name="wasabi-cloud-storage"/>
    <w:p>
      <w:pPr>
        <w:pStyle w:val="Heading4"/>
      </w:pPr>
      <w:r>
        <w:t xml:space="preserve">Wasabi Cloud Storage</w:t>
      </w:r>
    </w:p>
    <w:p>
      <w:pPr>
        <w:pStyle w:val="FirstParagraph"/>
      </w:pPr>
      <w:r>
        <w:t xml:space="preserve">Ventajas:</w:t>
      </w:r>
    </w:p>
    <w:p>
      <w:pPr>
        <w:pStyle w:val="Compact"/>
        <w:numPr>
          <w:ilvl w:val="0"/>
          <w:numId w:val="1010"/>
        </w:numPr>
      </w:pPr>
      <w:r>
        <w:t xml:space="preserve">Precio fijo predecible.</w:t>
      </w:r>
    </w:p>
    <w:p>
      <w:pPr>
        <w:pStyle w:val="Compact"/>
        <w:numPr>
          <w:ilvl w:val="0"/>
          <w:numId w:val="1010"/>
        </w:numPr>
      </w:pPr>
      <w:r>
        <w:t xml:space="preserve">Sin costos por salida de datos en muchos planes.</w:t>
      </w:r>
    </w:p>
    <w:p>
      <w:pPr>
        <w:pStyle w:val="Compact"/>
        <w:numPr>
          <w:ilvl w:val="0"/>
          <w:numId w:val="1010"/>
        </w:numPr>
      </w:pPr>
      <w:r>
        <w:t xml:space="preserve">Compatible con protocolos S3.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6" w:name="procedimiento-de-recuperación"/>
    <w:p>
      <w:pPr>
        <w:pStyle w:val="Heading2"/>
      </w:pPr>
      <w:r>
        <w:t xml:space="preserve">Procedimiento de Recuperación</w:t>
      </w:r>
    </w:p>
    <w:p>
      <w:pPr>
        <w:pStyle w:val="FirstParagraph"/>
      </w:pPr>
      <w:r>
        <w:t xml:space="preserve">Ante una falla de la base de datos se deberá:</w:t>
      </w:r>
    </w:p>
    <w:p>
      <w:pPr>
        <w:pStyle w:val="Compact"/>
        <w:numPr>
          <w:ilvl w:val="0"/>
          <w:numId w:val="1011"/>
        </w:numPr>
      </w:pPr>
      <w:r>
        <w:t xml:space="preserve">Restaurar el último backup completo disponible.</w:t>
      </w:r>
    </w:p>
    <w:p>
      <w:pPr>
        <w:pStyle w:val="Compact"/>
        <w:numPr>
          <w:ilvl w:val="0"/>
          <w:numId w:val="1011"/>
        </w:numPr>
      </w:pPr>
      <w:r>
        <w:t xml:space="preserve">Restaurar el último backup diferencial posterior al backup completo.</w:t>
      </w:r>
    </w:p>
    <w:p>
      <w:pPr>
        <w:pStyle w:val="Compact"/>
        <w:numPr>
          <w:ilvl w:val="0"/>
          <w:numId w:val="1011"/>
        </w:numPr>
      </w:pPr>
      <w:r>
        <w:t xml:space="preserve">Aplicar los backups de log de transacciones hasta el momento inmediatamente anterior a la falla.</w:t>
      </w:r>
    </w:p>
    <w:p>
      <w:pPr>
        <w:pStyle w:val="Compact"/>
        <w:numPr>
          <w:ilvl w:val="0"/>
          <w:numId w:val="1011"/>
        </w:numPr>
      </w:pPr>
      <w:r>
        <w:t xml:space="preserve">Verificar la integridad de la base de datos restaurada.</w:t>
      </w:r>
    </w:p>
    <w:p>
      <w:pPr>
        <w:pStyle w:val="Compact"/>
        <w:numPr>
          <w:ilvl w:val="0"/>
          <w:numId w:val="1011"/>
        </w:numPr>
      </w:pPr>
      <w:r>
        <w:t xml:space="preserve">Habilitar nuevamente el acceso al sistema para los usuarios.</w:t>
      </w:r>
    </w:p>
    <w:p>
      <w:r>
        <w:pict>
          <v:rect style="width:0;height:1.5pt" o:hralign="center" o:hrstd="t" o:hr="t"/>
        </w:pict>
      </w:r>
    </w:p>
    <w:bookmarkEnd w:id="36"/>
    <w:bookmarkStart w:id="37" w:name="justificación-de-la-estrategia"/>
    <w:p>
      <w:pPr>
        <w:pStyle w:val="Heading2"/>
      </w:pPr>
      <w:r>
        <w:t xml:space="preserve">Justificación de la Estrategia</w:t>
      </w:r>
    </w:p>
    <w:p>
      <w:pPr>
        <w:pStyle w:val="FirstParagraph"/>
      </w:pPr>
      <w:r>
        <w:t xml:space="preserve">La combinación de backups completos, diferenciales y de log de transacciones permite equilibrar:</w:t>
      </w:r>
    </w:p>
    <w:p>
      <w:pPr>
        <w:pStyle w:val="Compact"/>
        <w:numPr>
          <w:ilvl w:val="0"/>
          <w:numId w:val="1012"/>
        </w:numPr>
      </w:pPr>
      <w:r>
        <w:t xml:space="preserve">Disponibilidad de la información.</w:t>
      </w:r>
    </w:p>
    <w:p>
      <w:pPr>
        <w:pStyle w:val="Compact"/>
        <w:numPr>
          <w:ilvl w:val="0"/>
          <w:numId w:val="1012"/>
        </w:numPr>
      </w:pPr>
      <w:r>
        <w:t xml:space="preserve">Tiempo de recuperación.</w:t>
      </w:r>
    </w:p>
    <w:p>
      <w:pPr>
        <w:pStyle w:val="Compact"/>
        <w:numPr>
          <w:ilvl w:val="0"/>
          <w:numId w:val="1012"/>
        </w:numPr>
      </w:pPr>
      <w:r>
        <w:t xml:space="preserve">Espacio de almacenamiento requerido.</w:t>
      </w:r>
    </w:p>
    <w:p>
      <w:pPr>
        <w:pStyle w:val="Compact"/>
        <w:numPr>
          <w:ilvl w:val="0"/>
          <w:numId w:val="1012"/>
        </w:numPr>
      </w:pPr>
      <w:r>
        <w:t xml:space="preserve">Costos operativos.</w:t>
      </w:r>
    </w:p>
    <w:p>
      <w:pPr>
        <w:pStyle w:val="FirstParagraph"/>
      </w:pPr>
      <w:r>
        <w:t xml:space="preserve">La estrategia propuesta cumple con los requerimientos de un sistema de gestión centralizado de parques nacionales, donde la pérdida de información debe mantenerse dentro de límites aceptables y la restauración del servicio debe realizarse en un plazo reducido.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2026-06-19T01:05:29Z</dcterms:created>
  <dcterms:modified xsi:type="dcterms:W3CDTF">2026-06-19T01:05:29Z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