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1549A" w14:textId="77777777" w:rsidR="005F363D" w:rsidRPr="005F363D" w:rsidRDefault="005F363D" w:rsidP="005F363D">
      <w:pPr>
        <w:rPr>
          <w:b/>
          <w:bCs/>
        </w:rPr>
      </w:pPr>
      <w:r w:rsidRPr="005F363D">
        <w:rPr>
          <w:b/>
          <w:bCs/>
        </w:rPr>
        <w:t>NovaTech Revenue Intelligence — Executive Report</w:t>
      </w:r>
    </w:p>
    <w:p w14:paraId="4177784E" w14:textId="77777777" w:rsidR="005F363D" w:rsidRPr="005F363D" w:rsidRDefault="005F363D" w:rsidP="005F363D">
      <w:r w:rsidRPr="005F363D">
        <w:rPr>
          <w:b/>
          <w:bCs/>
        </w:rPr>
        <w:t>To:</w:t>
      </w:r>
      <w:r w:rsidRPr="005F363D">
        <w:t xml:space="preserve"> Sarah Chen, VP</w:t>
      </w:r>
      <w:r w:rsidRPr="005F363D">
        <w:br/>
      </w:r>
      <w:r w:rsidRPr="005F363D">
        <w:rPr>
          <w:b/>
          <w:bCs/>
        </w:rPr>
        <w:t>Date:</w:t>
      </w:r>
      <w:r w:rsidRPr="005F363D">
        <w:t xml:space="preserve"> September 2026</w:t>
      </w:r>
      <w:r w:rsidRPr="005F363D">
        <w:br/>
      </w:r>
      <w:r w:rsidRPr="005F363D">
        <w:rPr>
          <w:b/>
          <w:bCs/>
        </w:rPr>
        <w:t>Subject:</w:t>
      </w:r>
      <w:r w:rsidRPr="005F363D">
        <w:t xml:space="preserve"> Revenue Intelligence Dashboard and Business Findings</w:t>
      </w:r>
    </w:p>
    <w:p w14:paraId="1F4F1271" w14:textId="77777777" w:rsidR="005F363D" w:rsidRPr="005F363D" w:rsidRDefault="005F363D" w:rsidP="005F363D">
      <w:pPr>
        <w:rPr>
          <w:b/>
          <w:bCs/>
        </w:rPr>
      </w:pPr>
      <w:r w:rsidRPr="005F363D">
        <w:rPr>
          <w:b/>
          <w:bCs/>
        </w:rPr>
        <w:t>Executive Summary</w:t>
      </w:r>
    </w:p>
    <w:p w14:paraId="3783452E" w14:textId="77777777" w:rsidR="005F363D" w:rsidRPr="005F363D" w:rsidRDefault="005F363D" w:rsidP="005F363D">
      <w:r w:rsidRPr="005F363D">
        <w:t>The NovaTech Revenue Intelligence project combines customer, marketing, sales, and support information into one business intelligence solution. The analysis uses three source datasets: CRM deals, Marketing campaigns, and Support tickets. The datasets were connected using the shared account ID so that revenue performance could be evaluated alongside marketing activity and customer health.</w:t>
      </w:r>
    </w:p>
    <w:p w14:paraId="4201BE2B" w14:textId="77777777" w:rsidR="005F363D" w:rsidRPr="005F363D" w:rsidRDefault="005F363D" w:rsidP="005F363D">
      <w:r w:rsidRPr="005F363D">
        <w:t>The dashboard provides three views: Marketing Funnel, Sales Pipeline, and Customer Health. These views help management identify marketing opportunities, understand sales performance, and prioritize customers that may require attention.</w:t>
      </w:r>
    </w:p>
    <w:p w14:paraId="57E943E6" w14:textId="77777777" w:rsidR="005F363D" w:rsidRPr="005F363D" w:rsidRDefault="005F363D" w:rsidP="005F363D">
      <w:pPr>
        <w:rPr>
          <w:b/>
          <w:bCs/>
        </w:rPr>
      </w:pPr>
      <w:r w:rsidRPr="005F363D">
        <w:rPr>
          <w:b/>
          <w:bCs/>
        </w:rPr>
        <w:t>Data Strategy</w:t>
      </w:r>
    </w:p>
    <w:p w14:paraId="2ADEA4F3" w14:textId="77777777" w:rsidR="005F363D" w:rsidRPr="005F363D" w:rsidRDefault="005F363D" w:rsidP="005F363D">
      <w:r w:rsidRPr="005F363D">
        <w:t>The CRM dataset was used as the anchor for the unified data model. Marketing and Support information was summarized at the account level before being combined with CRM data. This approach reduced unnecessary duplication caused by multiple records belonging to the same account.</w:t>
      </w:r>
    </w:p>
    <w:p w14:paraId="3A6AC250" w14:textId="77777777" w:rsidR="005F363D" w:rsidRPr="005F363D" w:rsidRDefault="005F363D" w:rsidP="005F363D">
      <w:r w:rsidRPr="005F363D">
        <w:t xml:space="preserve">The data was stored in </w:t>
      </w:r>
      <w:r w:rsidRPr="005F363D">
        <w:rPr>
          <w:b/>
          <w:bCs/>
        </w:rPr>
        <w:t>SPICE (Super-fast, Parallel, In-memory Calculation Engine)</w:t>
      </w:r>
      <w:r w:rsidRPr="005F363D">
        <w:t>, Amazon QuickSight's in-memory data storage system used to support fast analysis and dashboard performance.</w:t>
      </w:r>
    </w:p>
    <w:p w14:paraId="2CAD4E35" w14:textId="77777777" w:rsidR="005F363D" w:rsidRPr="005F363D" w:rsidRDefault="005F363D" w:rsidP="005F363D">
      <w:r w:rsidRPr="005F363D">
        <w:t>Several business measures were created during data preparation, including days to close, campaign return on investment, deal-size categories, and support resolution time. These measures transformed the source data into metrics that could be used directly for business analysis.</w:t>
      </w:r>
    </w:p>
    <w:p w14:paraId="0F9E0440" w14:textId="77777777" w:rsidR="005F363D" w:rsidRPr="005F363D" w:rsidRDefault="005F363D" w:rsidP="005F363D">
      <w:pPr>
        <w:rPr>
          <w:b/>
          <w:bCs/>
        </w:rPr>
      </w:pPr>
      <w:r w:rsidRPr="005F363D">
        <w:rPr>
          <w:b/>
          <w:bCs/>
        </w:rPr>
        <w:t>Dashboard Design</w:t>
      </w:r>
    </w:p>
    <w:p w14:paraId="3C15B92E" w14:textId="77777777" w:rsidR="005F363D" w:rsidRPr="005F363D" w:rsidRDefault="005F363D" w:rsidP="005F363D">
      <w:r w:rsidRPr="005F363D">
        <w:t>The dashboard was divided into three business-focused views.</w:t>
      </w:r>
    </w:p>
    <w:p w14:paraId="286E00D0" w14:textId="77777777" w:rsidR="005F363D" w:rsidRPr="005F363D" w:rsidRDefault="005F363D" w:rsidP="005F363D">
      <w:r w:rsidRPr="005F363D">
        <w:t xml:space="preserve">The </w:t>
      </w:r>
      <w:r w:rsidRPr="005F363D">
        <w:rPr>
          <w:b/>
          <w:bCs/>
        </w:rPr>
        <w:t>Marketing Funnel</w:t>
      </w:r>
      <w:r w:rsidRPr="005F363D">
        <w:t xml:space="preserve"> shows campaign spending, attributed revenue, response rates, return on investment, channel performance, and funnel progression. This helps management identify campaigns and channels that deserve additional investment or optimization.</w:t>
      </w:r>
    </w:p>
    <w:p w14:paraId="1F220302" w14:textId="77777777" w:rsidR="005F363D" w:rsidRPr="005F363D" w:rsidRDefault="005F363D" w:rsidP="005F363D">
      <w:r w:rsidRPr="005F363D">
        <w:t xml:space="preserve">The </w:t>
      </w:r>
      <w:r w:rsidRPr="005F363D">
        <w:rPr>
          <w:b/>
          <w:bCs/>
        </w:rPr>
        <w:t>Sales Pipeline</w:t>
      </w:r>
      <w:r w:rsidRPr="005F363D">
        <w:t xml:space="preserve"> focuses on deal outcomes, win rate, revenue by product and customer segment, deal value, closing time, and loss reasons. Interactive filters allow users to examine performance by region, manager, product, date, and deal stage.</w:t>
      </w:r>
    </w:p>
    <w:p w14:paraId="76DA163A" w14:textId="77777777" w:rsidR="005F363D" w:rsidRPr="005F363D" w:rsidRDefault="005F363D" w:rsidP="005F363D">
      <w:r w:rsidRPr="005F363D">
        <w:t xml:space="preserve">The </w:t>
      </w:r>
      <w:r w:rsidRPr="005F363D">
        <w:rPr>
          <w:b/>
          <w:bCs/>
        </w:rPr>
        <w:t>Customer Health</w:t>
      </w:r>
      <w:r w:rsidRPr="005F363D">
        <w:t xml:space="preserve"> view focuses on support ticket volume, resolution time, product issues, customer sentiment, and potential account risk. High support activity combined with </w:t>
      </w:r>
      <w:r w:rsidRPr="005F363D">
        <w:lastRenderedPageBreak/>
        <w:t>negative sentiment and high-value accounts can indicate customers that require proactive attention.</w:t>
      </w:r>
    </w:p>
    <w:p w14:paraId="2793993F" w14:textId="77777777" w:rsidR="005F363D" w:rsidRPr="005F363D" w:rsidRDefault="005F363D" w:rsidP="005F363D">
      <w:pPr>
        <w:rPr>
          <w:b/>
          <w:bCs/>
        </w:rPr>
      </w:pPr>
      <w:r w:rsidRPr="005F363D">
        <w:rPr>
          <w:b/>
          <w:bCs/>
        </w:rPr>
        <w:t>Key Findings and Recommended Actions</w:t>
      </w:r>
    </w:p>
    <w:p w14:paraId="646AC832" w14:textId="77777777" w:rsidR="005F363D" w:rsidRPr="005F363D" w:rsidRDefault="005F363D" w:rsidP="005F363D">
      <w:r w:rsidRPr="005F363D">
        <w:t xml:space="preserve">NovaTech recorded </w:t>
      </w:r>
      <w:r w:rsidRPr="005F363D">
        <w:rPr>
          <w:b/>
          <w:bCs/>
        </w:rPr>
        <w:t>315 won deals out of 499 total deals</w:t>
      </w:r>
      <w:r w:rsidRPr="005F363D">
        <w:t xml:space="preserve">, an observed win rate of approximately </w:t>
      </w:r>
      <w:r w:rsidRPr="005F363D">
        <w:rPr>
          <w:b/>
          <w:bCs/>
        </w:rPr>
        <w:t>63%</w:t>
      </w:r>
      <w:r w:rsidRPr="005F363D">
        <w:t>. Management should examine the characteristics of successful deals and apply those patterns to future sales opportunities.</w:t>
      </w:r>
    </w:p>
    <w:p w14:paraId="6F8F1CD9" w14:textId="77777777" w:rsidR="005F363D" w:rsidRPr="005F363D" w:rsidRDefault="005F363D" w:rsidP="005F363D">
      <w:r w:rsidRPr="005F363D">
        <w:t xml:space="preserve">Marketing campaign response was approximately </w:t>
      </w:r>
      <w:r w:rsidRPr="005F363D">
        <w:rPr>
          <w:b/>
          <w:bCs/>
        </w:rPr>
        <w:t>27.2%</w:t>
      </w:r>
      <w:r w:rsidRPr="005F363D">
        <w:t>. This indicates an opportunity to improve campaign targeting and engagement. Marketing teams should review low-response campaigns and refine their messaging and audience selection.</w:t>
      </w:r>
    </w:p>
    <w:p w14:paraId="6052A63E" w14:textId="77777777" w:rsidR="005F363D" w:rsidRPr="005F363D" w:rsidRDefault="005F363D" w:rsidP="005F363D">
      <w:r w:rsidRPr="005F363D">
        <w:t>The analysis also identified campaigns where spending exceeded attributed revenue. These campaigns should be reviewed before additional budget is allocated, with greater investment directed toward campaigns demonstrating stronger returns.</w:t>
      </w:r>
    </w:p>
    <w:p w14:paraId="5DC08AA3" w14:textId="77777777" w:rsidR="005F363D" w:rsidRPr="005F363D" w:rsidRDefault="005F363D" w:rsidP="005F363D">
      <w:r w:rsidRPr="005F363D">
        <w:t>Customer support activity provides another important risk signal. Accounts with high ticket volumes, negative sentiment, and high deal value should receive proactive customer-success attention to reduce the possibility of dissatisfaction and revenue loss.</w:t>
      </w:r>
    </w:p>
    <w:p w14:paraId="3E93818E" w14:textId="77777777" w:rsidR="005F363D" w:rsidRPr="005F363D" w:rsidRDefault="005F363D" w:rsidP="005F363D">
      <w:pPr>
        <w:rPr>
          <w:b/>
          <w:bCs/>
        </w:rPr>
      </w:pPr>
      <w:r w:rsidRPr="005F363D">
        <w:rPr>
          <w:b/>
          <w:bCs/>
        </w:rPr>
        <w:t>QuickSight Q Evaluation</w:t>
      </w:r>
    </w:p>
    <w:p w14:paraId="3BDE0578" w14:textId="77777777" w:rsidR="005F363D" w:rsidRPr="005F363D" w:rsidRDefault="005F363D" w:rsidP="005F363D">
      <w:r w:rsidRPr="005F363D">
        <w:rPr>
          <w:b/>
          <w:bCs/>
        </w:rPr>
        <w:t>QuickSight Q</w:t>
      </w:r>
      <w:r w:rsidRPr="005F363D">
        <w:t xml:space="preserve"> was configured with business descriptions and synonyms for important fields such as deal revenue, campaign spending, attributed revenue, support tickets, customer sentiment, and account ID. This configuration gave Q clearer business context and improved its ability to interpret natural-language questions.</w:t>
      </w:r>
    </w:p>
    <w:p w14:paraId="4F84A11D" w14:textId="77777777" w:rsidR="005F363D" w:rsidRPr="005F363D" w:rsidRDefault="005F363D" w:rsidP="005F363D">
      <w:r w:rsidRPr="005F363D">
        <w:t>Q generally provided useful summaries and agreed with the dashboard on broader business patterns. However, some differences appeared when questions depended on specific calculations or aggregation methods.</w:t>
      </w:r>
    </w:p>
    <w:p w14:paraId="2E25AB2E" w14:textId="77777777" w:rsidR="005F363D" w:rsidRPr="005F363D" w:rsidRDefault="005F363D" w:rsidP="005F363D">
      <w:r w:rsidRPr="005F363D">
        <w:t xml:space="preserve">For example, Q identified </w:t>
      </w:r>
      <w:r w:rsidRPr="005F363D">
        <w:rPr>
          <w:b/>
          <w:bCs/>
        </w:rPr>
        <w:t>Partner Referral</w:t>
      </w:r>
      <w:r w:rsidRPr="005F363D">
        <w:t xml:space="preserve"> as the answer to one campaign conversion question, while the dashboard identified </w:t>
      </w:r>
      <w:r w:rsidRPr="005F363D">
        <w:rPr>
          <w:b/>
          <w:bCs/>
        </w:rPr>
        <w:t>Direct Mail</w:t>
      </w:r>
      <w:r w:rsidRPr="005F363D">
        <w:t xml:space="preserve"> as having the highest conversion rate. This difference demonstrates why AI-generated analysis should be validated against the dashboard before being used for important business decisions.</w:t>
      </w:r>
    </w:p>
    <w:p w14:paraId="7624CEC9" w14:textId="77777777" w:rsidR="005F363D" w:rsidRPr="005F363D" w:rsidRDefault="005F363D" w:rsidP="005F363D">
      <w:pPr>
        <w:rPr>
          <w:b/>
          <w:bCs/>
        </w:rPr>
      </w:pPr>
      <w:r w:rsidRPr="005F363D">
        <w:rPr>
          <w:b/>
          <w:bCs/>
        </w:rPr>
        <w:t>Conclusion</w:t>
      </w:r>
    </w:p>
    <w:p w14:paraId="7D1DF55E" w14:textId="77777777" w:rsidR="005F363D" w:rsidRPr="005F363D" w:rsidRDefault="005F363D" w:rsidP="005F363D">
      <w:r w:rsidRPr="005F363D">
        <w:t>The NovaTech Revenue Intelligence solution provides management with a unified view of marketing performance, sales results, and customer health. The recommended priorities are to optimize underperforming campaigns, improve customer engagement, identify successful sales patterns, investigate major loss reasons, and proactively manage high-risk accounts.</w:t>
      </w:r>
    </w:p>
    <w:p w14:paraId="015B1D33" w14:textId="77777777" w:rsidR="005F363D" w:rsidRPr="005F363D" w:rsidRDefault="005F363D" w:rsidP="005F363D">
      <w:r w:rsidRPr="005F363D">
        <w:t>QuickSight Q is valuable for fast, natural-language exploration, while the dashboard remains the primary source for validated business reporting and decision-making.</w:t>
      </w:r>
    </w:p>
    <w:p w14:paraId="6EDEA8BA" w14:textId="77777777" w:rsidR="00104741" w:rsidRPr="005F363D" w:rsidRDefault="00104741" w:rsidP="005F363D">
      <w:pPr>
        <w:rPr>
          <w:lang w:val="en-US"/>
        </w:rPr>
      </w:pPr>
    </w:p>
    <w:sectPr w:rsidR="00104741" w:rsidRPr="005F363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403AC"/>
    <w:multiLevelType w:val="multilevel"/>
    <w:tmpl w:val="0DE2D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9274DD"/>
    <w:multiLevelType w:val="multilevel"/>
    <w:tmpl w:val="47667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A962BC7"/>
    <w:multiLevelType w:val="multilevel"/>
    <w:tmpl w:val="3DC28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5C6D80"/>
    <w:multiLevelType w:val="multilevel"/>
    <w:tmpl w:val="0FE29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7650086"/>
    <w:multiLevelType w:val="multilevel"/>
    <w:tmpl w:val="6EB80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995017">
    <w:abstractNumId w:val="0"/>
  </w:num>
  <w:num w:numId="2" w16cid:durableId="1061295720">
    <w:abstractNumId w:val="1"/>
  </w:num>
  <w:num w:numId="3" w16cid:durableId="1511723030">
    <w:abstractNumId w:val="3"/>
  </w:num>
  <w:num w:numId="4" w16cid:durableId="1951740519">
    <w:abstractNumId w:val="2"/>
  </w:num>
  <w:num w:numId="5" w16cid:durableId="13658626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4741"/>
    <w:rsid w:val="00104741"/>
    <w:rsid w:val="005F363D"/>
    <w:rsid w:val="0073051C"/>
    <w:rsid w:val="008F4C51"/>
    <w:rsid w:val="00FB500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070DA"/>
  <w15:chartTrackingRefBased/>
  <w15:docId w15:val="{C4B7EC19-8619-4912-82D8-7548F9843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474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0474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0474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0474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0474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047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47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47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47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474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0474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0474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0474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0474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047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47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47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4741"/>
    <w:rPr>
      <w:rFonts w:eastAsiaTheme="majorEastAsia" w:cstheme="majorBidi"/>
      <w:color w:val="272727" w:themeColor="text1" w:themeTint="D8"/>
    </w:rPr>
  </w:style>
  <w:style w:type="paragraph" w:styleId="Title">
    <w:name w:val="Title"/>
    <w:basedOn w:val="Normal"/>
    <w:next w:val="Normal"/>
    <w:link w:val="TitleChar"/>
    <w:uiPriority w:val="10"/>
    <w:qFormat/>
    <w:rsid w:val="001047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47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47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47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4741"/>
    <w:pPr>
      <w:spacing w:before="160"/>
      <w:jc w:val="center"/>
    </w:pPr>
    <w:rPr>
      <w:i/>
      <w:iCs/>
      <w:color w:val="404040" w:themeColor="text1" w:themeTint="BF"/>
    </w:rPr>
  </w:style>
  <w:style w:type="character" w:customStyle="1" w:styleId="QuoteChar">
    <w:name w:val="Quote Char"/>
    <w:basedOn w:val="DefaultParagraphFont"/>
    <w:link w:val="Quote"/>
    <w:uiPriority w:val="29"/>
    <w:rsid w:val="00104741"/>
    <w:rPr>
      <w:i/>
      <w:iCs/>
      <w:color w:val="404040" w:themeColor="text1" w:themeTint="BF"/>
    </w:rPr>
  </w:style>
  <w:style w:type="paragraph" w:styleId="ListParagraph">
    <w:name w:val="List Paragraph"/>
    <w:basedOn w:val="Normal"/>
    <w:uiPriority w:val="34"/>
    <w:qFormat/>
    <w:rsid w:val="00104741"/>
    <w:pPr>
      <w:ind w:left="720"/>
      <w:contextualSpacing/>
    </w:pPr>
  </w:style>
  <w:style w:type="character" w:styleId="IntenseEmphasis">
    <w:name w:val="Intense Emphasis"/>
    <w:basedOn w:val="DefaultParagraphFont"/>
    <w:uiPriority w:val="21"/>
    <w:qFormat/>
    <w:rsid w:val="00104741"/>
    <w:rPr>
      <w:i/>
      <w:iCs/>
      <w:color w:val="2F5496" w:themeColor="accent1" w:themeShade="BF"/>
    </w:rPr>
  </w:style>
  <w:style w:type="paragraph" w:styleId="IntenseQuote">
    <w:name w:val="Intense Quote"/>
    <w:basedOn w:val="Normal"/>
    <w:next w:val="Normal"/>
    <w:link w:val="IntenseQuoteChar"/>
    <w:uiPriority w:val="30"/>
    <w:qFormat/>
    <w:rsid w:val="0010474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04741"/>
    <w:rPr>
      <w:i/>
      <w:iCs/>
      <w:color w:val="2F5496" w:themeColor="accent1" w:themeShade="BF"/>
    </w:rPr>
  </w:style>
  <w:style w:type="character" w:styleId="IntenseReference">
    <w:name w:val="Intense Reference"/>
    <w:basedOn w:val="DefaultParagraphFont"/>
    <w:uiPriority w:val="32"/>
    <w:qFormat/>
    <w:rsid w:val="0010474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717</Words>
  <Characters>4088</Characters>
  <Application>Microsoft Office Word</Application>
  <DocSecurity>0</DocSecurity>
  <Lines>34</Lines>
  <Paragraphs>9</Paragraphs>
  <ScaleCrop>false</ScaleCrop>
  <Company/>
  <LinksUpToDate>false</LinksUpToDate>
  <CharactersWithSpaces>4796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Norhan Koshty [Student]</dc:creator>
  <cp:keywords/>
  <dc:description/>
  <cp:lastModifiedBy>Norhan Koshty [Student]</cp:lastModifiedBy>
  <cp:revision>3</cp:revision>
  <dcterms:created xsi:type="dcterms:W3CDTF">2026-09-13T14:35:00Z</dcterms:created>
  <dcterms:modified xsi:type="dcterms:W3CDTF">2026-09-14T08:35:00Z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7853944f-1339-478c-8c46-30e480b284bb</vt:lpwstr>
  </property>
</Properties>
</file>