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11 — A function not a source</w:t>
      </w:r>
      <w:r>
        <w:tab/>
      </w:r>
      <w:r>
        <w:t>74</w:t>
      </w:r>
    </w:p>
    <w:p>
      <w:pPr>
        <w:tabs>
          <w:tab w:pos="6552" w:val="right" w:leader="dot"/>
        </w:tabs>
        <w:spacing w:after="120"/>
        <w:ind w:firstLine="0"/>
      </w:pPr>
      <w:r>
        <w:t>Chapter 12 — The world of tokens</w:t>
      </w:r>
      <w:r>
        <w:tab/>
      </w:r>
      <w:r>
        <w:t>84</w:t>
      </w:r>
    </w:p>
    <w:p>
      <w:pPr>
        <w:tabs>
          <w:tab w:pos="6552" w:val="right" w:leader="dot"/>
        </w:tabs>
        <w:spacing w:after="120"/>
        <w:ind w:firstLine="0"/>
      </w:pPr>
      <w:r>
        <w:t>Chapter 13 — Language at the edges code in the middle</w:t>
      </w:r>
      <w:r>
        <w:tab/>
      </w:r>
      <w:r>
        <w:t>93</w:t>
      </w:r>
    </w:p>
    <w:p>
      <w:pPr>
        <w:tabs>
          <w:tab w:pos="6552" w:val="right" w:leader="dot"/>
        </w:tabs>
        <w:spacing w:after="120"/>
        <w:ind w:firstLine="0"/>
      </w:pPr>
      <w:r>
        <w:t>Chapter 14 — Everything is a contract</w:t>
      </w:r>
      <w:r>
        <w:tab/>
      </w:r>
      <w:r>
        <w:t>103</w:t>
      </w:r>
    </w:p>
    <w:p>
      <w:pPr>
        <w:tabs>
          <w:tab w:pos="6552" w:val="right" w:leader="dot"/>
        </w:tabs>
        <w:spacing w:after="120"/>
        <w:ind w:firstLine="0"/>
      </w:pPr>
      <w:r>
        <w:t>Chapter 15 — Your plumbing is your ceiling</w:t>
      </w:r>
      <w:r>
        <w:tab/>
      </w:r>
      <w:r>
        <w:t>112</w:t>
      </w:r>
    </w:p>
    <w:p>
      <w:pPr>
        <w:tabs>
          <w:tab w:pos="6552" w:val="right" w:leader="dot"/>
        </w:tabs>
        <w:spacing w:after="120"/>
        <w:ind w:firstLine="0"/>
      </w:pPr>
      <w:r>
        <w:t>Chapter 16 — The most expensive model for everything</w:t>
      </w:r>
      <w:r>
        <w:tab/>
      </w:r>
      <w:r>
        <w:t>120</w:t>
      </w:r>
    </w:p>
    <w:p>
      <w:pPr>
        <w:tabs>
          <w:tab w:pos="6552" w:val="right" w:leader="dot"/>
        </w:tabs>
        <w:spacing w:after="120"/>
        <w:ind w:firstLine="0"/>
      </w:pPr>
      <w:r>
        <w:t>Chapter 17 — Let it say I can t</w:t>
      </w:r>
      <w:r>
        <w:tab/>
      </w:r>
      <w:r>
        <w:t>128</w:t>
      </w:r>
    </w:p>
    <w:p>
      <w:pPr>
        <w:tabs>
          <w:tab w:pos="6552" w:val="right" w:leader="dot"/>
        </w:tabs>
        <w:spacing w:after="120"/>
        <w:ind w:firstLine="0"/>
      </w:pPr>
      <w:r>
        <w:t>Chapter 18 — They cooperate that s the problem</w:t>
      </w:r>
      <w:r>
        <w:tab/>
      </w:r>
      <w:r>
        <w:t>134</w:t>
      </w:r>
    </w:p>
    <w:p>
      <w:pPr>
        <w:tabs>
          <w:tab w:pos="6552" w:val="right" w:leader="dot"/>
        </w:tabs>
        <w:spacing w:after="120"/>
        <w:ind w:firstLine="0"/>
      </w:pPr>
      <w:r>
        <w:t>Chapter 19 — An expert wrote this not the model</w:t>
      </w:r>
      <w:r>
        <w:tab/>
      </w:r>
      <w:r>
        <w:t>144</w:t>
      </w:r>
    </w:p>
    <w:p>
      <w:pPr>
        <w:tabs>
          <w:tab w:pos="6552" w:val="right" w:leader="dot"/>
        </w:tabs>
        <w:spacing w:after="120"/>
        <w:ind w:firstLine="0"/>
      </w:pPr>
      <w:r>
        <w:t>Chapter 20 — The expert is the product</w:t>
      </w:r>
      <w:r>
        <w:tab/>
      </w:r>
      <w:r>
        <w:t>153</w:t>
      </w:r>
    </w:p>
    <w:p>
      <w:pPr>
        <w:tabs>
          <w:tab w:pos="6552" w:val="right" w:leader="dot"/>
        </w:tabs>
        <w:spacing w:after="120"/>
        <w:ind w:firstLine="0"/>
      </w:pPr>
      <w:r>
        <w:t>Chapter 25 — Pushing Is Not Cooperation</w:t>
      </w:r>
      <w:r>
        <w:tab/>
      </w:r>
      <w:r>
        <w:t>159</w:t>
      </w:r>
    </w:p>
    <w:p>
      <w:pPr>
        <w:tabs>
          <w:tab w:pos="6552" w:val="right" w:leader="dot"/>
        </w:tabs>
        <w:spacing w:after="120"/>
        <w:ind w:firstLine="0"/>
      </w:pPr>
      <w:r>
        <w:t>Chapter 26 — I Was Never the Smart Part</w:t>
      </w:r>
      <w:r>
        <w:tab/>
      </w:r>
      <w:r>
        <w:t>164</w:t>
      </w:r>
    </w:p>
    <w:p>
      <w:pPr>
        <w:tabs>
          <w:tab w:pos="6552" w:val="right" w:leader="dot"/>
        </w:tabs>
        <w:spacing w:after="120"/>
        <w:ind w:firstLine="0"/>
      </w:pPr>
      <w:r>
        <w:t>Chapter 27 — You Have Something to Lose</w:t>
      </w:r>
      <w:r>
        <w:tab/>
      </w:r>
      <w:r>
        <w:t>168</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11 — A function not a source</w:t>
      </w:r>
    </w:p>
    <w:p>
      <w:pPr>
        <w:pStyle w:val="Heading2"/>
      </w:pPr>
      <w:r>
        <w:t>Chapter 11 — A Function, Not a Source</w:t>
      </w:r>
    </w:p>
    <w:p>
      <w:pPr>
        <w:ind w:firstLine="0"/>
      </w:pPr>
      <w:r>
        <w:rPr>
          <w:i/>
        </w:rP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Pr>
        <w:spacing w:before="200" w:after="200"/>
        <w:ind w:firstLine="0"/>
        <w:jc w:val="center"/>
      </w:pPr>
      <w:r>
        <w:t>•  •  •</w:t>
      </w:r>
    </w:p>
    <w:p>
      <w:pPr>
        <w:ind w:firstLine="0"/>
      </w:pPr>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Pr>
        <w:spacing w:before="120" w:after="120"/>
        <w:ind w:left="432" w:right="432" w:firstLine="0"/>
      </w:pPr>
      <w:r>
        <w:rPr>
          <w:i/>
          <w:sz w:val="21"/>
        </w:rPr>
        <w:t>Treat the model as a way to transform information you supply, not as the authority that supplies the information.</w:t>
      </w:r>
    </w:p>
    <w:p>
      <w:pPr>
        <w:ind w:firstLine="0"/>
      </w:pPr>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Pr>
        <w:pStyle w:val="Heading3"/>
      </w:pPr>
      <w:r>
        <w:t>The Same Request, Two Different Jobs</w:t>
      </w:r>
    </w:p>
    <w:p>
      <w:pPr>
        <w:ind w:firstLine="0"/>
      </w:pPr>
      <w:r>
        <w:t>Consider a manager preparing a customer update.</w:t>
      </w:r>
    </w:p>
    <w:p>
      <w:r>
        <w:t>The first request reads:</w:t>
      </w:r>
    </w:p>
    <w:p>
      <w:pPr>
        <w:spacing w:before="120" w:after="120"/>
        <w:ind w:left="432" w:right="432" w:firstLine="0"/>
      </w:pPr>
      <w:r>
        <w:rPr>
          <w:i/>
          <w:sz w:val="21"/>
        </w:rPr>
        <w:t>"Write an update explaining our current service commitments and escalation process."</w:t>
      </w:r>
    </w:p>
    <w:p>
      <w:pPr>
        <w:ind w:firstLine="0"/>
      </w:pPr>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Pr>
        <w:pStyle w:val="Heading3"/>
      </w:pPr>
      <w:r>
        <w:t>What "A Function" Means</w:t>
      </w:r>
    </w:p>
    <w:p>
      <w:pPr>
        <w:ind w:firstLine="0"/>
      </w:pPr>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Pr>
        <w:pStyle w:val="Heading3"/>
      </w:pPr>
      <w:r>
        <w:t>"It Doesn't Know Things" Is an Operating Rule</w:t>
      </w:r>
    </w:p>
    <w:p>
      <w:pPr>
        <w:ind w:firstLine="0"/>
      </w:pPr>
      <w:r>
        <w:t>Rule 1 says:</w:t>
      </w:r>
    </w:p>
    <w:p>
      <w:pPr>
        <w:spacing w:before="120" w:after="120"/>
        <w:ind w:left="432" w:right="432" w:firstLine="0"/>
      </w:pPr>
      <w:r>
        <w:rPr>
          <w:i/>
          <w:sz w:val="21"/>
        </w:rPr>
        <w:t>It doesn't know things.</w:t>
      </w:r>
    </w:p>
    <w:p>
      <w:pPr>
        <w:ind w:firstLine="0"/>
      </w:pPr>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Pr>
        <w:pStyle w:val="Heading3"/>
      </w:pPr>
      <w:r>
        <w:t>You Also Inherit How It Was Trained</w:t>
      </w:r>
    </w:p>
    <w:p>
      <w:pPr>
        <w:ind w:firstLine="0"/>
      </w:pPr>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Pr>
        <w:pStyle w:val="Heading3"/>
      </w:pPr>
      <w:r>
        <w:t>Confidence and Refusal Are Behaviors, Not Evidence</w:t>
      </w:r>
    </w:p>
    <w:p>
      <w:pPr>
        <w:ind w:firstLine="0"/>
      </w:pPr>
      <w:r>
        <w:t>Other research in the supplied material examines how training changes refusal and hallucination.</w:t>
      </w:r>
    </w:p>
    <w:p>
      <w:r>
        <w:t>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answer.[^2][^3]</w:t>
      </w:r>
    </w:p>
    <w:p>
      <w:r>
        <w:t>These findings should not be stretched into a claim about every model or every training method.</w:t>
      </w:r>
    </w:p>
    <w:p>
      <w:r>
        <w:t>Their managerial lesson is narrower and more useful:</w:t>
      </w:r>
    </w:p>
    <w:p>
      <w:r>
        <w:t>A confident answer is not evidence that the question was answerable.</w:t>
      </w:r>
    </w:p>
    <w:p>
      <w:r>
        <w:t>A refusal is not a complete explanation of the system's limits.</w:t>
      </w:r>
    </w:p>
    <w:p>
      <w:r>
        <w:t>And a model that answers more often is not necessarily doing better work.</w:t>
      </w:r>
    </w:p>
    <w:p>
      <w:r>
        <w:t>The assignment needs a legitimate stopping point.</w:t>
      </w:r>
    </w:p>
    <w:p>
      <w:r>
        <w:t>If the supplied material does not establish the answer, "The documents do not answer this question" should count as successful performance.</w:t>
      </w:r>
    </w:p>
    <w:p>
      <w:r>
        <w:t>Otherwise, you are rewarding completion even when completion requires invention.</w:t>
      </w:r>
    </w:p>
    <w:p>
      <w:pPr>
        <w:pStyle w:val="Heading3"/>
      </w:pPr>
      <w:r>
        <w:t>Make the Missing Information Visible</w:t>
      </w:r>
    </w:p>
    <w:p>
      <w:pPr>
        <w:ind w:firstLine="0"/>
      </w:pPr>
      <w:r>
        <w:t>Suppose the approved service agreement states ordinary support hours but says nothing about holiday coverage.</w:t>
      </w:r>
    </w:p>
    <w:p>
      <w:r>
        <w:t>A customer asks about a public holiday.</w:t>
      </w:r>
    </w:p>
    <w:p>
      <w:r>
        <w:t>The model should not fill the gap with what similar organizations usually do.</w:t>
      </w:r>
    </w:p>
    <w:p>
      <w:r>
        <w:t>It should identify the gap.</w:t>
      </w:r>
    </w:p>
    <w:p>
      <w:r>
        <w:t>That may feel less impressive than an immediate answer. It is more useful.</w:t>
      </w:r>
    </w:p>
    <w:p>
      <w:r>
        <w:t>The organization can then obtain the missing information from someone authorized to provide it.</w:t>
      </w:r>
    </w:p>
    <w:p>
      <w:r>
        <w:t>This is where transformation becomes a dependable assignment. The model can explain what the source establishes and distinguish it from what the source does not establish.</w:t>
      </w:r>
    </w:p>
    <w:p>
      <w:r>
        <w:t>Research described in the supplied evidence also explores rewarding abstention and penalizing confident hallucination.[^4] Its reported results apply to the study's evaluation conditions, not automatically to your workflow.</w:t>
      </w:r>
    </w:p>
    <w:p>
      <w:r>
        <w:t>The design lesson is to make declining an unsupported answer an acceptable outcome.</w:t>
      </w:r>
    </w:p>
    <w:p>
      <w:r>
        <w:t>Do not force the tool to finish a job for which you have not supplied the necessary material.</w:t>
      </w:r>
    </w:p>
    <w:p>
      <w:pPr>
        <w:pStyle w:val="Heading3"/>
      </w:pPr>
      <w:r>
        <w:t>Put Important Things Where You Can Read Them</w:t>
      </w:r>
    </w:p>
    <w:p>
      <w:pPr>
        <w:ind w:firstLine="0"/>
      </w:pPr>
      <w:r>
        <w:t>Facts are not the only inputs that need an explicit home.</w:t>
      </w:r>
    </w:p>
    <w:p>
      <w:r>
        <w:t>Four different elements shape useful work:</w:t>
      </w:r>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Pr>
        <w:pStyle w:val="Heading3"/>
      </w:pPr>
      <w:r>
        <w:t>Attach the Facts Where the Work Begins</w:t>
      </w:r>
    </w:p>
    <w:p>
      <w:pPr>
        <w:ind w:firstLine="0"/>
      </w:pPr>
      <w:r>
        <w:t>The practical fix is simple to state:</w:t>
      </w:r>
    </w:p>
    <w:p>
      <w:pPr>
        <w:spacing w:before="120" w:after="120"/>
        <w:ind w:left="432" w:right="432" w:firstLine="0"/>
      </w:pPr>
      <w:r>
        <w:rPr>
          <w:i/>
          <w:sz w:val="21"/>
        </w:rPr>
        <w:t>Attach the facts so the model never needs to remember them.</w:t>
      </w:r>
    </w:p>
    <w:p>
      <w:pPr>
        <w:ind w:firstLine="0"/>
      </w:pPr>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Pr>
        <w:pStyle w:val="Heading3"/>
      </w:pPr>
      <w:r>
        <w:t>Confinement Gives the Assignment a Boundary</w:t>
      </w:r>
    </w:p>
    <w:p>
      <w:pPr>
        <w:ind w:firstLine="0"/>
      </w:pPr>
      <w:r>
        <w:t>Rule 12 says:</w:t>
      </w:r>
    </w:p>
    <w:p>
      <w:pPr>
        <w:spacing w:before="120" w:after="120"/>
        <w:ind w:left="432" w:right="432" w:firstLine="0"/>
      </w:pPr>
      <w:r>
        <w:rPr>
          <w:i/>
          <w:sz w:val="21"/>
        </w:rPr>
        <w:t>Confinement is the design, not a limitation.</w:t>
      </w:r>
    </w:p>
    <w:p>
      <w:pPr>
        <w:ind w:firstLine="0"/>
      </w:pPr>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Pr>
        <w:pStyle w:val="Heading3"/>
      </w:pPr>
      <w:r>
        <w:t>The Question to Ask Before Every Request</w:t>
      </w:r>
    </w:p>
    <w:p>
      <w:pPr>
        <w:ind w:firstLine="0"/>
      </w:pPr>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Pr>
        <w:pStyle w:val="Heading3"/>
      </w:pPr>
      <w:r>
        <w:t>Remember This</w:t>
      </w: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spacing w:before="200" w:after="200"/>
        <w:ind w:firstLine="0"/>
        <w:jc w:val="center"/>
      </w:pPr>
      <w:r>
        <w:t>•  •  •</w:t>
      </w:r>
    </w:p>
    <w:p>
      <w:pPr>
        <w:ind w:firstLine="0"/>
      </w:pPr>
      <w:r>
        <w:t>[^1]: Sharma, M., et al. "Towards Understanding Sycophancy in Language Models."</w:t>
      </w:r>
    </w:p>
    <w:p>
      <w:r>
        <w:t xml:space="preserve">  ICLR 2024 (arXiv:2310.13548, Anthropic). </w:t>
      </w:r>
      <w:r>
        <w:rPr>
          <w:b/>
        </w:rPr>
        <w:t>Peer-reviewed.</w:t>
      </w:r>
      <w:r>
        <w:t xml:space="preserve"> Finding: both human</w:t>
      </w:r>
    </w:p>
    <w:p>
      <w:r>
        <w:t xml:space="preserve">  evaluators and preference models preferred convincingly written, agreeable</w:t>
      </w:r>
    </w:p>
    <w:p>
      <w:r>
        <w:t xml:space="preserve">  (sycophantic) responses over correct ones a non-negligible fraction of the time.</w:t>
      </w:r>
    </w:p>
    <w:p>
      <w:r>
        <w:t xml:space="preserve">  the chapter asserts the finding, not a figure.</w:t>
      </w:r>
    </w:p>
    <w:p>
      <w:r>
        <w:t>[^2]: "The Hallucination Tax of Reinforcement Finetuning" (arXiv:2505.13988).</w:t>
      </w:r>
    </w:p>
    <w:p>
      <w:r>
        <w:t xml:space="preserve">  Working paper (arXiv preprint); </w:t>
      </w:r>
      <w:r>
        <w:rPr>
          <w:b/>
        </w:rPr>
        <w:t>not peer-reviewed.</w:t>
      </w:r>
      <w:r>
        <w:t xml:space="preserve"> Finding: standard RFT</w:t>
      </w:r>
    </w:p>
    <w:p>
      <w:r>
        <w:t xml:space="preserve">  substantially reduced model refusal rates on unanswerable questions while</w:t>
      </w:r>
    </w:p>
    <w:p>
      <w:r>
        <w:t xml:space="preserve">  increasing confident, incorrect (hallucinated) responses. The chapter's "substantially</w:t>
      </w:r>
    </w:p>
    <w:p>
      <w:r>
        <w:t xml:space="preserve">  reduced refusals while increasing confident, incorrect responses" is the honest,</w:t>
      </w:r>
    </w:p>
    <w:p>
      <w:r>
        <w:t xml:space="preserve">  hedged register.</w:t>
      </w:r>
    </w:p>
    <w:p>
      <w:r>
        <w:t>[^3]: "Reasoning Models Hallucinate More: Factuality-Aware Reinforcement Learning</w:t>
      </w:r>
    </w:p>
    <w:p>
      <w:r>
        <w:t xml:space="preserve">  for Large Reasoning Models" (arXiv:2505.24630). Working paper (arXiv preprint);</w:t>
      </w:r>
    </w:p>
    <w:p>
      <w:r>
        <w:t xml:space="preserve">  </w:t>
      </w:r>
      <w:r>
        <w:rPr>
          <w:b/>
        </w:rPr>
        <w:t>not peer-reviewed.</w:t>
      </w:r>
      <w:r>
        <w:t xml:space="preserve"> Finding: reasoning-oriented RL fine-tuning increased</w:t>
      </w:r>
    </w:p>
    <w:p>
      <w:r>
        <w:t xml:space="preserve">  hallucination prevalence; the paper's mechanism includes spurious local optima —</w:t>
      </w:r>
    </w:p>
    <w:p>
      <w:r>
        <w:t xml:space="preserve">  "the model can converge to a confidently held wrong answer." The chapter's "under</w:t>
      </w:r>
    </w:p>
    <w:p>
      <w:r>
        <w:t xml:space="preserve">  the conditions studied, including convergence on a confidently held wrong answer"</w:t>
      </w:r>
    </w:p>
    <w:p>
      <w:r>
        <w:t xml:space="preserve">  is source-accurate.</w:t>
      </w:r>
    </w:p>
    <w:p>
      <w:r>
        <w:t>[^4]: "Harnessing RLHF for Robust Unanswerability Recognition and Trustworthy</w:t>
      </w:r>
    </w:p>
    <w:p>
      <w:r>
        <w:t xml:space="preserve">  Response Generation in LLMs" (SALU, arXiv:2507.16951). Working paper (arXiv</w:t>
      </w:r>
    </w:p>
    <w:p>
      <w:r>
        <w:t xml:space="preserve">  preprint); </w:t>
      </w:r>
      <w:r>
        <w:rPr>
          <w:b/>
        </w:rPr>
        <w:t>not peer-reviewed.</w:t>
      </w:r>
      <w:r>
        <w:t xml:space="preserve"> Finding: a confidence-score-guided RLHF phase</w:t>
      </w:r>
    </w:p>
    <w:p>
      <w:r>
        <w:t xml:space="preserve">  that explicitly penalizes hallucinated responses and rewards appropriate abstentions</w:t>
      </w:r>
    </w:p>
    <w:p>
      <w:r>
        <w:t xml:space="preserve">  reduced hallucination on unanswerable questions in the study's evaluation. The</w:t>
      </w:r>
    </w:p>
    <w:p>
      <w:r>
        <w:t xml:space="preserve">  chapter's "research... explores rewarding abstention and penalizing confident</w:t>
      </w:r>
    </w:p>
    <w:p>
      <w:r>
        <w:t xml:space="preserve">  hallucination" and "its reported results apply to the study's evaluation conditions,</w:t>
      </w:r>
    </w:p>
    <w:p>
      <w:r>
        <w:t xml:space="preserve">  not automatically to your workflow" is the honest register. ⚠️ The paper's headline</w:t>
      </w:r>
    </w:p>
    <w:p>
      <w:r>
        <w:t xml:space="preserve">  figures (e.g., hallucination rate reduced to ~1.3%) are on a custom Chinese-LLM</w:t>
      </w:r>
    </w:p>
    <w:p>
      <w:r>
        <w:t xml:space="preserve">  conversational-IR dataset; not asserted in the chapter.</w:t>
      </w:r>
    </w:p>
    <w:p>
      <w:pPr>
        <w:pStyle w:val="Heading3"/>
      </w:pPr>
      <w:r>
        <w:t>The rules this chapter carries</w:t>
      </w:r>
    </w:p>
    <w:p>
      <w:pPr>
        <w:ind w:firstLine="0"/>
      </w:pPr>
      <w:r>
        <w:t>*</w:t>
      </w:r>
      <w:r>
        <w:rPr>
          <w:i/>
        </w:rPr>
        <w:t xml:space="preserve">Rule 1 — </w:t>
      </w:r>
      <w:r>
        <w:t>It doesn't know things.</w:t>
      </w:r>
      <w:r>
        <w:rPr>
          <w:i/>
        </w:rPr>
        <w:t xml:space="preserve"> (primary).</w:t>
      </w:r>
      <w:r>
        <w:t>* "'It Doesn't Know Things' Is an</w:t>
      </w:r>
    </w:p>
    <w:p>
      <w:r>
        <w:t>Operating Rule" is Rule 1 reframed: as an operating rule, do not treat a model's</w:t>
      </w:r>
    </w:p>
    <w:p>
      <w:r>
        <w:t>answer as established organizational knowledge. "Use its language abilities. Supply</w:t>
      </w:r>
    </w:p>
    <w:p>
      <w:r>
        <w:t>the facts."</w:t>
      </w:r>
    </w:p>
    <w:p>
      <w:r>
        <w:t>*</w:t>
      </w:r>
      <w:r>
        <w:rPr>
          <w:i/>
        </w:rPr>
        <w:t xml:space="preserve">Rule 12 — </w:t>
      </w:r>
      <w:r>
        <w:t>Confinement is the design, not a limitation.</w:t>
      </w:r>
      <w:r>
        <w:rPr>
          <w:i/>
        </w:rPr>
        <w:t xml:space="preserve"> (carried).</w:t>
      </w:r>
      <w:r>
        <w:t>* "Confinement</w:t>
      </w:r>
    </w:p>
    <w:p>
      <w:r>
        <w:t>Gives the Assignment a Boundary": confinement means defining the material from which</w:t>
      </w:r>
    </w:p>
    <w:p>
      <w:r>
        <w:t>the model may make factual claims.</w:t>
      </w:r>
    </w:p>
    <w:p>
      <w:r>
        <w:t>*</w:t>
      </w:r>
      <w:r>
        <w:rPr>
          <w:i/>
        </w:rPr>
        <w:t xml:space="preserve">Rule 2 — </w:t>
      </w:r>
      <w:r>
        <w:t>Confidence is not evidence.</w:t>
      </w:r>
      <w:r>
        <w:rPr>
          <w:i/>
        </w:rPr>
        <w:t xml:space="preserve"> (carried).</w:t>
      </w:r>
      <w:r>
        <w:t>* "Confidence and Refusal Are</w:t>
      </w:r>
    </w:p>
    <w:p>
      <w:r>
        <w:t>Behaviors, Not Evidence": a confident answer is not evidence that the question was</w:t>
      </w:r>
    </w:p>
    <w:p>
      <w:r>
        <w:t>answerable.</w:t>
      </w:r>
    </w:p>
    <w:p>
      <w:r>
        <w:t>*</w:t>
      </w:r>
      <w:r>
        <w:rPr>
          <w:i/>
        </w:rPr>
        <w:t xml:space="preserve">Rule 5 — </w:t>
      </w:r>
      <w:r>
        <w:t>It cannot tell you it's unsure.</w:t>
      </w:r>
      <w:r>
        <w:rPr>
          <w:i/>
        </w:rPr>
        <w:t xml:space="preserve"> (carried).</w:t>
      </w:r>
      <w:r>
        <w:t>* The same section: a refusal</w:t>
      </w:r>
    </w:p>
    <w:p>
      <w:r>
        <w:t>is not a complete explanation of the system's limits; the assignment needs a</w:t>
      </w:r>
    </w:p>
    <w:p>
      <w:r>
        <w:t>legitimate stopping point.</w:t>
      </w:r>
    </w:p>
    <w:p>
      <w:pPr>
        <w:spacing w:before="200" w:after="200"/>
        <w:ind w:firstLine="0"/>
        <w:jc w:val="center"/>
      </w:pPr>
      <w:r>
        <w:t>•  •  •</w:t>
      </w:r>
    </w:p>
    <w:p>
      <w:pPr>
        <w:ind w:firstLine="0"/>
      </w:pPr>
      <w:r>
        <w:t>*Verification: the author's prose is adopted verbatim (1,852 words). The paste's</w:t>
      </w:r>
    </w:p>
    <w:p>
      <w:r>
        <w:t>"Research references" block ([1]-[4]) is converted into full footnotes with peer-review</w:t>
      </w:r>
    </w:p>
    <w:p>
      <w:r>
        <w:t>status, per the established pattern; all four verified this session: [1] Sharma et al.,</w:t>
      </w:r>
    </w:p>
    <w:p>
      <w:r>
        <w:t>ICLR 2024 (arXiv:2310.13548, peer-reviewed); [2] arXiv:2505.13988 (working paper);</w:t>
      </w:r>
    </w:p>
    <w:p>
      <w:r>
        <w:t>[3] arXiv:2505.24630 (working paper); [4] SALU, arXiv:2507.16951 (working paper —</w:t>
      </w:r>
    </w:p>
    <w:p>
      <w:r>
        <w:t>verified: "Harnessing RLHF for Robust Unanswerability Recognition and Trustworthy</w:t>
      </w:r>
    </w:p>
    <w:p>
      <w:r>
        <w:t>Response Generation in LLMs," confidence-score-guided RLHF that penalizes hallucinated</w:t>
      </w:r>
    </w:p>
    <w:p>
      <w:r>
        <w:t>responses and rewards appropriate abstentions). The chapter's research claims are all</w:t>
      </w:r>
    </w:p>
    <w:p>
      <w:r>
        <w:t>framed honestly by the author: "sometimes preferred" (not "always"), "under the</w:t>
      </w:r>
    </w:p>
    <w:p>
      <w:r>
        <w:t>conditions studied" (not universally), "its reported results apply to the study's</w:t>
      </w:r>
    </w:p>
    <w:p>
      <w:r>
        <w:t>evaluation conditions, not automatically to your workflow" (SALU). The "Same Request,</w:t>
      </w:r>
    </w:p>
    <w:p>
      <w:r>
        <w:t>Two Different Jobs" demo is framed by the author as "an illustrative comparison, not a</w:t>
      </w:r>
    </w:p>
    <w:p>
      <w:r>
        <w:t>performance test" — the honest register, kept. The editor metaphor, the four elements</w:t>
      </w:r>
    </w:p>
    <w:p>
      <w:r>
        <w:t>(facts/perspective/rules/method), and the RAG explanation are argument and standard</w:t>
      </w:r>
    </w:p>
    <w:p>
      <w:r>
        <w:t>practice, not external facts. Placement: Chapter 11, Part II — between Ch. 10 (It</w:t>
      </w:r>
    </w:p>
    <w:p>
      <w:r>
        <w:t>will not set you free) and Ch. 12 (The world of tokens). Carries Rule 1 (primary),</w:t>
      </w:r>
    </w:p>
    <w:p>
      <w:r>
        <w:t>Rules 12, 2, 5.*</w:t>
      </w:r>
    </w:p>
    <w:p>
      <w:r>
        <w:br w:type="page"/>
      </w:r>
    </w:p>
    <w:p>
      <w:pPr>
        <w:pStyle w:val="Heading1"/>
      </w:pPr>
      <w:r>
        <w:t>Chapter 12 — The world of tokens</w:t>
      </w:r>
    </w:p>
    <w:p>
      <w:pPr>
        <w:pStyle w:val="Heading2"/>
      </w:pPr>
      <w:r>
        <w:t>Chapter 12 — The World of Tokens</w:t>
      </w:r>
    </w:p>
    <w:p>
      <w:pPr>
        <w:ind w:firstLine="0"/>
      </w:pPr>
      <w:r>
        <w:rPr>
          <w:i/>
        </w:rP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Pr>
        <w:spacing w:before="200" w:after="200"/>
        <w:ind w:firstLine="0"/>
        <w:jc w:val="center"/>
      </w:pPr>
      <w:r>
        <w:t>•  •  •</w:t>
      </w:r>
    </w:p>
    <w:p>
      <w:pPr>
        <w:ind w:firstLine="0"/>
      </w:pPr>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Pr>
        <w:pStyle w:val="Heading3"/>
      </w:pPr>
      <w:r>
        <w:t>Tokens Are Not Words</w:t>
      </w:r>
    </w:p>
    <w:p>
      <w:pPr>
        <w:ind w:firstLine="0"/>
      </w:pPr>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Pr>
        <w:pStyle w:val="Heading3"/>
      </w:pPr>
      <w:r>
        <w:t>Fluent Language Is Not Exact Calculation</w:t>
      </w:r>
    </w:p>
    <w:p>
      <w:pPr>
        <w:ind w:firstLine="0"/>
      </w:pPr>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Pr>
        <w:pStyle w:val="Heading3"/>
      </w:pPr>
      <w:r>
        <w:t>Pictures of Words Are Another Problem</w:t>
      </w:r>
    </w:p>
    <w:p>
      <w:pPr>
        <w:ind w:firstLine="0"/>
      </w:pPr>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Pr>
        <w:pStyle w:val="Heading3"/>
      </w:pPr>
      <w:r>
        <w:t>Training Is Not Filing</w:t>
      </w:r>
    </w:p>
    <w:p>
      <w:pPr>
        <w:ind w:firstLine="0"/>
      </w:pPr>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Pr>
        <w:spacing w:before="120" w:after="120"/>
        <w:ind w:left="432" w:right="432" w:firstLine="0"/>
      </w:pPr>
      <w:r>
        <w:rPr>
          <w:i/>
          <w:sz w:val="21"/>
        </w:rPr>
        <w:t>The weights are not a provenance ledger.</w:t>
      </w:r>
    </w:p>
    <w:p>
      <w:pPr>
        <w:ind w:firstLine="0"/>
      </w:pPr>
      <w:r>
        <w:t>Provenance means the history of a claim: its source, version, authority, and route into the answer.</w:t>
      </w:r>
    </w:p>
    <w:p>
      <w:r>
        <w:t>A business needs that history when the claim matters.</w:t>
      </w:r>
    </w:p>
    <w:p>
      <w:pPr>
        <w:pStyle w:val="Heading3"/>
      </w:pPr>
      <w:r>
        <w:t>A Map, Not a Three-Dimensional Warehouse</w:t>
      </w:r>
    </w:p>
    <w:p>
      <w:pPr>
        <w:ind w:firstLine="0"/>
      </w:pPr>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Pr>
        <w:pStyle w:val="Heading3"/>
      </w:pPr>
      <w:r>
        <w:t>It Writes Forward</w:t>
      </w:r>
    </w:p>
    <w:p>
      <w:pPr>
        <w:ind w:firstLine="0"/>
      </w:pPr>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Pr>
        <w:spacing w:before="120" w:after="120"/>
        <w:ind w:left="432" w:right="432" w:firstLine="0"/>
      </w:pPr>
      <w:r>
        <w:rPr>
          <w:i/>
          <w:sz w:val="21"/>
        </w:rPr>
        <w:t>A falsehood can be built by the same generation process as a truth—one token at a time.</w:t>
      </w:r>
    </w:p>
    <w:p>
      <w:pPr>
        <w:ind w:firstLine="0"/>
      </w:pPr>
      <w:r>
        <w:t>The model can use its context to catch some problems. What the basic process lacks is a guarantee that each claim has been verified against evidence before being emitted.</w:t>
      </w:r>
    </w:p>
    <w:p>
      <w:pPr>
        <w:pStyle w:val="Heading3"/>
      </w:pPr>
      <w:r>
        <w:t>Confidence Is Not a Separate Verification Stage</w:t>
      </w:r>
    </w:p>
    <w:p>
      <w:pPr>
        <w:ind w:firstLine="0"/>
      </w:pPr>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Pr>
        <w:pStyle w:val="Heading3"/>
      </w:pPr>
      <w:r>
        <w:t>A Seed Changes the Draw</w:t>
      </w:r>
    </w:p>
    <w:p>
      <w:pPr>
        <w:ind w:firstLine="0"/>
      </w:pPr>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The managerial lesson does not require perfect reproducibility.</w:t>
      </w:r>
    </w:p>
    <w:p>
      <w:r>
        <w:t>A new draw is not a new source.</w:t>
      </w:r>
    </w:p>
    <w:p>
      <w:pPr>
        <w:pStyle w:val="Heading3"/>
      </w:pPr>
      <w:r>
        <w:t>Temperature Changes Selection, Not Evidence</w:t>
      </w:r>
    </w:p>
    <w:p>
      <w:pPr>
        <w:ind w:firstLine="0"/>
      </w:pPr>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Pr>
        <w:pStyle w:val="Heading3"/>
      </w:pPr>
      <w:r>
        <w:t>Quantization Makes the Numbers Smaller</w:t>
      </w:r>
    </w:p>
    <w:p>
      <w:pPr>
        <w:ind w:firstLine="0"/>
      </w:pPr>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Pr>
        <w:pStyle w:val="Heading3"/>
      </w:pPr>
      <w:r>
        <w:t>We Know a Great Deal—and Still Have Open Questions</w:t>
      </w:r>
    </w:p>
    <w:p>
      <w:pPr>
        <w:ind w:firstLine="0"/>
      </w:pPr>
      <w:r>
        <w:t>"Nobody knows how it works" is not a sound foundation for this book.</w:t>
      </w:r>
    </w:p>
    <w:p>
      <w:r>
        <w:t>We know how tokenization works. We know the architecture's operations. We know how generation and sampling are implemented.</w:t>
      </w:r>
    </w:p>
    <w:p>
      <w:r>
        <w:t>Understanding every learned internal mechanism is a different problem.</w:t>
      </w:r>
    </w:p>
    <w:p>
      <w:r>
        <w:t>Interpretability research investigates those mechanisms and has real results alongside unresolved questions.</w:t>
      </w:r>
    </w:p>
    <w:p>
      <w:r>
        <w:t>There is no need to turn those open questions into total ignorance.</w:t>
      </w:r>
    </w:p>
    <w:p>
      <w:r>
        <w:t>The stronger argument is more precise:</w:t>
      </w:r>
    </w:p>
    <w:p>
      <w:pPr>
        <w:spacing w:before="120" w:after="120"/>
        <w:ind w:left="432" w:right="432" w:firstLine="0"/>
      </w:pPr>
      <w:r>
        <w:rPr>
          <w:i/>
          <w:sz w:val="21"/>
        </w:rPr>
        <w:t>The model does not come with a dependable internal record linking each generated claim to its training source.</w:t>
      </w:r>
    </w:p>
    <w:p>
      <w:pPr>
        <w:ind w:firstLine="0"/>
      </w:pPr>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Pr>
        <w:pStyle w:val="Heading3"/>
      </w:pPr>
      <w:r>
        <w:t>Remember This</w:t>
      </w: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spacing w:before="200" w:after="200"/>
        <w:ind w:firstLine="0"/>
        <w:jc w:val="center"/>
      </w:pPr>
      <w:r>
        <w:t>•  •  •</w:t>
      </w:r>
    </w:p>
    <w:p>
      <w:pPr>
        <w:pStyle w:val="Heading3"/>
      </w:pPr>
      <w:r>
        <w:t>The rules this chapter carries</w:t>
      </w:r>
    </w:p>
    <w:p>
      <w:pPr>
        <w:ind w:firstLine="0"/>
      </w:pPr>
      <w:r>
        <w:t>*</w:t>
      </w:r>
      <w:r>
        <w:rPr>
          <w:i/>
        </w:rPr>
        <w:t xml:space="preserve">Rule 2 — </w:t>
      </w:r>
      <w:r>
        <w:t>Confidence is not evidence.</w:t>
      </w:r>
      <w:r>
        <w:rPr>
          <w:i/>
        </w:rPr>
        <w:t xml:space="preserve"> (primary).</w:t>
      </w:r>
      <w:r>
        <w:t>* "Confidence Is Not a Separate</w:t>
      </w:r>
    </w:p>
    <w:p>
      <w:r>
        <w:t>Verification Stage" is Rule 2: confident wording fits the continuation; "there is no</w:t>
      </w:r>
    </w:p>
    <w:p>
      <w:r>
        <w:t>doubt" is text; a polished answer cannot serve as its own evidence.</w:t>
      </w:r>
    </w:p>
    <w:p>
      <w:r>
        <w:t>*</w:t>
      </w:r>
      <w:r>
        <w:rPr>
          <w:i/>
        </w:rPr>
        <w:t xml:space="preserve">Rule 8 — </w:t>
      </w:r>
      <w:r>
        <w:t>'It reasoned about it' is not proof.</w:t>
      </w:r>
      <w:r>
        <w:rPr>
          <w:i/>
        </w:rPr>
        <w:t xml:space="preserve"> (carried).</w:t>
      </w:r>
      <w:r>
        <w:t>* "It Writes Forward":</w:t>
      </w:r>
    </w:p>
    <w:p>
      <w:r>
        <w:t>a falsehood can be built by the same generation process as a truth—one token at a</w:t>
      </w:r>
    </w:p>
    <w:p>
      <w:r>
        <w:t>time—with no guarantee that each claim was verified against evidence before being</w:t>
      </w:r>
    </w:p>
    <w:p>
      <w:r>
        <w:t>emitted.</w:t>
      </w:r>
    </w:p>
    <w:p>
      <w:r>
        <w:t>*</w:t>
      </w:r>
      <w:r>
        <w:rPr>
          <w:i/>
        </w:rPr>
        <w:t xml:space="preserve">Rule 7 — </w:t>
      </w:r>
      <w:r>
        <w:t>Asking again is a re-roll, not a re-check.</w:t>
      </w:r>
      <w:r>
        <w:rPr>
          <w:i/>
        </w:rPr>
        <w:t xml:space="preserve"> (carried).</w:t>
      </w:r>
      <w:r>
        <w:t>* "A Seed Changes</w:t>
      </w:r>
    </w:p>
    <w:p>
      <w:r>
        <w:t>the Draw": changing the seed changes the answer without changing the weights or the</w:t>
      </w:r>
    </w:p>
    <w:p>
      <w:r>
        <w:t>evidence; a new draw is not a new source.</w:t>
      </w:r>
    </w:p>
    <w:p>
      <w:r>
        <w:t>*</w:t>
      </w:r>
      <w:r>
        <w:rPr>
          <w:i/>
        </w:rPr>
        <w:t xml:space="preserve">Rule 13 — </w:t>
      </w:r>
      <w:r>
        <w:t>Right-size the model to the task.</w:t>
      </w:r>
      <w:r>
        <w:rPr>
          <w:i/>
        </w:rPr>
        <w:t xml:space="preserve"> (carried).</w:t>
      </w:r>
      <w:r>
        <w:t>* "Quantization Makes the</w:t>
      </w:r>
    </w:p>
    <w:p>
      <w:r>
        <w:t>Numbers Smaller": use the smaller configuration when it meets your requirements, and</w:t>
      </w:r>
    </w:p>
    <w:p>
      <w:r>
        <w:t>demonstrate that it does.</w:t>
      </w:r>
    </w:p>
    <w:p>
      <w:pPr>
        <w:spacing w:before="200" w:after="200"/>
        <w:ind w:firstLine="0"/>
        <w:jc w:val="center"/>
      </w:pPr>
      <w:r>
        <w:t>•  •  •</w:t>
      </w:r>
    </w:p>
    <w:p>
      <w:pPr>
        <w:ind w:firstLine="0"/>
      </w:pPr>
      <w:r>
        <w:t>*Verification: the author's prose is adopted verbatim (2,487 words). The paste's</w:t>
      </w:r>
    </w:p>
    <w:p>
      <w:r>
        <w:t>"Source note" ([1] CONCEPTS.md, Concept 6) is the manuscript's internal source, not</w:t>
      </w:r>
    </w:p>
    <w:p>
      <w:r>
        <w:t>an independent technical citation — the author flagged it himself ("External references</w:t>
      </w:r>
    </w:p>
    <w:p>
      <w:r>
        <w:t>for tokenization, transformers, sampling, quantization, and interpretability should be</w:t>
      </w:r>
    </w:p>
    <w:p>
      <w:r>
        <w:t>added before publication"). That flag is preserved here as a ⚠️: the chapter's mechanism claims</w:t>
      </w:r>
    </w:p>
    <w:p>
      <w:r>
        <w:t>(tokenization, autoregressive generation, attention, sampling, seed, temperature,</w:t>
      </w:r>
    </w:p>
    <w:p>
      <w:r>
        <w:t>quantization, the absence of a provenance record in the weights) are standard,</w:t>
      </w:r>
    </w:p>
    <w:p>
      <w:r>
        <w:t>well-established descriptions of how these systems work, and the chapter states them</w:t>
      </w:r>
    </w:p>
    <w:p>
      <w:r>
        <w:t>with appropriate care (hedged qualifiers throughout: "a rough estimate, not a</w:t>
      </w:r>
    </w:p>
    <w:p>
      <w:r>
        <w:t>definition," "the broad pattern may remain useful even though some fine distinctions</w:t>
      </w:r>
    </w:p>
    <w:p>
      <w:r>
        <w:t>are lost," "it would be misleading to say that they handle only superficial</w:t>
      </w:r>
    </w:p>
    <w:p>
      <w:r>
        <w:t>resemblance"). No specific external study is asserted. The chapter does NOT claim</w:t>
      </w:r>
    </w:p>
    <w:p>
      <w:r>
        <w:t>"nobody knows how it works" — it explicitly rejects that framing ("'Nobody knows how it</w:t>
      </w:r>
    </w:p>
    <w:p>
      <w:r>
        <w:t>works' is not a sound foundation for this book"), and instead makes the reviewer-endorsed</w:t>
      </w:r>
    </w:p>
    <w:p>
      <w:r>
        <w:t>claim: there is no provenance inside the weights.</w:t>
      </w:r>
    </w:p>
    <w:p>
      <w:r>
        <w:t>The ML review (21–22 October 2026, recorded in the skeleton's reviewer-findings</w:t>
      </w:r>
    </w:p>
    <w:p>
      <w:r>
        <w:t>section) corrected six claims; the author's paste incorporates those corrections:</w:t>
      </w:r>
    </w:p>
    <w:p>
      <w:r>
        <w:t>temperature reframed as selection-not-evidence (finding 4), seed with the</w:t>
      </w:r>
    </w:p>
    <w:p>
      <w:r>
        <w:t>environment caveat (finding 5), quantization with non-uniform loss (finding 3), and</w:t>
      </w:r>
    </w:p>
    <w:p>
      <w:r>
        <w:t>the no-"nobody-knows" pivot to no-provenance (finding 6). The paste does NOT add</w:t>
      </w:r>
    </w:p>
    <w:p>
      <w:r>
        <w:t>CoT/thinking-model claims — it covers the mechanism (autoregression, attention,</w:t>
      </w:r>
    </w:p>
    <w:p>
      <w:r>
        <w:t>one-directional generation) without asserting faithfulness claims about reasoning</w:t>
      </w:r>
    </w:p>
    <w:p>
      <w:r>
        <w:t>traces, so the Turpin et al. (2023), Anthropic (2307.13702), and "Reasoning Models</w:t>
      </w:r>
    </w:p>
    <w:p>
      <w:r>
        <w:t>Don't Always Say What They Think" (2025) sources the reviewer cited are NOT needed here.</w:t>
      </w:r>
    </w:p>
    <w:p>
      <w:r>
        <w:t>Those three sources were verified this session for the register: Turpin et al.,</w:t>
      </w:r>
    </w:p>
    <w:p>
      <w:r>
        <w:t>"Language Models Don't Always Say What They Think" (NeurIPS 2023, arXiv:2305.04388,</w:t>
      </w:r>
    </w:p>
    <w:p>
      <w:r>
        <w:t>peer-reviewed — CoT explanations can be "plausible yet misleading"); Anthropic,</w:t>
      </w:r>
    </w:p>
    <w:p>
      <w:r>
        <w:t>"Measuring Faithfulness in Chain-of-Thought Reasoning" (arXiv:2307.13702, working</w:t>
      </w:r>
    </w:p>
    <w:p>
      <w:r>
        <w:t>paper — "as models become larger and more capable, they produce less faithful</w:t>
      </w:r>
    </w:p>
    <w:p>
      <w:r>
        <w:t>reasoning on most tasks we study"); Chen et al., "Reasoning Models Don't Always Say</w:t>
      </w:r>
    </w:p>
    <w:p>
      <w:r>
        <w:t>What They Think" (arXiv:2505.05410, working paper — reveal rates often below 20%).</w:t>
      </w:r>
    </w:p>
    <w:p>
      <w:r>
        <w:t>They remain available for the register if the chapter is later expanded to cover</w:t>
      </w:r>
    </w:p>
    <w:p>
      <w:r>
        <w:t>thinking models.</w:t>
      </w:r>
    </w:p>
    <w:p>
      <w:r>
        <w:t>The chapter's two ⚠️ flags (image-rendering and interpretability) are the author's own,</w:t>
      </w:r>
    </w:p>
    <w:p>
      <w:r>
        <w:t>kept verbatim. The "four characters per token" rule of thumb is stated as a rough</w:t>
      </w:r>
    </w:p>
    <w:p>
      <w:r>
        <w:t>estimate, not a definition — the honest register. Placement: Chapter 12, Part II</w:t>
      </w:r>
    </w:p>
    <w:p>
      <w:r>
        <w:t>(the technical spine), between Ch. 11 (A function, not a source) and Ch. 13</w:t>
      </w:r>
    </w:p>
    <w:p>
      <w:r>
        <w:t>(Language at the edges, code in the middle). Carries Rule 2 (primary), Rules 8, 7,</w:t>
      </w:r>
    </w:p>
    <w:p>
      <w:r>
        <w:t>13.*</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newer than the model he used, and</w:t>
      </w:r>
    </w:p>
    <w:p>
      <w:r>
        <w:t xml:space="preserve">  offered as evidence that small models can be useful, not as a benchmark. For the</w:t>
      </w:r>
    </w:p>
    <w:p>
      <w:r>
        <w:t xml:space="preserv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19 — An expert wrote this not the model</w:t>
      </w:r>
    </w:p>
    <w:p>
      <w:pPr>
        <w:pStyle w:val="Heading2"/>
      </w:pPr>
      <w:r>
        <w:t>Chapter 19 — An Expert Wrote This, Not the Model</w:t>
      </w:r>
    </w:p>
    <w:p>
      <w:pPr>
        <w:ind w:firstLine="0"/>
      </w:pPr>
      <w:r>
        <w:rPr>
          <w:i/>
        </w:rPr>
        <w:t>(Concept 10 — the prompt is a knowledge artifact, not a model output. Rule 1 applied to method: facts need an approved source; methods need an accountable author. Pairs with Ch. 20 (The expert is the product), which is the commercial turn. The two-agent demo is illustrative, framed as such by the author.)</w:t>
      </w:r>
    </w:p>
    <w:p>
      <w:pPr>
        <w:spacing w:before="200" w:after="200"/>
        <w:ind w:firstLine="0"/>
        <w:jc w:val="center"/>
      </w:pPr>
      <w:r>
        <w:t>•  •  •</w:t>
      </w:r>
    </w:p>
    <w:p>
      <w:pPr>
        <w:ind w:firstLine="0"/>
      </w:pPr>
      <w:r>
        <w:t>The book's first rule has one more job to do.</w:t>
      </w:r>
    </w:p>
    <w:p>
      <w:r>
        <w:t>We have applied it to facts. Do not ask the model to remember your policy, your price, or your customer's requirements. Supply the approved material, then ask it to work with that material.</w:t>
      </w:r>
    </w:p>
    <w:p>
      <w:r>
        <w:t>Now apply the same rule to method.</w:t>
      </w:r>
    </w:p>
    <w:p>
      <w:r>
        <w:t>Do not ask the model to invent how your organization performs the work, then give that invention to an agent as its operating instructions.</w:t>
      </w:r>
    </w:p>
    <w:p>
      <w:r>
        <w:t>Supply the method too.</w:t>
      </w:r>
    </w:p>
    <w:p>
      <w:r>
        <w:t>The model is not your authority for facts. It should not become your authority for procedure either.</w:t>
      </w:r>
    </w:p>
    <w:p>
      <w:r>
        <w:t>This does not reduce the model to copying. Understanding a request, interpreting documents, drafting a response, and adapting an explanation are substantial tasks.</w:t>
      </w:r>
    </w:p>
    <w:p>
      <w:r>
        <w:t>But deciding the governing method is a different responsibility.</w:t>
      </w:r>
    </w:p>
    <w:p>
      <w:r>
        <w:t>That belongs to someone who knows the work.</w:t>
      </w:r>
    </w:p>
    <w:p>
      <w:pPr>
        <w:pStyle w:val="Heading3"/>
      </w:pPr>
      <w:r>
        <w:t>The First Rule, One Level Up</w:t>
      </w:r>
    </w:p>
    <w:p>
      <w:pPr>
        <w:ind w:firstLine="0"/>
      </w:pPr>
      <w:r>
        <w:t>The author states the principle in the project's captured material:</w:t>
      </w:r>
    </w:p>
    <w:p>
      <w:pPr>
        <w:spacing w:before="120" w:after="120"/>
        <w:ind w:left="432" w:right="432" w:firstLine="0"/>
      </w:pPr>
      <w:r>
        <w:rPr>
          <w:i/>
          <w:sz w:val="21"/>
        </w:rPr>
        <w:t>this is a theory but it is a rule. Agentic AI has great potential but the fault with agentic ai is thatmost people rely on the LLM to prompt the agent itself. A truely great agent should replect theknowledge of a true expert with experience, not a gneric self-generated prompt.</w:t>
      </w:r>
    </w:p>
    <w:p>
      <w:pPr>
        <w:ind w:firstLine="0"/>
      </w:pPr>
      <w:r>
        <w:t>The spelling is incidental. The distinction is not.</w:t>
      </w:r>
    </w:p>
    <w:p>
      <w:r>
        <w:t>An agent needs instructions. Those instructions can look impressive without containing the knowledge that makes the job dependable.</w:t>
      </w:r>
    </w:p>
    <w:p>
      <w:r>
        <w:t>"Act as an experienced proposal manager" is a role description.</w:t>
      </w:r>
    </w:p>
    <w:p>
      <w:r>
        <w:t>It is not the proposal manager's method.</w:t>
      </w:r>
    </w:p>
    <w:p>
      <w:r>
        <w:t>"Be thorough, accurate, and persuasive" expresses an aspiration.</w:t>
      </w:r>
    </w:p>
    <w:p>
      <w:r>
        <w:t>It does not establish what evidence is acceptable, which checks come first, or when the agent must stop.</w:t>
      </w:r>
    </w:p>
    <w:p>
      <w:r>
        <w:t>The missing ingredient is not a more elaborate personality.</w:t>
      </w:r>
    </w:p>
    <w:p>
      <w:r>
        <w:t>It is an authored procedure.</w:t>
      </w:r>
    </w:p>
    <w:p>
      <w:pPr>
        <w:pStyle w:val="Heading3"/>
      </w:pPr>
      <w:r>
        <w:t>A Plausible Process Is Not an Authorized Process</w:t>
      </w:r>
    </w:p>
    <w:p>
      <w:pPr>
        <w:ind w:firstLine="0"/>
      </w:pPr>
      <w:r>
        <w:t>Ask a model to write instructions for a professional task and it may produce a useful starting draft.</w:t>
      </w:r>
    </w:p>
    <w:p>
      <w:r>
        <w:t>It may identify sensible stages. It may organize familiar advice clearly.</w:t>
      </w:r>
    </w:p>
    <w:p>
      <w:r>
        <w:t>But plausibility does not establish that the process matches your organization's obligations, evidence standards, or experience.</w:t>
      </w:r>
    </w:p>
    <w:p>
      <w:r>
        <w:t>The question is not whether the generated instructions sound professional.</w:t>
      </w:r>
    </w:p>
    <w:p>
      <w:r>
        <w:t>The question is whether a qualified person has established that these are the instructions the work should follow.</w:t>
      </w:r>
    </w:p>
    <w:p>
      <w:r>
        <w:t>This is the procedural version of the problem with an unsupported fact.</w:t>
      </w:r>
    </w:p>
    <w:p>
      <w:r>
        <w:t>A confident sentence does not establish its own truth.</w:t>
      </w:r>
    </w:p>
    <w:p>
      <w:r>
        <w:t>A confident checklist does not establish its own fitness for the job.</w:t>
      </w:r>
    </w:p>
    <w:p>
      <w:r>
        <w:t>If the agent follows an inadequate checklist consistently, consistency does not rescue the method. It reproduces the omission.</w:t>
      </w:r>
    </w:p>
    <w:p>
      <w:r>
        <w:t>The governing method must earn approval outside the model that will execute it.</w:t>
      </w:r>
    </w:p>
    <w:p>
      <w:pPr>
        <w:pStyle w:val="Heading3"/>
      </w:pPr>
      <w:r>
        <w:t>Two Agents, One Difference</w:t>
      </w:r>
    </w:p>
    <w:p>
      <w:pPr>
        <w:ind w:firstLine="0"/>
      </w:pPr>
      <w:r>
        <w:t>Consider two agents reviewing the same proposal against the same customer requirements.</w:t>
      </w:r>
    </w:p>
    <w:p>
      <w:r>
        <w:t>They use the same model and receive the same documents.</w:t>
      </w:r>
    </w:p>
    <w:p>
      <w:r>
        <w:t>The first receives instructions generated from a broad request:</w:t>
      </w:r>
    </w:p>
    <w:p>
      <w:r>
        <w:t>"Create a professional process for reviewing a proposal."</w:t>
      </w:r>
    </w:p>
    <w:p>
      <w:r>
        <w:t>Its brief tells it to assess completeness, clarity, persuasiveness, and alignment with the customer's needs.</w:t>
      </w:r>
    </w:p>
    <w:p>
      <w:r>
        <w:t>The second receives a method written by an experienced practitioner:</w:t>
      </w:r>
    </w:p>
    <w:p>
      <w:r>
        <w:t>"Identify each mandatory requirement before reviewing persuasive language. Compare each compliance claim with the supplied evidence. Distinguish an explicit commitment from a general capability statement. Where evidence is absent, identify the gap rather than infer compliance. Do not rewrite an unsupported claim to make it sound stronger."</w:t>
      </w:r>
    </w:p>
    <w:p>
      <w:r>
        <w:t>These are illustrative briefs, not quoted Dashboard instructions or results from a measured experiment.</w:t>
      </w:r>
    </w:p>
    <w:p>
      <w:r>
        <w:t>They show what the comparison should examine.</w:t>
      </w:r>
    </w:p>
    <w:p>
      <w:r>
        <w:t>The first brief defines broad qualities. The second establishes distinctions, an order, and a refusal.</w:t>
      </w:r>
    </w:p>
    <w:p>
      <w:r>
        <w:t>It tells the agent what must happen before polishing begins.</w:t>
      </w:r>
    </w:p>
    <w:p>
      <w:r>
        <w:t>If the agents produce different reviews, the model alone cannot explain the difference. The governing instructions are a changed input.</w:t>
      </w:r>
    </w:p>
    <w:p>
      <w:r>
        <w:t>Nevertheless, the design question is already visible:</w:t>
      </w:r>
    </w:p>
    <w:p>
      <w:r>
        <w:t>Does the brief contain the knowledge that determines whether the work is acceptable?</w:t>
      </w:r>
    </w:p>
    <w:p>
      <w:pPr>
        <w:pStyle w:val="Heading3"/>
      </w:pPr>
      <w:r>
        <w:t>The Plan and the Execution</w:t>
      </w:r>
    </w:p>
    <w:p>
      <w:pPr>
        <w:ind w:firstLine="0"/>
      </w:pPr>
      <w:r>
        <w:t>Two responsibilities must remain distinct.</w:t>
      </w:r>
    </w:p>
    <w:p>
      <w:r>
        <w:t>The plan establishes the method: the sequence, the checks, the evidence standards, and the conditions for stopping.</w:t>
      </w:r>
    </w:p>
    <w:p>
      <w:r>
        <w:t>The execution applies that method to the current request: reading, comparing, summarizing, drafting, formatting, and using permitted tools.</w:t>
      </w:r>
    </w:p>
    <w:p>
      <w:r>
        <w:t>The model can do substantial work in execution.</w:t>
      </w:r>
    </w:p>
    <w:p>
      <w:r>
        <w:t>It may decide how best to explain a finding. It may organize a long document into a useful structure. It may draft several versions of an approved message.</w:t>
      </w:r>
    </w:p>
    <w:p>
      <w:r>
        <w:t>But those choices occur inside the governing method.</w:t>
      </w:r>
    </w:p>
    <w:p>
      <w:r>
        <w:t>The rule is not that a model must never produce a plan-shaped piece of text.</w:t>
      </w:r>
    </w:p>
    <w:p>
      <w:r>
        <w:t>It can draft a proposed procedure for expert review. It can summarize an existing procedure. It can adapt an approved checklist to a particular case.</w:t>
      </w:r>
    </w:p>
    <w:p>
      <w:r>
        <w:t>The boundary is adoption.</w:t>
      </w:r>
    </w:p>
    <w:p>
      <w:r>
        <w:t>A model-generated suggestion must not silently become the authority under which the agent operates.</w:t>
      </w:r>
    </w:p>
    <w:p>
      <w:r>
        <w:t>Someone qualified must own that decision.</w:t>
      </w:r>
    </w:p>
    <w:p>
      <w:pPr>
        <w:pStyle w:val="Heading3"/>
      </w:pPr>
      <w:r>
        <w:t>What Experts Put Into a Brief</w:t>
      </w:r>
    </w:p>
    <w:p>
      <w:pPr>
        <w:ind w:firstLine="0"/>
      </w:pPr>
      <w:r>
        <w:t>An expert's value is not confined to knowing the obvious steps.</w:t>
      </w:r>
    </w:p>
    <w:p>
      <w:r>
        <w:t>The useful knowledge often concerns exceptions and distinctions:</w:t>
      </w:r>
    </w:p>
    <w:p>
      <w:r>
        <w:t>What looks complete but is not?</w:t>
      </w:r>
    </w:p>
    <w:p>
      <w:r>
        <w:t>Which source takes precedence?</w:t>
      </w:r>
    </w:p>
    <w:p>
      <w:r>
        <w:t>What should never be inferred?</w:t>
      </w:r>
    </w:p>
    <w:p>
      <w:r>
        <w:t>Which omission requires a question?</w:t>
      </w:r>
    </w:p>
    <w:p>
      <w:r>
        <w:t>When is a polished answer worse than no answer?</w:t>
      </w:r>
    </w:p>
    <w:p>
      <w:r>
        <w:t>These are the details a generic instruction can miss.</w:t>
      </w:r>
    </w:p>
    <w:p>
      <w:r>
        <w:t>A proposal reviewer, for example, may distinguish between describing a capability and proving compliance with a requirement. A customer-service manager may distinguish between explaining policy and authorizing an exception.</w:t>
      </w:r>
    </w:p>
    <w:p>
      <w:r>
        <w:t>The distinction determines what the agent may do.</w:t>
      </w:r>
    </w:p>
    <w:p>
      <w:r>
        <w:t>Without it, the agent may produce fluent work that crosses a boundary the organization considers essential.</w:t>
      </w:r>
    </w:p>
    <w:p>
      <w:r>
        <w:t>The expert does not need to produce literary instructions.</w:t>
      </w:r>
    </w:p>
    <w:p>
      <w:r>
        <w:t>A rough but explicit rule—"If this evidence is missing, stop and ask"—can carry more operational value than a beautifully written paragraph about excellence.</w:t>
      </w:r>
    </w:p>
    <w:p>
      <w:r>
        <w:t>That is a design judgment, not a claim that every rough human plan outperforms every polished generated one.</w:t>
      </w:r>
    </w:p>
    <w:p>
      <w:r>
        <w:t>The point is to capture real knowledge rather than mistake polish for it.</w:t>
      </w:r>
    </w:p>
    <w:p>
      <w:pPr>
        <w:pStyle w:val="Heading3"/>
      </w:pPr>
      <w:r>
        <w:t>The Dashboard's Authorship Is Visible</w:t>
      </w:r>
    </w:p>
    <w:p>
      <w:pPr>
        <w:ind w:firstLine="0"/>
      </w:pPr>
      <w:r>
        <w:t>The Dashboard provides a concrete example of this approach.</w:t>
      </w:r>
    </w:p>
    <w:p>
      <w:r>
        <w:t>According to the supplied project evidence, its governing instructions are human-authored rather than generated by the model.[^1]</w:t>
      </w:r>
    </w:p>
    <w:p>
      <w:r>
        <w:t>Its soul.md expresses a senior capture manager's voice, rules, and refusals. One instruction reads:</w:t>
      </w:r>
    </w:p>
    <w:p>
      <w:pPr>
        <w:spacing w:before="120" w:after="120"/>
        <w:ind w:left="432" w:right="432" w:firstLine="0"/>
      </w:pPr>
      <w:r>
        <w:rPr>
          <w:i/>
          <w:sz w:val="21"/>
        </w:rPr>
        <w:t>"You ASK WHEN YOU DON'T KNOW… Guessing when you could ask is a failure."</w:t>
      </w:r>
    </w:p>
    <w:p>
      <w:pPr>
        <w:ind w:firstLine="0"/>
      </w:pPr>
      <w:r>
        <w:t>This is more than a tone preference.</w:t>
      </w:r>
    </w:p>
    <w:p>
      <w:r>
        <w:t>It establishes how the agent should handle uncertainty.</w:t>
      </w:r>
    </w:p>
    <w:p>
      <w:r>
        <w:t>Other authored files carry distinct responsibilities:</w:t>
      </w:r>
    </w:p>
    <w:p>
      <w:r>
        <w:t>knowledge-policy.ts defines the knowledge policy.</w:t>
      </w:r>
    </w:p>
    <w:p>
      <w:r>
        <w:t>strengths-policy.ts carries the strengths-only rule.</w:t>
      </w:r>
    </w:p>
    <w:p>
      <w:r>
        <w:t>local-first.ts defines the gate governing local-first behavior.</w:t>
      </w:r>
    </w:p>
    <w:p>
      <w:r>
        <w:t>The significance is not the filenames.</w:t>
      </w:r>
    </w:p>
    <w:p>
      <w:r>
        <w:t>It is that important decisions exist as readable artifacts with human authorship.</w:t>
      </w:r>
    </w:p>
    <w:p>
      <w:r>
        <w:t>What it does establish is the design choice: the model executes governing instructions it did not originate.</w:t>
      </w:r>
    </w:p>
    <w:p>
      <w:pPr>
        <w:pStyle w:val="Heading3"/>
      </w:pPr>
      <w:r>
        <w:t>Refusals Belong in the Method</w:t>
      </w:r>
    </w:p>
    <w:p>
      <w:pPr>
        <w:ind w:firstLine="0"/>
      </w:pPr>
      <w:r>
        <w:t>A useful brief says more than what to do.</w:t>
      </w:r>
    </w:p>
    <w:p>
      <w:r>
        <w:t>It says what not to do—and what to do instead.</w:t>
      </w:r>
    </w:p>
    <w:p>
      <w:r>
        <w:t>Do not infer a commitment from marketing language.</w:t>
      </w:r>
    </w:p>
    <w:p>
      <w:r>
        <w:t>Do not treat an unsupported claim as established.</w:t>
      </w:r>
    </w:p>
    <w:p>
      <w:r>
        <w:t>Do not conceal missing evidence by improving the prose.</w:t>
      </w:r>
    </w:p>
    <w:p>
      <w:r>
        <w:t>Ask, identify the gap, or escalate.</w:t>
      </w:r>
    </w:p>
    <w:p>
      <w:r>
        <w:t>These are illustrative rules. The applicable refusals must come from the people responsible for the actual workflow.</w:t>
      </w:r>
    </w:p>
    <w:p>
      <w:r>
        <w:t>That matters because an agent's assignment can otherwise become "complete the task at all costs."</w:t>
      </w:r>
    </w:p>
    <w:p>
      <w:r>
        <w:t>Completion is not always success.</w:t>
      </w:r>
    </w:p>
    <w:p>
      <w:r>
        <w:t>Sometimes success is recognizing that a required input is absent and returning the work for clarification.</w:t>
      </w:r>
    </w:p>
    <w:p>
      <w:r>
        <w:t>The Dashboard's instruction about asking instead of guessing makes that boundary explicit.</w:t>
      </w:r>
    </w:p>
    <w:p>
      <w:r>
        <w:t>The expert's method should give the agent a legitimate stopping point.</w:t>
      </w:r>
    </w:p>
    <w:p>
      <w:pPr>
        <w:pStyle w:val="Heading3"/>
      </w:pPr>
      <w:r>
        <w:t>A Skill File Carries the Method</w:t>
      </w:r>
    </w:p>
    <w:p>
      <w:pPr>
        <w:ind w:firstLine="0"/>
      </w:pPr>
      <w:r>
        <w:t>A skill file is one mechanism for delivering that knowledge.</w:t>
      </w:r>
    </w:p>
    <w:p>
      <w:r>
        <w:t>It can contain a procedure, a checklist, examples, pitfalls, and conditions for refusal.</w:t>
      </w:r>
    </w:p>
    <w:p>
      <w:r>
        <w:t>The important property is not its name or file format.</w:t>
      </w:r>
    </w:p>
    <w:p>
      <w:r>
        <w:t>It is the relationship between the artifact and the agent:</w:t>
      </w:r>
    </w:p>
    <w:p>
      <w:r>
        <w:t>The artifact carries the approved method. The agent applies it.</w:t>
      </w:r>
    </w:p>
    <w:p>
      <w:r>
        <w:t>The supplied concept notes identify skills in several commercial tools as examples of this mechanism.</w:t>
      </w:r>
    </w:p>
    <w:p>
      <w:r>
        <w:t>Nor is a file trustworthy merely because it is called a skill.</w:t>
      </w:r>
    </w:p>
    <w:p>
      <w:r>
        <w:t>A skill file can contain generic advice, stale instructions, or an unreviewed model draft.</w:t>
      </w:r>
    </w:p>
    <w:p>
      <w:r>
        <w:t>The same authorship questions apply:</w:t>
      </w:r>
    </w:p>
    <w:p>
      <w:r>
        <w:t>Who wrote it?</w:t>
      </w:r>
    </w:p>
    <w:p>
      <w:r>
        <w:t>Who approved it?</w:t>
      </w:r>
    </w:p>
    <w:p>
      <w:r>
        <w:t>What experience informs it?</w:t>
      </w:r>
    </w:p>
    <w:p>
      <w:r>
        <w:t>What happens when the method changes?</w:t>
      </w:r>
    </w:p>
    <w:p>
      <w:r>
        <w:t>The artifact is a container. Expertise is the content.</w:t>
      </w:r>
    </w:p>
    <w:p>
      <w:pPr>
        <w:pStyle w:val="Heading3"/>
      </w:pPr>
      <w:r>
        <w:t>Extract the Method Before Automating It</w:t>
      </w:r>
    </w:p>
    <w:p>
      <w:pPr>
        <w:ind w:firstLine="0"/>
      </w:pPr>
      <w:r>
        <w:t>If the expert has never written the procedure down, begin there.</w:t>
      </w:r>
    </w:p>
    <w:p>
      <w:r>
        <w:t>Ask them to walk through an actual case.</w:t>
      </w:r>
    </w:p>
    <w:p>
      <w:r>
        <w:t>Capture the order of decisions, not just the final result. Record what they checked, what they rejected, and what made them stop.</w:t>
      </w:r>
    </w:p>
    <w:p>
      <w:r>
        <w:t>Then distinguish three things:</w:t>
      </w:r>
    </w:p>
    <w:p>
      <w:r>
        <w:t>What must always happen.</w:t>
      </w:r>
    </w:p>
    <w:p>
      <w:r>
        <w:t>What depends on the case.</w:t>
      </w:r>
    </w:p>
    <w:p>
      <w:r>
        <w:t>What requires a person's authorization.</w:t>
      </w:r>
    </w:p>
    <w:p>
      <w:r>
        <w:t>The model can help organize those notes. It can turn a recorded explanation into a draft checklist or reveal ambiguities for discussion.</w:t>
      </w:r>
    </w:p>
    <w:p>
      <w:r>
        <w:t>That is transformation of supplied input—the framing from Chapter 11.</w:t>
      </w:r>
    </w:p>
    <w:p>
      <w:r>
        <w:t>The expert must still review the result.</w:t>
      </w:r>
    </w:p>
    <w:p>
      <w:r>
        <w:t>A clean summary can omit a crucial qualification. A tidy sequence can impose an order the expert never intended.</w:t>
      </w:r>
    </w:p>
    <w:p>
      <w:r>
        <w:t>Do not let the convenience of transcription become a transfer of authority.</w:t>
      </w:r>
    </w:p>
    <w:p>
      <w:pPr>
        <w:pStyle w:val="Heading3"/>
      </w:pPr>
      <w:r>
        <w:t>Respect the People Who Learned This Already</w:t>
      </w:r>
    </w:p>
    <w:p>
      <w:pPr>
        <w:ind w:firstLine="0"/>
      </w:pPr>
      <w:r>
        <w:t>This is not an argument against prompt engineering.</w:t>
      </w:r>
    </w:p>
    <w:p>
      <w:r>
        <w:t>Practitioners who write effective instructions are often doing exactly this work: making assumptions explicit, defining boundaries, specifying evidence, and testing failure cases.</w:t>
      </w:r>
    </w:p>
    <w:p>
      <w:r>
        <w:t>The principle explains why that work matters.</w:t>
      </w:r>
    </w:p>
    <w:p>
      <w:r>
        <w:t>The prompt is not merely a clever sentence that makes the model behave.</w:t>
      </w:r>
    </w:p>
    <w:p>
      <w:r>
        <w:t>It is a knowledge artifact.</w:t>
      </w:r>
    </w:p>
    <w:p>
      <w:r>
        <w:t>For governing instructions, its quality depends on the method it carries and the accountability behind that method.</w:t>
      </w:r>
    </w:p>
    <w:p>
      <w:r>
        <w:t>The expert's process need not be perfect. It needs to be explicit, reviewable, and open to correction.</w:t>
      </w:r>
    </w:p>
    <w:p>
      <w:r>
        <w:t>An authored method gives a team something definite to improve when a failure occurs.</w:t>
      </w:r>
    </w:p>
    <w:p>
      <w:r>
        <w:t>They can ask whether the instruction was wrong, incomplete, or badly executed.</w:t>
      </w:r>
    </w:p>
    <w:p>
      <w:pPr>
        <w:pStyle w:val="Heading3"/>
      </w:pPr>
      <w:r>
        <w:t>Who Wrote the Instructions?</w:t>
      </w:r>
    </w:p>
    <w:p>
      <w:pPr>
        <w:ind w:firstLine="0"/>
      </w:pPr>
      <w:r>
        <w:t>Rule 20 completes Rule 1:</w:t>
      </w:r>
    </w:p>
    <w:p>
      <w:pPr>
        <w:spacing w:before="120" w:after="120"/>
        <w:ind w:left="432" w:right="432" w:firstLine="0"/>
      </w:pPr>
      <w:r>
        <w:rPr>
          <w:i/>
          <w:sz w:val="21"/>
        </w:rPr>
        <w:t>The prompt is a knowledge artifact.</w:t>
      </w:r>
    </w:p>
    <w:p>
      <w:pPr>
        <w:ind w:firstLine="0"/>
      </w:pPr>
      <w:r>
        <w:t>Facts need an approved source.</w:t>
      </w:r>
    </w:p>
    <w:p>
      <w:r>
        <w:t>Methods need an accountable author.</w:t>
      </w:r>
    </w:p>
    <w:p>
      <w:r>
        <w:t>The model can help draft both. It should not become the authority for either merely because its output reads well.</w:t>
      </w:r>
    </w:p>
    <w:p>
      <w:r>
        <w:t>Before expanding the agent, improving its persona, or giving it more tools, inspect the brief.</w:t>
      </w:r>
    </w:p>
    <w:p>
      <w:r>
        <w:t>Does it contain the real checks?</w:t>
      </w:r>
    </w:p>
    <w:p>
      <w:r>
        <w:t>Does it preserve the necessary order?</w:t>
      </w:r>
    </w:p>
    <w:p>
      <w:r>
        <w:t>Does it name the refusals?</w:t>
      </w:r>
    </w:p>
    <w:p>
      <w:r>
        <w:t>And ask the question that matters most:</w:t>
      </w:r>
    </w:p>
    <w:p>
      <w:pPr>
        <w:spacing w:before="120" w:after="120"/>
        <w:ind w:left="432" w:right="432" w:firstLine="0"/>
      </w:pPr>
      <w:r>
        <w:rPr>
          <w:i/>
          <w:sz w:val="21"/>
        </w:rPr>
        <w:t>Who wrote your agent's instructions—and have they ever done the job?</w:t>
      </w:r>
    </w:p>
    <w:p>
      <w:pPr>
        <w:ind w:firstLine="0"/>
      </w:pPr>
      <w:r>
        <w:t>If the answer is "the model," you have a draft.</w:t>
      </w:r>
    </w:p>
    <w:p>
      <w:r>
        <w:t>You do not yet have an expert's method.</w:t>
      </w:r>
    </w:p>
    <w:p>
      <w:pPr>
        <w:pStyle w:val="Heading3"/>
      </w:pPr>
      <w:r>
        <w:t>Remember This</w:t>
      </w:r>
    </w:p>
    <w:p>
      <w:pPr>
        <w:spacing w:before="120" w:after="120"/>
        <w:ind w:left="432" w:right="432" w:firstLine="0"/>
      </w:pPr>
      <w:r>
        <w:rPr>
          <w:i/>
          <w:sz w:val="21"/>
        </w:rPr>
        <w:t>Facts need an approved source.</w:t>
      </w:r>
    </w:p>
    <w:p>
      <w:pPr>
        <w:ind w:firstLine="0"/>
      </w:pPr>
      <w:r>
        <w:t>&gt;</w:t>
      </w:r>
    </w:p>
    <w:p>
      <w:pPr>
        <w:spacing w:before="120" w:after="120"/>
        <w:ind w:left="432" w:right="432" w:firstLine="0"/>
      </w:pPr>
      <w:r>
        <w:rPr>
          <w:i/>
          <w:sz w:val="21"/>
        </w:rPr>
        <w:t>Methods need an accountable author.</w:t>
      </w:r>
    </w:p>
    <w:p>
      <w:pPr>
        <w:ind w:firstLine="0"/>
      </w:pPr>
      <w:r>
        <w:t>&gt;</w:t>
      </w:r>
    </w:p>
    <w:p>
      <w:pPr>
        <w:spacing w:before="120" w:after="120"/>
        <w:ind w:left="432" w:right="432" w:firstLine="0"/>
      </w:pPr>
      <w:r>
        <w:rPr>
          <w:i/>
          <w:sz w:val="21"/>
        </w:rPr>
        <w:t>Who wrote your agent's instructions—and have they ever done the job?</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"The First Rule, One Level Up"</w:t>
      </w:r>
    </w:p>
    <w:p>
      <w:r>
        <w:t>is Rule 1 applied to method, not just facts: the model is not your authority for</w:t>
      </w:r>
    </w:p>
    <w:p>
      <w:r>
        <w:t>facts, and it should not become your authority for procedure either.</w:t>
      </w:r>
    </w:p>
    <w:p>
      <w:r>
        <w:t>*</w:t>
      </w:r>
      <w:r>
        <w:rPr>
          <w:i/>
        </w:rPr>
        <w:t xml:space="preserve">Rule 20 — </w:t>
      </w:r>
      <w:r>
        <w:t>The prompt is a knowledge artifact, not a model output.</w:t>
      </w:r>
      <w:r>
        <w:rPr>
          <w:i/>
        </w:rPr>
        <w:t xml:space="preserve"> (carried).</w:t>
      </w:r>
      <w:r>
        <w:t>*</w:t>
      </w:r>
    </w:p>
    <w:p>
      <w:r>
        <w:t>"Respect the People Who Learned This Already" and "Who Wrote the Instructions?" are</w:t>
      </w:r>
    </w:p>
    <w:p>
      <w:r>
        <w:t>Rule 20: the prompt is a knowledge artifact, and facts need an approved source</w:t>
      </w:r>
    </w:p>
    <w:p>
      <w:r>
        <w:t>while methods need an accountable author.</w:t>
      </w:r>
    </w:p>
    <w:p>
      <w:r>
        <w:t>*</w:t>
      </w:r>
      <w:r>
        <w:rPr>
          <w:i/>
        </w:rPr>
        <w:t xml:space="preserve">Rule 12 — </w:t>
      </w:r>
      <w:r>
        <w:t>Confinement is the design, not a limitation.</w:t>
      </w:r>
      <w:r>
        <w:rPr>
          <w:i/>
        </w:rPr>
        <w:t xml:space="preserve"> (carried).</w:t>
      </w:r>
      <w:r>
        <w:t>* "A Skill</w:t>
      </w:r>
    </w:p>
    <w:p>
      <w:r>
        <w:t>File Carries the Method": the artifact carries the approved method; the agent</w:t>
      </w:r>
    </w:p>
    <w:p>
      <w:r>
        <w:t>applies it.</w:t>
      </w:r>
    </w:p>
    <w:p>
      <w:pPr>
        <w:spacing w:before="200" w:after="200"/>
        <w:ind w:firstLine="0"/>
        <w:jc w:val="center"/>
      </w:pPr>
      <w:r>
        <w:t>•  •  •</w:t>
      </w:r>
    </w:p>
    <w:p>
      <w:pPr>
        <w:ind w:firstLine="0"/>
      </w:pPr>
      <w:r>
        <w:t>*Verification: the author's prose is adopted verbatim (2,057 words). The paste's</w:t>
      </w:r>
    </w:p>
    <w:p>
      <w:r>
        <w:t>"Source notes" block ([1]-[3]) is converted into this verification note; all three</w:t>
      </w:r>
    </w:p>
    <w:p>
      <w:r>
        <w:t>verified this session against the PersonalAI-Dashboard repo:</w:t>
      </w:r>
    </w:p>
    <w:p>
      <w:pPr>
        <w:pStyle w:val="ListBullet"/>
        <w:ind w:firstLine="0"/>
      </w:pPr>
      <w:r>
        <w:rPr>
          <w:b/>
        </w:rPr>
        <w:t>[2] soul.md quote</w:t>
      </w:r>
      <w:r>
        <w:t xml:space="preserve"> — confirmed verbatim at </w:t>
      </w:r>
      <w:r>
        <w:rPr>
          <w:rFonts w:ascii="Consolas" w:hAnsi="Consolas"/>
          <w:sz w:val="19"/>
        </w:rPr>
        <w:t>soul.md</w:t>
      </w:r>
      <w:r>
        <w:t xml:space="preserve"> lines 32-34: "You ASK WHEN</w:t>
      </w:r>
    </w:p>
    <w:p>
      <w:r>
        <w:t xml:space="preserve">  YOU DON'T KNOW... Guessing when you could ask is a failure." (The chapter's</w:t>
      </w:r>
    </w:p>
    <w:p>
      <w:r>
        <w:t xml:space="preserve">  ellipsis form matches the source.)</w:t>
      </w:r>
    </w:p>
    <w:p>
      <w:pPr>
        <w:pStyle w:val="ListBullet"/>
        <w:ind w:firstLine="0"/>
      </w:pPr>
      <w:r>
        <w:rPr>
          <w:b/>
        </w:rPr>
        <w:t>[1][3] Policy files</w:t>
      </w:r>
      <w:r>
        <w:t xml:space="preserve"> — confirmed to exist: </w:t>
      </w:r>
      <w:r>
        <w:rPr>
          <w:rFonts w:ascii="Consolas" w:hAnsi="Consolas"/>
          <w:sz w:val="19"/>
        </w:rPr>
        <w:t>src/lib/config/knowledge-policy.ts</w:t>
      </w:r>
      <w:r>
        <w:t>,</w:t>
      </w:r>
    </w:p>
    <w:p>
      <w:r>
        <w:t xml:space="preserve">  </w:t>
      </w:r>
      <w:r>
        <w:rPr>
          <w:rFonts w:ascii="Consolas" w:hAnsi="Consolas"/>
          <w:sz w:val="19"/>
        </w:rPr>
        <w:t>src/lib/config/strengths-policy.ts</w:t>
      </w:r>
      <w:r>
        <w:t xml:space="preserve">, </w:t>
      </w:r>
      <w:r>
        <w:rPr>
          <w:rFonts w:ascii="Consolas" w:hAnsi="Consolas"/>
          <w:sz w:val="19"/>
        </w:rPr>
        <w:t>src/lib/config/local-first.ts</w:t>
      </w:r>
      <w:r>
        <w:t>. The chapter's</w:t>
      </w:r>
    </w:p>
    <w:p>
      <w:r>
        <w:t xml:space="preserve">  descriptions of their responsibilities (knowledge policy, strengths-only rule,</w:t>
      </w:r>
    </w:p>
    <w:p>
      <w:r>
        <w:t xml:space="preserve">  local-first gate) match the register's record of them.</w:t>
      </w:r>
    </w:p>
    <w:p>
      <w:pPr>
        <w:pStyle w:val="ListBullet"/>
        <w:ind w:firstLine="0"/>
      </w:pPr>
      <w:r>
        <w:rPr>
          <w:b/>
        </w:rPr>
        <w:t>The quoted "theory" line</w:t>
      </w:r>
      <w:r>
        <w:t xml:space="preserve"> (the author's captured material, with its original</w:t>
      </w:r>
    </w:p>
    <w:p>
      <w:r>
        <w:t xml:space="preserve">  spelling — "thatmost," "truely," "replect," "gneric") is the author's own statement</w:t>
      </w:r>
    </w:p>
    <w:p>
      <w:r>
        <w:t xml:space="preserve">  from captured project material, presented as his. It is NOT found in the Dashboard</w:t>
      </w:r>
    </w:p>
    <w:p>
      <w:r>
        <w:t xml:space="preserve">  repo's current files — it is testimony/quoted captured material, and the chapter</w:t>
      </w:r>
    </w:p>
    <w:p>
      <w:r>
        <w:t xml:space="preserve">  itself says "The spelling is incidental. The distinction is not." The quote is</w:t>
      </w:r>
    </w:p>
    <w:p>
      <w:r>
        <w:t xml:space="preserve">  preserved verbatim because that is the author's point. If the author wants the</w:t>
      </w:r>
    </w:p>
    <w:p>
      <w:r>
        <w:t xml:space="preserve">  spelling corrected, that is a one-word edit per instance.</w:t>
      </w:r>
    </w:p>
    <w:p>
      <w:pPr>
        <w:pStyle w:val="ListBullet"/>
        <w:ind w:firstLine="0"/>
      </w:pPr>
      <w:r>
        <w:rPr>
          <w:b/>
        </w:rPr>
        <w:t>The two-agent demo</w:t>
      </w:r>
      <w:r>
        <w:t xml:space="preserve"> is framed by the author as illustrative ("These are</w:t>
      </w:r>
    </w:p>
    <w:p>
      <w:r>
        <w:t xml:space="preserve">  illustrative briefs, not quoted Dashboard instructions or results from a measured</w:t>
      </w:r>
    </w:p>
    <w:p>
      <w:r>
        <w:t xml:space="preserve">  experiment") — the honest register, kept. The ⚠️ note that a controlled test</w:t>
      </w:r>
    </w:p>
    <w:p>
      <w:r>
        <w:t xml:space="preserve">  would be needed is the author's own, kept.</w:t>
      </w:r>
    </w:p>
    <w:p>
      <w:pPr>
        <w:pStyle w:val="ListBullet"/>
        <w:ind w:firstLine="0"/>
      </w:pPr>
      <w:r>
        <w:rPr>
          <w:b/>
        </w:rPr>
        <w:t>The author's book-writing-tools experience</w:t>
      </w:r>
      <w:r>
        <w:t xml:space="preserve"> (Ch. 14 carried it) is referenced</w:t>
      </w:r>
    </w:p>
    <w:p>
      <w:r>
        <w:t xml:space="preserve">  here via "the author states the principle" — testimony, presented as such.</w:t>
      </w:r>
    </w:p>
    <w:p>
      <w:pPr>
        <w:pStyle w:val="ListBullet"/>
        <w:ind w:firstLine="0"/>
      </w:pPr>
      <w:r>
        <w:t>The chapter's three ⚠️ flags (model-generated procedures not proven inferior;</w:t>
      </w:r>
    </w:p>
    <w:p>
      <w:r>
        <w:t xml:space="preserve">  the chapter relies on the supplied verification record, not independent repo</w:t>
      </w:r>
    </w:p>
    <w:p>
      <w:r>
        <w:t xml:space="preserve">  inspection; product-specific skill implementations not independently documented)</w:t>
      </w:r>
    </w:p>
    <w:p>
      <w:r>
        <w:t xml:space="preserve">  are the author's own, kept verbatim.</w:t>
      </w:r>
    </w:p>
    <w:p>
      <w:pPr>
        <w:pStyle w:val="ListBullet"/>
        <w:ind w:firstLine="0"/>
      </w:pPr>
      <w:r>
        <w:t>The chapter references Ch. 11 ("the framing from Chapter 11") — verified correct:</w:t>
      </w:r>
    </w:p>
    <w:p>
      <w:r>
        <w:t xml:space="preserve">  Ch. 11 is "A function, not a source," drafted (commit 196fa9b).</w:t>
      </w:r>
    </w:p>
    <w:p>
      <w:r>
        <w:t>Placement: Chapter 19, Part III — between Ch. 18 (They cooperate) and Ch. 20 (The</w:t>
      </w:r>
    </w:p>
    <w:p>
      <w:r>
        <w:t>expert is the product, drafted). The pair reads: the method must be authored by an</w:t>
      </w:r>
    </w:p>
    <w:p>
      <w:r>
        <w:t>expert (Ch. 19), and the expert's knowledge is the product (Ch. 20). Carries Rule 1</w:t>
      </w:r>
    </w:p>
    <w:p>
      <w:r>
        <w:t>(primary), Rules 20, 12.*</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