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0"/>
        </w:rPr>
        <w:t>Energy Doctor｜S社 Design Disposition Decision Record Rev0.1</w:t>
      </w:r>
    </w:p>
    <w:p>
      <w:pPr>
        <w:spacing w:after="60"/>
        <w:jc w:val="center"/>
      </w:pPr>
      <w:r>
        <w:rPr>
          <w:b/>
          <w:sz w:val="19"/>
        </w:rPr>
        <w:t>ED-DI-002～005｜社内承認用 Disposition Candidate（正本未反映）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c>
          <w:tcPr>
            <w:tcW w:type="dxa" w:w="3954"/>
            <w:tcMar>
              <w:top w:w="40" w:type="dxa"/>
              <w:start w:w="55" w:type="dxa"/>
              <w:bottom w:w="40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基準日：</w:t>
            </w:r>
            <w:r>
              <w:t>2026-09-02</w:t>
            </w:r>
          </w:p>
        </w:tc>
        <w:tc>
          <w:tcPr>
            <w:tcW w:type="dxa" w:w="3954"/>
            <w:tcMar>
              <w:top w:w="40" w:type="dxa"/>
              <w:start w:w="55" w:type="dxa"/>
              <w:bottom w:w="40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判断主体：</w:t>
            </w:r>
            <w:r>
              <w:t>S社</w:t>
            </w:r>
          </w:p>
        </w:tc>
        <w:tc>
          <w:tcPr>
            <w:tcW w:type="dxa" w:w="3954"/>
            <w:tcMar>
              <w:top w:w="40" w:type="dxa"/>
              <w:start w:w="55" w:type="dxa"/>
              <w:bottom w:w="40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状態：</w:t>
            </w:r>
            <w:r>
              <w:t>FOR INTERNAL DECISION</w:t>
            </w:r>
          </w:p>
        </w:tc>
        <w:tc>
          <w:tcPr>
            <w:tcW w:type="dxa" w:w="3954"/>
            <w:tcMar>
              <w:top w:w="40" w:type="dxa"/>
              <w:start w:w="55" w:type="dxa"/>
              <w:bottom w:w="40" w:type="dxa"/>
              <w:end w:w="55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Source：</w:t>
            </w:r>
            <w:r>
              <w:t>Design Issue Log 現行管理正本</w:t>
            </w:r>
          </w:p>
        </w:tc>
      </w:tr>
    </w:tbl>
    <w:p>
      <w:pPr>
        <w:spacing w:before="60" w:after="60"/>
      </w:pPr>
      <w:r>
        <w:rPr>
          <w:b/>
        </w:rPr>
        <w:t>目的：</w:t>
      </w:r>
      <w:r>
        <w:t>Task2で得られたDesign Review Findingsを含むED-DI-002～005について、S社側の設計判断候補を1枚で整理する。</w:t>
      </w:r>
      <w:r>
        <w:rPr>
          <w:b/>
        </w:rPr>
        <w:t xml:space="preserve"> 本書は承認前のDecision Candidateであり、V2.2／Engine／Design Issue LogのClose状態は変更しない。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4"/>
        <w:gridCol w:w="3164"/>
        <w:gridCol w:w="3164"/>
        <w:gridCol w:w="3164"/>
        <w:gridCol w:w="3164"/>
      </w:tblGrid>
      <w:tr>
        <w:trPr>
          <w:tblHeader w:val="true"/>
        </w:trPr>
        <w:tc>
          <w:tcPr>
            <w:tcW w:type="dxa" w:w="1587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855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推奨Disposition Candidate</w:t>
            </w:r>
          </w:p>
        </w:tc>
        <w:tc>
          <w:tcPr>
            <w:tcW w:type="dxa" w:w="3288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採用理由</w:t>
            </w:r>
          </w:p>
        </w:tc>
        <w:tc>
          <w:tcPr>
            <w:tcW w:type="dxa" w:w="3685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実装・正本影響</w:t>
            </w:r>
          </w:p>
        </w:tc>
        <w:tc>
          <w:tcPr>
            <w:tcW w:type="dxa" w:w="3118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承認時の決定事項</w:t>
            </w:r>
          </w:p>
        </w:tc>
      </w:tr>
      <w:tr>
        <w:tc>
          <w:tcPr>
            <w:tcW w:type="dxa" w:w="158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ED-DI-002</w:t>
              <w:br/>
              <w:t>WQ-ID⇔Q-ID Traceability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V2.2へ正式Traceability表を新設。1対1を強制せず Direct / Aggregated / Partial / N/A を明示。根拠のない対応はN/A。</w:t>
            </w:r>
          </w:p>
        </w:tc>
        <w:tc>
          <w:tcPr>
            <w:tcW w:type="dxa" w:w="32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Formal Q側の質問別Unknown処理を公開WQへ推測適用しないため。将来のFormal連携と説明責任を確保。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V2.2：対応表追加（新規シート又は68へ列追加）</w:t>
              <w:br/>
              <w:t>Engine：Close後に必要箇所のみ反映</w:t>
              <w:br/>
              <w:t>現時点：実装変更なし</w:t>
            </w:r>
          </w:p>
        </w:tc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①対応区分4種の採否</w:t>
              <w:br/>
              <w:t>②対応表の格納場所</w:t>
              <w:br/>
              <w:t>③N/A時のUnknown方針</w:t>
            </w:r>
          </w:p>
        </w:tc>
      </w:tr>
      <w:tr>
        <w:tc>
          <w:tcPr>
            <w:tcW w:type="dxa" w:w="158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ED-DI-003</w:t>
              <w:br/>
              <w:t>Unknown時KPI集約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Unknown項目を除外し、残存ウェイトを100%へ再正規化する現行方式を正式候補とする。併せて「情報充足率」を別管理し、最低基準未満は INSUFFICIENT_DATA。</w:t>
            </w:r>
          </w:p>
        </w:tc>
        <w:tc>
          <w:tcPr>
            <w:tcW w:type="dxa" w:w="32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Unknownを0点化せずKPIを継続算出できる。一方、回答不足でも100点尺度になる過信リスクを情報充足率で分離管理。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V2.2：Unknown集約・情報充足率・最低表示基準を仕様化</w:t>
              <w:br/>
              <w:t>Engine：現行再正規化は維持候補。閾値／表示を追加</w:t>
              <w:br/>
              <w:t>※Issue Candidate Uへの適用範囲は別途確定</w:t>
            </w:r>
          </w:p>
        </w:tc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①再正規化の正式採否</w:t>
              <w:br/>
              <w:t>②U値への適用範囲</w:t>
              <w:br/>
              <w:t>③INSUFFICIENT_DATA返却内容</w:t>
              <w:br/>
              <w:t>④最低情報充足率（Pilot前確定可）</w:t>
            </w:r>
          </w:p>
        </w:tc>
      </w:tr>
      <w:tr>
        <w:tc>
          <w:tcPr>
            <w:tcW w:type="dxa" w:w="158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ED-DI-004</w:t>
              <w:br/>
              <w:t>Web_EDI集約方式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現行40/20/20/20（設備/エネルギー/建屋/管理）を維持。Web_EDIは「事業所全体の総合状態を示す参考指数」と定義し、Worst-domain penaltyは入れない。分野別状態を併記。</w:t>
            </w:r>
          </w:p>
        </w:tc>
        <w:tc>
          <w:tcPr>
            <w:tcW w:type="dxa" w:w="32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Task2で単一分野の弱点希釈を確認したが、Guardrail/TOP5との役割分担で補完可能。単一指標へ重大弱点検出まで背負わせない。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V2.2：Web_EDIの設計意図と分野別表示方針を明記</w:t>
              <w:br/>
              <w:t>Engine：算式変更なし</w:t>
              <w:br/>
              <w:t>A3/LP：分野別状態の併記を検討</w:t>
            </w:r>
          </w:p>
        </w:tc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①40/20/20/20維持</w:t>
              <w:br/>
              <w:t>②Web_EDIの役割定義</w:t>
              <w:br/>
              <w:t>③分野別表示の採用</w:t>
              <w:br/>
              <w:t>④Worst penalty不採用</w:t>
            </w:r>
          </w:p>
        </w:tc>
      </w:tr>
      <w:tr>
        <w:tc>
          <w:tcPr>
            <w:tcW w:type="dxa" w:w="158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ED-DI-005</w:t>
              <w:br/>
              <w:t>Unknown時Issue可視化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UnknownをTOP5課題点数へ直接加算せず、「要確認事項」として別枠表示。安全・法令・品質・BCP等のGuardrail対象Unknownは「Guardrail判定保留」として優先表示。</w:t>
            </w:r>
          </w:p>
        </w:tc>
        <w:tc>
          <w:tcPr>
            <w:tcW w:type="dxa" w:w="32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「不明＝悪い点ではない」を維持しつつ、「不明＝課題が消える」を防ぐ。TOP5の意味を汚さず情報不足を可視化できる。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V2.2：要確認事項／Guardrail保留ルールを新設</w:t>
              <w:br/>
              <w:t>Engine：Issue Candidate生成とは別レイヤー実装候補</w:t>
              <w:br/>
              <w:t>A3/LP：Guardrail→要確認事項→TOP5の表示階層</w:t>
            </w:r>
          </w:p>
        </w:tc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F4F7FA"/>
          </w:tcPr>
          <w:p>
            <w:pPr>
              <w:spacing w:after="0" w:line="240" w:lineRule="auto"/>
            </w:pPr>
            <w:r>
              <w:rPr>
                <w:sz w:val="15"/>
              </w:rPr>
              <w:t>①要確認事項レイヤー採否</w:t>
              <w:br/>
              <w:t>②Guardrail対象Unknownの保留表示</w:t>
              <w:br/>
              <w:t>③TOP5非加点維持</w:t>
              <w:br/>
              <w:t>④ED-DI-002/003との整合</w:t>
            </w:r>
          </w:p>
        </w:tc>
      </w:tr>
    </w:tbl>
    <w:p>
      <w:pPr>
        <w:spacing w:before="80" w:after="20"/>
      </w:pPr>
      <w:r>
        <w:rPr>
          <w:b/>
        </w:rPr>
        <w:t>S社内推奨の一括Disposition Candidate：</w:t>
      </w:r>
      <w:r>
        <w:t>ED-DI-002＝正式Traceability表、ED-DI-003＝再正規化＋情報充足率、ED-DI-004＝40/20/20/20維持＋分野別併記、ED-DI-005＝要確認事項レイヤー新設。</w:t>
      </w:r>
    </w:p>
    <w:p>
      <w:pPr>
        <w:spacing w:after="20"/>
      </w:pPr>
      <w:r>
        <w:rPr>
          <w:b/>
        </w:rPr>
        <w:t>実施順序：</w:t>
      </w:r>
      <w:r>
        <w:t>①本Decision RecordをS社内承認 → ②承認内容をDesign Issue LogへDispositionとして反映 → ③V2.2をまとめて改訂 → ④必要なEngine PatchをClaude Codeへ指示 → ⑤TC-A/B/C＋Task2回帰 → ⑥Task3／Pilotへ。</w:t>
      </w:r>
    </w:p>
    <w:p>
      <w:pPr>
        <w:spacing w:after="0"/>
      </w:pPr>
      <w:r>
        <w:rPr>
          <w:b/>
        </w:rPr>
        <w:t>注記：</w:t>
      </w:r>
      <w:r>
        <w:t>ED-DI-001はInterim Operational Disposition済みでForms作業のブロッカーではない。Guardrail/TOP5表示逆転はDesign Issue化せず、Task4/A3のUI/Report Review Findingとして継続確認する。</w:t>
      </w:r>
    </w:p>
    <w:sectPr w:rsidR="00FC693F" w:rsidRPr="0006063C" w:rsidSect="00034616">
      <w:footerReference w:type="default" r:id="rId9"/>
      <w:pgSz w:w="16838" w:h="11906" w:orient="landscape"/>
      <w:pgMar w:top="510" w:right="510" w:bottom="454" w:left="51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Energy Doctor / Sawa Electric Machinery Co., Ltd.  |  Rev0.1  |  Internal Decision Candidate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