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D1" w:rsidRDefault="001914B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500C7" wp14:editId="251B835F">
                <wp:simplePos x="0" y="0"/>
                <wp:positionH relativeFrom="column">
                  <wp:posOffset>882650</wp:posOffset>
                </wp:positionH>
                <wp:positionV relativeFrom="paragraph">
                  <wp:posOffset>69850</wp:posOffset>
                </wp:positionV>
                <wp:extent cx="4787900" cy="603250"/>
                <wp:effectExtent l="0" t="0" r="1651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14B4" w:rsidRPr="001914B4" w:rsidRDefault="001914B4">
                            <w:pPr>
                              <w:rPr>
                                <w:rFonts w:ascii="Berlin Sans FB Demi" w:hAnsi="Berlin Sans FB Demi"/>
                                <w:color w:val="4472C4" w:themeColor="accent1"/>
                                <w:sz w:val="44"/>
                              </w:rPr>
                            </w:pPr>
                            <w:r w:rsidRPr="001914B4">
                              <w:rPr>
                                <w:rFonts w:ascii="Berlin Sans FB Demi" w:hAnsi="Berlin Sans FB Demi"/>
                                <w:color w:val="4472C4" w:themeColor="accent1"/>
                                <w:sz w:val="44"/>
                              </w:rPr>
                              <w:t>JABATAN PENDAFTARAN NEGARA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500C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9.5pt;margin-top:5.5pt;width:377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" fillcolor="white [3201]" strokecolor="white [3212]" strokeweight=".5pt">
                <v:textbox>
                  <w:txbxContent>
                    <w:p w:rsidR="001914B4" w:rsidRPr="001914B4" w:rsidRDefault="001914B4">
                      <w:pPr>
                        <w:rPr>
                          <w:rFonts w:ascii="Berlin Sans FB Demi" w:hAnsi="Berlin Sans FB Demi"/>
                          <w:color w:val="4472C4" w:themeColor="accent1"/>
                          <w:sz w:val="44"/>
                        </w:rPr>
                      </w:pPr>
                      <w:r w:rsidRPr="001914B4">
                        <w:rPr>
                          <w:rFonts w:ascii="Berlin Sans FB Demi" w:hAnsi="Berlin Sans FB Demi"/>
                          <w:color w:val="4472C4" w:themeColor="accent1"/>
                          <w:sz w:val="44"/>
                        </w:rPr>
                        <w:t>JABATAN PENDAFTARAN NEGARA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inline distT="0" distB="0" distL="0" distR="0" wp14:anchorId="58D00426" wp14:editId="3F3C0FAE">
                <wp:extent cx="304800" cy="304800"/>
                <wp:effectExtent l="0" t="0" r="0" b="0"/>
                <wp:docPr id="2" name="Rectangle 2" descr="What is the ABC test for contractors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B8039" id="Rectangle 2" o:spid="_x0000_s1026" alt="What is the ABC test for contractors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AXaY7SAgAA5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inline distT="0" distB="0" distL="0" distR="0" wp14:anchorId="7E3252EF" wp14:editId="6BA49B06">
                <wp:extent cx="304800" cy="304800"/>
                <wp:effectExtent l="0" t="0" r="0" b="0"/>
                <wp:docPr id="3" name="Rectangle 3" descr="What is the ABC test for contractors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43DE8" id="Rectangle 3" o:spid="_x0000_s1026" alt="What is the ABC test for contractors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Djqh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inline distT="0" distB="0" distL="0" distR="0" wp14:anchorId="24DC2D4B" wp14:editId="2DC25051">
                <wp:extent cx="304800" cy="304800"/>
                <wp:effectExtent l="0" t="0" r="0" b="0"/>
                <wp:docPr id="4" name="Rectangle 4" descr="What is the ABC test for contractors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32398" id="Rectangle 4" o:spid="_x0000_s1026" alt="What is the ABC test for contractors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hAg23SAgAA5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MY"/>
        </w:rPr>
        <w:drawing>
          <wp:anchor distT="0" distB="0" distL="114300" distR="114300" simplePos="0" relativeHeight="251660288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792480" cy="792480"/>
            <wp:effectExtent l="0" t="0" r="7620" b="7620"/>
            <wp:wrapSquare wrapText="bothSides"/>
            <wp:docPr id="7" name="Picture 7" descr="JPN Malaysia 🇲🇾 (@jpnm_of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N Malaysia 🇲🇾 (@jpnm_official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3005"/>
        <w:gridCol w:w="1640"/>
      </w:tblGrid>
      <w:tr w:rsidR="0078782F" w:rsidRPr="00717953" w:rsidTr="00717953">
        <w:tc>
          <w:tcPr>
            <w:tcW w:w="1734" w:type="dxa"/>
          </w:tcPr>
          <w:p w:rsidR="0078782F" w:rsidRPr="00717953" w:rsidRDefault="0078782F">
            <w:pPr>
              <w:rPr>
                <w:rFonts w:ascii="Arial" w:hAnsi="Arial" w:cs="Arial"/>
                <w:b/>
              </w:rPr>
            </w:pPr>
            <w:r w:rsidRPr="0071795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005" w:type="dxa"/>
          </w:tcPr>
          <w:p w:rsidR="0078782F" w:rsidRPr="00717953" w:rsidRDefault="0078782F">
            <w:pPr>
              <w:rPr>
                <w:rFonts w:ascii="Arial" w:hAnsi="Arial" w:cs="Arial"/>
                <w:b/>
              </w:rPr>
            </w:pPr>
            <w:proofErr w:type="spellStart"/>
            <w:r w:rsidRPr="00717953">
              <w:rPr>
                <w:rFonts w:ascii="Arial" w:hAnsi="Arial" w:cs="Arial"/>
                <w:b/>
              </w:rPr>
              <w:t>Tarikh</w:t>
            </w:r>
            <w:proofErr w:type="spellEnd"/>
            <w:r w:rsidRPr="0071795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17953">
              <w:rPr>
                <w:rFonts w:ascii="Arial" w:hAnsi="Arial" w:cs="Arial"/>
                <w:b/>
              </w:rPr>
              <w:t>diluluskan</w:t>
            </w:r>
            <w:proofErr w:type="spellEnd"/>
          </w:p>
        </w:tc>
        <w:tc>
          <w:tcPr>
            <w:tcW w:w="1640" w:type="dxa"/>
          </w:tcPr>
          <w:p w:rsidR="0078782F" w:rsidRPr="00717953" w:rsidRDefault="0078782F">
            <w:pPr>
              <w:rPr>
                <w:rFonts w:ascii="Arial" w:hAnsi="Arial" w:cs="Arial"/>
                <w:b/>
              </w:rPr>
            </w:pPr>
            <w:proofErr w:type="spellStart"/>
            <w:r w:rsidRPr="00717953">
              <w:rPr>
                <w:rFonts w:ascii="Arial" w:hAnsi="Arial" w:cs="Arial"/>
                <w:b/>
              </w:rPr>
              <w:t>Pemilik</w:t>
            </w:r>
            <w:proofErr w:type="spellEnd"/>
          </w:p>
        </w:tc>
      </w:tr>
      <w:tr w:rsidR="0078782F" w:rsidRPr="00717953" w:rsidTr="00717953">
        <w:tc>
          <w:tcPr>
            <w:tcW w:w="1734" w:type="dxa"/>
          </w:tcPr>
          <w:p w:rsidR="0078782F" w:rsidRPr="00717953" w:rsidRDefault="0078782F">
            <w:pPr>
              <w:rPr>
                <w:rFonts w:ascii="Arial" w:hAnsi="Arial" w:cs="Arial"/>
              </w:rPr>
            </w:pPr>
            <w:r w:rsidRPr="00717953">
              <w:rPr>
                <w:rFonts w:ascii="Arial" w:hAnsi="Arial" w:cs="Arial"/>
              </w:rPr>
              <w:t>1.0</w:t>
            </w:r>
          </w:p>
        </w:tc>
        <w:tc>
          <w:tcPr>
            <w:tcW w:w="3005" w:type="dxa"/>
          </w:tcPr>
          <w:p w:rsidR="0078782F" w:rsidRPr="00717953" w:rsidRDefault="00191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 xml:space="preserve"> 26,  2020</w:t>
            </w:r>
          </w:p>
        </w:tc>
        <w:tc>
          <w:tcPr>
            <w:tcW w:w="1640" w:type="dxa"/>
          </w:tcPr>
          <w:p w:rsidR="0078782F" w:rsidRPr="00717953" w:rsidRDefault="008E4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Syarikat ABC</w:t>
            </w:r>
          </w:p>
        </w:tc>
      </w:tr>
    </w:tbl>
    <w:p w:rsidR="0082727F" w:rsidRPr="00717953" w:rsidRDefault="0082727F">
      <w:pPr>
        <w:rPr>
          <w:rFonts w:ascii="Arial" w:hAnsi="Arial" w:cs="Arial"/>
        </w:rPr>
      </w:pPr>
    </w:p>
    <w:p w:rsidR="0078782F" w:rsidRPr="003B6BD1" w:rsidRDefault="0078782F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Tujuan</w:t>
      </w:r>
      <w:proofErr w:type="spellEnd"/>
    </w:p>
    <w:p w:rsidR="0078782F" w:rsidRPr="00717953" w:rsidRDefault="0078782F" w:rsidP="0071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ascii="Arial" w:eastAsia="Times New Roman" w:hAnsi="Arial" w:cs="Arial"/>
          <w:color w:val="212121"/>
          <w:lang w:val="ms-MY" w:eastAsia="en-MY"/>
        </w:rPr>
      </w:pPr>
      <w:r w:rsidRPr="00717953">
        <w:rPr>
          <w:rFonts w:ascii="Arial" w:eastAsia="Times New Roman" w:hAnsi="Arial" w:cs="Arial"/>
          <w:color w:val="212121"/>
          <w:lang w:val="ms-MY" w:eastAsia="en-MY"/>
        </w:rPr>
        <w:t xml:space="preserve">Dasar ini menetapkan keperluan untuk </w:t>
      </w:r>
      <w:r w:rsidR="001914B4">
        <w:rPr>
          <w:rFonts w:ascii="Arial" w:eastAsia="Times New Roman" w:hAnsi="Arial" w:cs="Arial"/>
          <w:color w:val="212121"/>
          <w:lang w:val="ms-MY" w:eastAsia="en-MY"/>
        </w:rPr>
        <w:t>Jabatan Pendaftaran Negara (JPN)</w:t>
      </w:r>
      <w:r w:rsidRPr="00717953">
        <w:rPr>
          <w:rFonts w:ascii="Arial" w:eastAsia="Times New Roman" w:hAnsi="Arial" w:cs="Arial"/>
          <w:color w:val="212121"/>
          <w:lang w:val="ms-MY" w:eastAsia="en-MY"/>
        </w:rPr>
        <w:t xml:space="preserve"> untuk menguruskan </w:t>
      </w:r>
      <w:r w:rsidR="008E4A4E">
        <w:rPr>
          <w:rFonts w:ascii="Arial" w:eastAsia="Times New Roman" w:hAnsi="Arial" w:cs="Arial"/>
          <w:color w:val="212121"/>
          <w:lang w:val="ms-MY" w:eastAsia="en-MY"/>
        </w:rPr>
        <w:t>pangkalan data</w:t>
      </w:r>
      <w:r w:rsidRPr="00717953">
        <w:rPr>
          <w:rFonts w:ascii="Arial" w:eastAsia="Times New Roman" w:hAnsi="Arial" w:cs="Arial"/>
          <w:color w:val="212121"/>
          <w:lang w:val="ms-MY" w:eastAsia="en-MY"/>
        </w:rPr>
        <w:t>, memastikan kawalan versi yang betul, uruskan</w:t>
      </w:r>
      <w:r w:rsidR="000B4AD1" w:rsidRPr="00717953">
        <w:rPr>
          <w:rFonts w:ascii="Arial" w:eastAsia="Times New Roman" w:hAnsi="Arial" w:cs="Arial"/>
          <w:color w:val="212121"/>
          <w:lang w:val="ms-MY" w:eastAsia="en-MY"/>
        </w:rPr>
        <w:t xml:space="preserve"> </w:t>
      </w:r>
      <w:r w:rsidRPr="00717953">
        <w:rPr>
          <w:rFonts w:ascii="Arial" w:eastAsia="Times New Roman" w:hAnsi="Arial" w:cs="Arial"/>
          <w:color w:val="212121"/>
          <w:lang w:val="ms-MY" w:eastAsia="en-MY"/>
        </w:rPr>
        <w:t xml:space="preserve">dokumentasi yang berkaitan dan mengurangkan risiko kehilangan </w:t>
      </w:r>
      <w:r w:rsidR="008E4A4E">
        <w:rPr>
          <w:rFonts w:ascii="Arial" w:eastAsia="Times New Roman" w:hAnsi="Arial" w:cs="Arial"/>
          <w:color w:val="212121"/>
          <w:lang w:val="ms-MY" w:eastAsia="en-MY"/>
        </w:rPr>
        <w:t>data</w:t>
      </w:r>
      <w:r w:rsidRPr="00717953">
        <w:rPr>
          <w:rFonts w:ascii="Arial" w:eastAsia="Times New Roman" w:hAnsi="Arial" w:cs="Arial"/>
          <w:color w:val="212121"/>
          <w:lang w:val="ms-MY" w:eastAsia="en-MY"/>
        </w:rPr>
        <w:t>.</w:t>
      </w:r>
    </w:p>
    <w:p w:rsidR="000B4AD1" w:rsidRPr="00717953" w:rsidRDefault="000B4AD1" w:rsidP="0071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Arial" w:eastAsia="Times New Roman" w:hAnsi="Arial" w:cs="Arial"/>
          <w:color w:val="212121"/>
          <w:lang w:eastAsia="en-MY"/>
        </w:rPr>
      </w:pPr>
    </w:p>
    <w:p w:rsidR="0078782F" w:rsidRPr="003B6BD1" w:rsidRDefault="000B4AD1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Skop</w:t>
      </w:r>
      <w:proofErr w:type="spellEnd"/>
    </w:p>
    <w:p w:rsidR="000B4AD1" w:rsidRPr="00717953" w:rsidRDefault="000B4AD1" w:rsidP="00717953">
      <w:pPr>
        <w:pStyle w:val="HTMLPreformatted"/>
        <w:shd w:val="clear" w:color="auto" w:fill="FFFFFF"/>
        <w:spacing w:line="276" w:lineRule="auto"/>
        <w:ind w:left="360"/>
        <w:jc w:val="both"/>
        <w:rPr>
          <w:rFonts w:ascii="Arial" w:hAnsi="Arial" w:cs="Arial"/>
          <w:color w:val="212121"/>
          <w:sz w:val="22"/>
          <w:szCs w:val="22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Dasar ini terpakai kepada semua aset kod sumber</w:t>
      </w:r>
      <w:r w:rsidR="008E4A4E">
        <w:rPr>
          <w:rFonts w:ascii="Arial" w:hAnsi="Arial" w:cs="Arial"/>
          <w:color w:val="212121"/>
          <w:sz w:val="22"/>
          <w:szCs w:val="22"/>
          <w:lang w:val="ms-MY"/>
        </w:rPr>
        <w:t xml:space="preserve"> dan pangkalan data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yang menyokong, atau perlu untuk menyokong. Termasuk sistem </w:t>
      </w:r>
      <w:r w:rsidR="008E4A4E">
        <w:rPr>
          <w:rFonts w:ascii="Arial" w:hAnsi="Arial" w:cs="Arial"/>
          <w:color w:val="212121"/>
          <w:sz w:val="22"/>
          <w:szCs w:val="22"/>
          <w:lang w:val="ms-MY"/>
        </w:rPr>
        <w:t>pendaftaran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="001914B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, tetapi tidak terhad kepada kod sumber sebenar, spesifikasi teknikal, dokumen keperluan perniagaan, dokumentasi program, nota pelepasan (</w:t>
      </w:r>
      <w:r w:rsidRPr="00717953">
        <w:rPr>
          <w:rFonts w:ascii="Arial" w:hAnsi="Arial" w:cs="Arial"/>
          <w:i/>
          <w:color w:val="212121"/>
          <w:sz w:val="22"/>
          <w:szCs w:val="22"/>
          <w:lang w:val="ms-MY"/>
        </w:rPr>
        <w:t>release notes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) dan</w:t>
      </w:r>
      <w:r w:rsid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sebarang dokumentasi sokongan lain yang diperlukan.</w:t>
      </w:r>
    </w:p>
    <w:p w:rsidR="000B4AD1" w:rsidRPr="00717953" w:rsidRDefault="000B4AD1" w:rsidP="00717953">
      <w:pPr>
        <w:pStyle w:val="ListParagraph"/>
        <w:spacing w:line="276" w:lineRule="auto"/>
        <w:rPr>
          <w:rFonts w:ascii="Arial" w:hAnsi="Arial" w:cs="Arial"/>
        </w:rPr>
      </w:pPr>
    </w:p>
    <w:p w:rsidR="000B4AD1" w:rsidRPr="003B6BD1" w:rsidRDefault="000B4AD1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Polisi</w:t>
      </w:r>
      <w:proofErr w:type="spellEnd"/>
    </w:p>
    <w:p w:rsidR="000B4AD1" w:rsidRPr="00717953" w:rsidRDefault="008E4A4E" w:rsidP="00717953">
      <w:pPr>
        <w:pStyle w:val="HTMLPreformatted"/>
        <w:shd w:val="clear" w:color="auto" w:fill="FFFFFF"/>
        <w:spacing w:line="276" w:lineRule="auto"/>
        <w:ind w:left="360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akan mengambil tindakan yang sesuai untuk meminimumkan risiko kepada sistem </w:t>
      </w:r>
      <w:r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akibat daripada kehilangan</w:t>
      </w:r>
      <w:r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versi kod sumber dan dokumentasi yang berkaitan. </w:t>
      </w:r>
      <w:r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juga akan mengambil tindakan untuk memastikan bahawa kod sumber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dan dokumentasi yang berkaitan berada pada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sekiranya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0B4AD1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membatalkan hubungannya dengan rakan pembangunan kod sumbernya.</w:t>
      </w:r>
    </w:p>
    <w:p w:rsidR="000B4AD1" w:rsidRPr="00717953" w:rsidRDefault="000B4AD1" w:rsidP="00717953">
      <w:pPr>
        <w:pStyle w:val="HTMLPreformatted"/>
        <w:shd w:val="clear" w:color="auto" w:fill="FFFFFF"/>
        <w:spacing w:line="276" w:lineRule="auto"/>
        <w:ind w:left="360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0B4AD1" w:rsidRPr="00717953" w:rsidRDefault="000B4AD1" w:rsidP="00717953">
      <w:pPr>
        <w:pStyle w:val="HTMLPreformatted"/>
        <w:shd w:val="clear" w:color="auto" w:fill="FFFFFF"/>
        <w:spacing w:line="276" w:lineRule="auto"/>
        <w:ind w:left="360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Keperluan Pengurusan Kod Sumber:</w:t>
      </w:r>
    </w:p>
    <w:p w:rsidR="000B4AD1" w:rsidRPr="00717953" w:rsidRDefault="000B4AD1" w:rsidP="00717953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Semua kontrak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hendaklah termasuk peruntukan yang kod sumber yang dibangunkan untuk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adalah "Kerja yang dibuat dibayar" dengan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mengekalkan semua hak dan tajuk kepada kod sumber dan dokumentasi yang berkaitan.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akan menghendaki semua rakan perniagaan dikontrak untuk berkembang kod sumber kepada:</w:t>
      </w:r>
    </w:p>
    <w:p w:rsidR="000B4AD1" w:rsidRPr="00717953" w:rsidRDefault="000B4AD1" w:rsidP="000C7D46">
      <w:pPr>
        <w:pStyle w:val="HTMLPreformatted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Memanfaatkan dan mengekalkan sistem pengurusan kod sumber standard industri</w:t>
      </w:r>
      <w:r w:rsid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mengikuti amalan terbaik industri untuk kawalan dan perubahan kod sumber pengurusan. </w:t>
      </w:r>
    </w:p>
    <w:p w:rsidR="000B4AD1" w:rsidRPr="00717953" w:rsidRDefault="000B4AD1" w:rsidP="000C7D46">
      <w:pPr>
        <w:pStyle w:val="HTMLPreformatted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Mengekalkan penyelarasan semua elemen perubahan program dalam "</w:t>
      </w:r>
      <w:r w:rsidR="00C173BA" w:rsidRPr="00717953">
        <w:rPr>
          <w:rFonts w:ascii="Arial" w:hAnsi="Arial" w:cs="Arial"/>
          <w:i/>
          <w:color w:val="212121"/>
          <w:sz w:val="22"/>
          <w:szCs w:val="22"/>
          <w:lang w:val="ms-MY"/>
        </w:rPr>
        <w:t>packaged elevation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" yang sama pada tahap yang diperlukan untuk penyerahan yang diselaraskan dan </w:t>
      </w:r>
      <w:r w:rsidRPr="00717953">
        <w:rPr>
          <w:rFonts w:ascii="Arial" w:hAnsi="Arial" w:cs="Arial"/>
          <w:i/>
          <w:color w:val="212121"/>
          <w:sz w:val="22"/>
          <w:szCs w:val="22"/>
          <w:lang w:val="ms-MY"/>
        </w:rPr>
        <w:t>back out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sekiranya berlaku kesilapan atau kegagalan pengeluaran. Elemen sedemikian termasuk, tetapi tidak terhad kepada siaran, cawangan kod, dll.</w:t>
      </w:r>
    </w:p>
    <w:p w:rsidR="000B4AD1" w:rsidRPr="00717953" w:rsidRDefault="000B4AD1" w:rsidP="000C7D46">
      <w:pPr>
        <w:pStyle w:val="HTMLPreformatted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Mengekalkan semua dokumentasi yang perlu dikaitkan atau dilampirkan pada aset / pakej kod sumber yang sesuai. Dokumentasi sedemikian termasuk, tetapi tidak terhad kepada spesifikasi teknikal, keperluan perniagaan, arahan elevasi program dan nota pelepasan.</w:t>
      </w:r>
    </w:p>
    <w:p w:rsidR="000B4AD1" w:rsidRPr="00717953" w:rsidRDefault="000B4AD1" w:rsidP="000C7D46">
      <w:pPr>
        <w:pStyle w:val="HTMLPreformatted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lastRenderedPageBreak/>
        <w:t>Mengekalkan kawalan versi</w:t>
      </w:r>
      <w:r w:rsidR="00C173BA" w:rsidRPr="00717953">
        <w:rPr>
          <w:rFonts w:ascii="Arial" w:hAnsi="Arial" w:cs="Arial"/>
          <w:color w:val="212121"/>
          <w:sz w:val="22"/>
          <w:szCs w:val="22"/>
          <w:lang w:val="ms-MY"/>
        </w:rPr>
        <w:t>(</w:t>
      </w:r>
      <w:r w:rsidR="00C173BA" w:rsidRPr="00717953">
        <w:rPr>
          <w:rFonts w:ascii="Arial" w:hAnsi="Arial" w:cs="Arial"/>
          <w:i/>
          <w:color w:val="212121"/>
          <w:sz w:val="22"/>
          <w:szCs w:val="22"/>
          <w:lang w:val="ms-MY"/>
        </w:rPr>
        <w:t>version control</w:t>
      </w:r>
      <w:r w:rsidR="00C173BA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)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ke atas aset kod sumber untuk menyokong pemulihan daripada versi terdahulu</w:t>
      </w:r>
    </w:p>
    <w:p w:rsidR="00717953" w:rsidRDefault="000B4AD1" w:rsidP="000C7D46">
      <w:pPr>
        <w:pStyle w:val="HTMLPreformatted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Mengekalkan pengasingan tanggungjawab yang sesuai antara pemaju dan fungsi pustakawan kod sumber pada tahap yang diperlukan untuk melindungi kod sumber daripada perubahan yang tidak dibenarkan</w:t>
      </w:r>
    </w:p>
    <w:p w:rsidR="00717953" w:rsidRPr="00717953" w:rsidRDefault="000B4AD1" w:rsidP="000C7D46">
      <w:pPr>
        <w:pStyle w:val="HTMLPreformatted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Mengekalkan kawalan versi yang sesuai antara pengeluaran, </w:t>
      </w:r>
      <w:r w:rsidR="00C173BA" w:rsidRPr="00717953">
        <w:rPr>
          <w:rFonts w:ascii="Arial" w:hAnsi="Arial" w:cs="Arial"/>
          <w:color w:val="212121"/>
          <w:sz w:val="22"/>
          <w:szCs w:val="22"/>
          <w:lang w:val="ms-MY"/>
        </w:rPr>
        <w:t>peng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ujian dan pembangunan</w:t>
      </w:r>
      <w:r w:rsidR="00C173BA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perpustakaan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.</w:t>
      </w:r>
    </w:p>
    <w:p w:rsidR="00717953" w:rsidRDefault="00C173BA" w:rsidP="00717953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Mengurus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r w:rsidRPr="00717953">
        <w:rPr>
          <w:rFonts w:ascii="Arial" w:hAnsi="Arial" w:cs="Arial"/>
          <w:i/>
          <w:color w:val="212121"/>
          <w:sz w:val="22"/>
          <w:szCs w:val="22"/>
        </w:rPr>
        <w:t>deployment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selaras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dengan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Dasar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Pengurusan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Perubahan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r w:rsidR="002539F4">
        <w:rPr>
          <w:rFonts w:ascii="Arial" w:hAnsi="Arial" w:cs="Arial"/>
          <w:color w:val="212121"/>
          <w:sz w:val="22"/>
          <w:szCs w:val="22"/>
        </w:rPr>
        <w:t>JPN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,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memerlukan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kelulusan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bertulis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r w:rsidR="002539F4">
        <w:rPr>
          <w:rFonts w:ascii="Arial" w:hAnsi="Arial" w:cs="Arial"/>
          <w:color w:val="212121"/>
          <w:sz w:val="22"/>
          <w:szCs w:val="22"/>
        </w:rPr>
        <w:t>JPN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sebelum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mana-mana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kod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sumber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dikeluarkan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untuk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proses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pengeluaran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kod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>.</w:t>
      </w:r>
    </w:p>
    <w:p w:rsidR="00C173BA" w:rsidRPr="00717953" w:rsidRDefault="00C173BA" w:rsidP="00717953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Selain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itu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melindungi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kod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sumber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daripada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kerugian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tidak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diingini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oleh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>:</w:t>
      </w:r>
    </w:p>
    <w:p w:rsidR="00C173BA" w:rsidRPr="00717953" w:rsidRDefault="00C173BA" w:rsidP="00717953">
      <w:pPr>
        <w:pStyle w:val="HTMLPreformatted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Memastikan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bahawa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pengeluaran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,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pembangunan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pengujian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perpustakaan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tidak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boleh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diubah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tanpa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kelulusan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sesuai</w:t>
      </w:r>
      <w:proofErr w:type="spellEnd"/>
    </w:p>
    <w:p w:rsidR="00C173BA" w:rsidRPr="00717953" w:rsidRDefault="00C173BA" w:rsidP="00717953">
      <w:pPr>
        <w:pStyle w:val="HTMLPreformatted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Memastikan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bahawa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salinan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sandaran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sistem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(</w:t>
      </w:r>
      <w:r w:rsidRPr="00717953">
        <w:rPr>
          <w:rFonts w:ascii="Arial" w:hAnsi="Arial" w:cs="Arial"/>
          <w:i/>
          <w:color w:val="212121"/>
          <w:sz w:val="22"/>
          <w:szCs w:val="22"/>
        </w:rPr>
        <w:t>system backup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)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pengurusan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kod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sumber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adalah</w:t>
      </w:r>
      <w:proofErr w:type="spellEnd"/>
      <w:r w:rsid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diambil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setiap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hari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dihantar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penyimpanan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terlindung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di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luar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tapak</w:t>
      </w:r>
      <w:proofErr w:type="spellEnd"/>
    </w:p>
    <w:p w:rsidR="00C173BA" w:rsidRPr="00717953" w:rsidRDefault="00C173BA" w:rsidP="0071795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Menyediakan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r w:rsidR="002539F4">
        <w:rPr>
          <w:rFonts w:ascii="Arial" w:hAnsi="Arial" w:cs="Arial"/>
          <w:color w:val="212121"/>
          <w:sz w:val="22"/>
          <w:szCs w:val="22"/>
        </w:rPr>
        <w:t>JPN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dengan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salinan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sandaran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penuh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(</w:t>
      </w:r>
      <w:r w:rsidRPr="00717953">
        <w:rPr>
          <w:rFonts w:ascii="Arial" w:hAnsi="Arial" w:cs="Arial"/>
          <w:i/>
          <w:color w:val="212121"/>
          <w:sz w:val="22"/>
          <w:szCs w:val="22"/>
        </w:rPr>
        <w:t>full backup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)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boleh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diperolehi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dari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perpustakaan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kod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sumber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dokumentasi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berkaitan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dinyatakan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di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dalam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polisi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ini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dalam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media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format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dipersetujui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.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Kekerapan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penyandar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(</w:t>
      </w:r>
      <w:r w:rsidRPr="00717953">
        <w:rPr>
          <w:rFonts w:ascii="Arial" w:hAnsi="Arial" w:cs="Arial"/>
          <w:i/>
          <w:color w:val="212121"/>
          <w:sz w:val="22"/>
          <w:szCs w:val="22"/>
        </w:rPr>
        <w:t>backup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)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ini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akan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diselaraskan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dengan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kebenaran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jadual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gramStart"/>
      <w:r w:rsidRPr="00717953">
        <w:rPr>
          <w:rFonts w:ascii="Arial" w:hAnsi="Arial" w:cs="Arial"/>
          <w:color w:val="212121"/>
          <w:sz w:val="22"/>
          <w:szCs w:val="22"/>
        </w:rPr>
        <w:t xml:space="preserve">deployment 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proofErr w:type="gram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hendaklah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diberikan</w:t>
      </w:r>
      <w:proofErr w:type="spellEnd"/>
      <w:r w:rsidR="002670B4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2670B4" w:rsidRPr="00717953">
        <w:rPr>
          <w:rFonts w:ascii="Arial" w:hAnsi="Arial" w:cs="Arial"/>
          <w:color w:val="212121"/>
          <w:sz w:val="22"/>
          <w:szCs w:val="22"/>
        </w:rPr>
        <w:t>kepada</w:t>
      </w:r>
      <w:proofErr w:type="spellEnd"/>
      <w:r w:rsidR="002539F4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2539F4">
        <w:rPr>
          <w:rFonts w:ascii="Arial" w:hAnsi="Arial" w:cs="Arial"/>
          <w:color w:val="212121"/>
          <w:sz w:val="22"/>
          <w:szCs w:val="22"/>
        </w:rPr>
        <w:t>rakan</w:t>
      </w:r>
      <w:proofErr w:type="spellEnd"/>
      <w:r w:rsidR="002539F4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2539F4">
        <w:rPr>
          <w:rFonts w:ascii="Arial" w:hAnsi="Arial" w:cs="Arial"/>
          <w:color w:val="212121"/>
          <w:sz w:val="22"/>
          <w:szCs w:val="22"/>
        </w:rPr>
        <w:t>kongsi</w:t>
      </w:r>
      <w:proofErr w:type="spellEnd"/>
      <w:r w:rsidR="002539F4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dalam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tempoh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lima (5)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hari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perniagaan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selepas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penggunaan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>.</w:t>
      </w:r>
    </w:p>
    <w:p w:rsidR="00C173BA" w:rsidRPr="00717953" w:rsidRDefault="00C173BA" w:rsidP="0071795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Menyediakan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r w:rsidR="002539F4">
        <w:rPr>
          <w:rFonts w:ascii="Arial" w:hAnsi="Arial" w:cs="Arial"/>
          <w:color w:val="212121"/>
          <w:sz w:val="22"/>
          <w:szCs w:val="22"/>
        </w:rPr>
        <w:t>JPN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dengan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statistik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dipersetujui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untuk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setiap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fail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sandaran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untuk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memudahkan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2670B4" w:rsidRPr="00717953">
        <w:rPr>
          <w:rFonts w:ascii="Arial" w:hAnsi="Arial" w:cs="Arial"/>
          <w:color w:val="212121"/>
          <w:sz w:val="22"/>
          <w:szCs w:val="22"/>
        </w:rPr>
        <w:t>penyusunan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;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statistik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r w:rsidR="002670B4" w:rsidRPr="00717953">
        <w:rPr>
          <w:rFonts w:ascii="Arial" w:hAnsi="Arial" w:cs="Arial"/>
          <w:color w:val="212121"/>
          <w:sz w:val="22"/>
          <w:szCs w:val="22"/>
        </w:rPr>
        <w:t>yang</w:t>
      </w:r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akan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dipersetujui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bersama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berasaskan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keupayaan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>.</w:t>
      </w:r>
    </w:p>
    <w:p w:rsidR="00717953" w:rsidRDefault="002539F4" w:rsidP="00717953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JPN</w:t>
      </w:r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akan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mengekalkan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fail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sandaran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kod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sumber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sebagai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sandaran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sekunder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untuk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rakan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kongsi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JPN. JPN</w:t>
      </w:r>
      <w:r w:rsidR="00C173BA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C173BA" w:rsidRPr="00717953">
        <w:rPr>
          <w:rFonts w:ascii="Arial" w:hAnsi="Arial" w:cs="Arial"/>
          <w:color w:val="212121"/>
          <w:sz w:val="22"/>
          <w:szCs w:val="22"/>
        </w:rPr>
        <w:t>hendaklah</w:t>
      </w:r>
      <w:proofErr w:type="spellEnd"/>
      <w:r w:rsidR="00C173BA" w:rsidRPr="00717953">
        <w:rPr>
          <w:rFonts w:ascii="Arial" w:hAnsi="Arial" w:cs="Arial"/>
          <w:color w:val="212121"/>
          <w:sz w:val="22"/>
          <w:szCs w:val="22"/>
        </w:rPr>
        <w:t>:</w:t>
      </w:r>
    </w:p>
    <w:p w:rsidR="00717953" w:rsidRDefault="00C173BA" w:rsidP="00717953">
      <w:pPr>
        <w:pStyle w:val="HTMLPreformatted"/>
        <w:numPr>
          <w:ilvl w:val="1"/>
          <w:numId w:val="2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Mengekalkan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log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semua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sandaran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diterima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untuk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memasukkan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tarikh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yang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diterima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,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maklumat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versi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,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tarikh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="002670B4" w:rsidRPr="00717953">
        <w:rPr>
          <w:rFonts w:ascii="Arial" w:hAnsi="Arial" w:cs="Arial"/>
          <w:i/>
          <w:color w:val="212121"/>
          <w:sz w:val="22"/>
          <w:szCs w:val="22"/>
        </w:rPr>
        <w:t>deployement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,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merujuk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kepada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tiket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pengurusan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perubahan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HSX</w:t>
      </w:r>
      <w:r w:rsidR="00717953"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nombor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dikekalkan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dalam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sistem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pengurusan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717953">
        <w:rPr>
          <w:rFonts w:ascii="Arial" w:hAnsi="Arial" w:cs="Arial"/>
          <w:color w:val="212121"/>
          <w:sz w:val="22"/>
          <w:szCs w:val="22"/>
        </w:rPr>
        <w:t>perubahannya</w:t>
      </w:r>
      <w:proofErr w:type="spellEnd"/>
      <w:r w:rsidRPr="00717953">
        <w:rPr>
          <w:rFonts w:ascii="Arial" w:hAnsi="Arial" w:cs="Arial"/>
          <w:color w:val="212121"/>
          <w:sz w:val="22"/>
          <w:szCs w:val="22"/>
        </w:rPr>
        <w:t>.</w:t>
      </w:r>
    </w:p>
    <w:p w:rsidR="00717953" w:rsidRPr="002539F4" w:rsidRDefault="002670B4" w:rsidP="00717953">
      <w:pPr>
        <w:pStyle w:val="HTMLPreformatted"/>
        <w:numPr>
          <w:ilvl w:val="1"/>
          <w:numId w:val="2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2"/>
          <w:szCs w:val="22"/>
        </w:rPr>
      </w:pPr>
      <w:proofErr w:type="spellStart"/>
      <w:r w:rsidRPr="002539F4">
        <w:rPr>
          <w:rFonts w:ascii="Arial" w:hAnsi="Arial" w:cs="Arial"/>
          <w:sz w:val="22"/>
          <w:szCs w:val="22"/>
        </w:rPr>
        <w:t>Labelkan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semua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media </w:t>
      </w:r>
      <w:proofErr w:type="spellStart"/>
      <w:r w:rsidRPr="002539F4">
        <w:rPr>
          <w:rFonts w:ascii="Arial" w:hAnsi="Arial" w:cs="Arial"/>
          <w:sz w:val="22"/>
          <w:szCs w:val="22"/>
        </w:rPr>
        <w:t>untuk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memudahkan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pengenalan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539F4">
        <w:rPr>
          <w:rFonts w:ascii="Arial" w:hAnsi="Arial" w:cs="Arial"/>
          <w:sz w:val="22"/>
          <w:szCs w:val="22"/>
        </w:rPr>
        <w:t>Setidaknya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termasuk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tarikh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2539F4">
        <w:rPr>
          <w:rFonts w:ascii="Arial" w:hAnsi="Arial" w:cs="Arial"/>
          <w:sz w:val="22"/>
          <w:szCs w:val="22"/>
        </w:rPr>
        <w:t>diterima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539F4">
        <w:rPr>
          <w:rFonts w:ascii="Arial" w:hAnsi="Arial" w:cs="Arial"/>
          <w:sz w:val="22"/>
          <w:szCs w:val="22"/>
        </w:rPr>
        <w:t>tar</w:t>
      </w:r>
      <w:r w:rsidR="002539F4">
        <w:rPr>
          <w:rFonts w:ascii="Arial" w:hAnsi="Arial" w:cs="Arial"/>
          <w:sz w:val="22"/>
          <w:szCs w:val="22"/>
        </w:rPr>
        <w:t>ikh</w:t>
      </w:r>
      <w:proofErr w:type="spellEnd"/>
      <w:r w:rsid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539F4">
        <w:rPr>
          <w:rFonts w:ascii="Arial" w:hAnsi="Arial" w:cs="Arial"/>
          <w:sz w:val="22"/>
          <w:szCs w:val="22"/>
        </w:rPr>
        <w:t>penempatan</w:t>
      </w:r>
      <w:proofErr w:type="spellEnd"/>
      <w:r w:rsid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539F4">
        <w:rPr>
          <w:rFonts w:ascii="Arial" w:hAnsi="Arial" w:cs="Arial"/>
          <w:sz w:val="22"/>
          <w:szCs w:val="22"/>
        </w:rPr>
        <w:t>dan</w:t>
      </w:r>
      <w:proofErr w:type="spellEnd"/>
      <w:r w:rsid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539F4">
        <w:rPr>
          <w:rFonts w:ascii="Arial" w:hAnsi="Arial" w:cs="Arial"/>
          <w:sz w:val="22"/>
          <w:szCs w:val="22"/>
        </w:rPr>
        <w:t>nombor</w:t>
      </w:r>
      <w:proofErr w:type="spellEnd"/>
      <w:r w:rsid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pengurusan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perubahan</w:t>
      </w:r>
      <w:proofErr w:type="spellEnd"/>
      <w:r w:rsidRPr="002539F4">
        <w:rPr>
          <w:rFonts w:ascii="Arial" w:hAnsi="Arial" w:cs="Arial"/>
          <w:sz w:val="22"/>
          <w:szCs w:val="22"/>
        </w:rPr>
        <w:t>.</w:t>
      </w:r>
    </w:p>
    <w:p w:rsidR="00717953" w:rsidRPr="002539F4" w:rsidRDefault="002670B4" w:rsidP="00510B86">
      <w:pPr>
        <w:pStyle w:val="HTMLPreformatted"/>
        <w:numPr>
          <w:ilvl w:val="1"/>
          <w:numId w:val="2"/>
        </w:numPr>
        <w:shd w:val="clear" w:color="auto" w:fill="FFFFFF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2539F4">
        <w:rPr>
          <w:rFonts w:ascii="Arial" w:hAnsi="Arial" w:cs="Arial"/>
          <w:sz w:val="22"/>
          <w:szCs w:val="22"/>
        </w:rPr>
        <w:t>Kekalkan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fail </w:t>
      </w:r>
      <w:proofErr w:type="spellStart"/>
      <w:r w:rsidRPr="002539F4">
        <w:rPr>
          <w:rFonts w:ascii="Arial" w:hAnsi="Arial" w:cs="Arial"/>
          <w:sz w:val="22"/>
          <w:szCs w:val="22"/>
        </w:rPr>
        <w:t>sandaran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kod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sumber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untuk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semua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siaran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utama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untuk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satu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(1) </w:t>
      </w:r>
      <w:proofErr w:type="spellStart"/>
      <w:r w:rsidRPr="002539F4">
        <w:rPr>
          <w:rFonts w:ascii="Arial" w:hAnsi="Arial" w:cs="Arial"/>
          <w:sz w:val="22"/>
          <w:szCs w:val="22"/>
        </w:rPr>
        <w:t>tahun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539F4">
        <w:rPr>
          <w:rFonts w:ascii="Arial" w:hAnsi="Arial" w:cs="Arial"/>
          <w:sz w:val="22"/>
          <w:szCs w:val="22"/>
        </w:rPr>
        <w:t>Selain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itu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539F4">
        <w:rPr>
          <w:rFonts w:ascii="Arial" w:hAnsi="Arial" w:cs="Arial"/>
          <w:sz w:val="22"/>
          <w:szCs w:val="22"/>
        </w:rPr>
        <w:t>mengekalkan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versi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semasa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termasuk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tambahan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tiga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(3) </w:t>
      </w:r>
      <w:proofErr w:type="spellStart"/>
      <w:r w:rsidRPr="002539F4">
        <w:rPr>
          <w:rFonts w:ascii="Arial" w:hAnsi="Arial" w:cs="Arial"/>
          <w:sz w:val="22"/>
          <w:szCs w:val="22"/>
        </w:rPr>
        <w:t>versi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terdahulu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fail </w:t>
      </w:r>
      <w:proofErr w:type="spellStart"/>
      <w:r w:rsidRPr="002539F4">
        <w:rPr>
          <w:rFonts w:ascii="Arial" w:hAnsi="Arial" w:cs="Arial"/>
          <w:sz w:val="22"/>
          <w:szCs w:val="22"/>
        </w:rPr>
        <w:t>sandaran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kod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sumber</w:t>
      </w:r>
      <w:proofErr w:type="spellEnd"/>
      <w:r w:rsidRPr="002539F4">
        <w:rPr>
          <w:rFonts w:ascii="Arial" w:hAnsi="Arial" w:cs="Arial"/>
          <w:sz w:val="22"/>
          <w:szCs w:val="22"/>
        </w:rPr>
        <w:t>.</w:t>
      </w:r>
      <w:r w:rsidR="00717953" w:rsidRPr="002539F4">
        <w:rPr>
          <w:rFonts w:ascii="Arial" w:hAnsi="Arial" w:cs="Arial"/>
          <w:sz w:val="22"/>
          <w:szCs w:val="22"/>
        </w:rPr>
        <w:t xml:space="preserve"> </w:t>
      </w:r>
    </w:p>
    <w:p w:rsidR="00717953" w:rsidRPr="002539F4" w:rsidRDefault="002670B4" w:rsidP="000B4001">
      <w:pPr>
        <w:pStyle w:val="HTMLPreformatted"/>
        <w:numPr>
          <w:ilvl w:val="1"/>
          <w:numId w:val="2"/>
        </w:numPr>
        <w:shd w:val="clear" w:color="auto" w:fill="FFFFFF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2539F4">
        <w:rPr>
          <w:rFonts w:ascii="Arial" w:hAnsi="Arial" w:cs="Arial"/>
          <w:sz w:val="22"/>
          <w:szCs w:val="22"/>
        </w:rPr>
        <w:t>Menyusun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semula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statistik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sandaran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2539F4">
        <w:rPr>
          <w:rFonts w:ascii="Arial" w:hAnsi="Arial" w:cs="Arial"/>
          <w:sz w:val="22"/>
          <w:szCs w:val="22"/>
        </w:rPr>
        <w:t>disediakan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dengan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fail yang </w:t>
      </w:r>
      <w:proofErr w:type="spellStart"/>
      <w:r w:rsidRPr="002539F4">
        <w:rPr>
          <w:rFonts w:ascii="Arial" w:hAnsi="Arial" w:cs="Arial"/>
          <w:sz w:val="22"/>
          <w:szCs w:val="22"/>
        </w:rPr>
        <w:t>diterima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dan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melakukan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perbandingan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peringkat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tinggi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ke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fail </w:t>
      </w:r>
      <w:proofErr w:type="spellStart"/>
      <w:r w:rsidRPr="002539F4">
        <w:rPr>
          <w:rFonts w:ascii="Arial" w:hAnsi="Arial" w:cs="Arial"/>
          <w:sz w:val="22"/>
          <w:szCs w:val="22"/>
        </w:rPr>
        <w:t>sebelumnya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2539F4">
        <w:rPr>
          <w:rFonts w:ascii="Arial" w:hAnsi="Arial" w:cs="Arial"/>
          <w:sz w:val="22"/>
          <w:szCs w:val="22"/>
        </w:rPr>
        <w:t>diterima</w:t>
      </w:r>
      <w:proofErr w:type="spellEnd"/>
      <w:r w:rsidRPr="002539F4">
        <w:rPr>
          <w:rFonts w:ascii="Arial" w:hAnsi="Arial" w:cs="Arial"/>
          <w:sz w:val="22"/>
          <w:szCs w:val="22"/>
        </w:rPr>
        <w:t>.</w:t>
      </w:r>
    </w:p>
    <w:p w:rsidR="000B4AD1" w:rsidRPr="002539F4" w:rsidRDefault="002670B4" w:rsidP="000B4001">
      <w:pPr>
        <w:pStyle w:val="HTMLPreformatted"/>
        <w:numPr>
          <w:ilvl w:val="1"/>
          <w:numId w:val="2"/>
        </w:numPr>
        <w:shd w:val="clear" w:color="auto" w:fill="FFFFFF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2539F4">
        <w:rPr>
          <w:rFonts w:ascii="Arial" w:hAnsi="Arial" w:cs="Arial"/>
          <w:sz w:val="22"/>
          <w:szCs w:val="22"/>
        </w:rPr>
        <w:t>Menyimpan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fail </w:t>
      </w:r>
      <w:proofErr w:type="spellStart"/>
      <w:r w:rsidRPr="002539F4">
        <w:rPr>
          <w:rFonts w:ascii="Arial" w:hAnsi="Arial" w:cs="Arial"/>
          <w:sz w:val="22"/>
          <w:szCs w:val="22"/>
        </w:rPr>
        <w:t>sandaran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2539F4">
        <w:rPr>
          <w:rFonts w:ascii="Arial" w:hAnsi="Arial" w:cs="Arial"/>
          <w:sz w:val="22"/>
          <w:szCs w:val="22"/>
        </w:rPr>
        <w:t>luar</w:t>
      </w:r>
      <w:proofErr w:type="spellEnd"/>
      <w:r w:rsidRPr="002539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39F4">
        <w:rPr>
          <w:rFonts w:ascii="Arial" w:hAnsi="Arial" w:cs="Arial"/>
          <w:sz w:val="22"/>
          <w:szCs w:val="22"/>
        </w:rPr>
        <w:t>tapak</w:t>
      </w:r>
      <w:proofErr w:type="spellEnd"/>
      <w:r w:rsidRPr="002539F4">
        <w:rPr>
          <w:rFonts w:ascii="Arial" w:hAnsi="Arial" w:cs="Arial"/>
          <w:sz w:val="22"/>
          <w:szCs w:val="22"/>
        </w:rPr>
        <w:t>.</w:t>
      </w:r>
    </w:p>
    <w:p w:rsidR="003B6BD1" w:rsidRPr="00717953" w:rsidRDefault="003B6BD1" w:rsidP="003B6BD1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sz w:val="22"/>
          <w:szCs w:val="22"/>
        </w:rPr>
      </w:pPr>
    </w:p>
    <w:p w:rsidR="000B4AD1" w:rsidRPr="003B6BD1" w:rsidRDefault="002670B4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Prosedur</w:t>
      </w:r>
      <w:proofErr w:type="spellEnd"/>
    </w:p>
    <w:p w:rsidR="002670B4" w:rsidRDefault="002670B4" w:rsidP="00717953">
      <w:pPr>
        <w:pStyle w:val="ListParagraph"/>
        <w:spacing w:line="276" w:lineRule="auto"/>
        <w:rPr>
          <w:rFonts w:ascii="Arial" w:hAnsi="Arial" w:cs="Arial"/>
        </w:rPr>
      </w:pPr>
      <w:proofErr w:type="spellStart"/>
      <w:r w:rsidRPr="00717953">
        <w:rPr>
          <w:rFonts w:ascii="Arial" w:hAnsi="Arial" w:cs="Arial"/>
        </w:rPr>
        <w:t>Tiada</w:t>
      </w:r>
      <w:proofErr w:type="spellEnd"/>
    </w:p>
    <w:p w:rsidR="003B6BD1" w:rsidRDefault="003B6BD1" w:rsidP="00717953">
      <w:pPr>
        <w:pStyle w:val="ListParagraph"/>
        <w:spacing w:line="276" w:lineRule="auto"/>
        <w:rPr>
          <w:rFonts w:ascii="Arial" w:hAnsi="Arial" w:cs="Arial"/>
        </w:rPr>
      </w:pPr>
    </w:p>
    <w:p w:rsidR="003B6BD1" w:rsidRDefault="003B6BD1" w:rsidP="00717953">
      <w:pPr>
        <w:pStyle w:val="ListParagraph"/>
        <w:spacing w:line="276" w:lineRule="auto"/>
        <w:rPr>
          <w:rFonts w:ascii="Arial" w:hAnsi="Arial" w:cs="Arial"/>
        </w:rPr>
      </w:pPr>
    </w:p>
    <w:p w:rsidR="003B6BD1" w:rsidRDefault="003B6BD1" w:rsidP="00717953">
      <w:pPr>
        <w:pStyle w:val="ListParagraph"/>
        <w:spacing w:line="276" w:lineRule="auto"/>
        <w:rPr>
          <w:rFonts w:ascii="Arial" w:hAnsi="Arial" w:cs="Arial"/>
        </w:rPr>
      </w:pPr>
    </w:p>
    <w:p w:rsidR="003B6BD1" w:rsidRDefault="003B6BD1" w:rsidP="00717953">
      <w:pPr>
        <w:pStyle w:val="ListParagraph"/>
        <w:spacing w:line="276" w:lineRule="auto"/>
        <w:rPr>
          <w:rFonts w:ascii="Arial" w:hAnsi="Arial" w:cs="Arial"/>
        </w:rPr>
      </w:pPr>
    </w:p>
    <w:p w:rsidR="003B6BD1" w:rsidRPr="00717953" w:rsidRDefault="003B6BD1" w:rsidP="00717953">
      <w:pPr>
        <w:pStyle w:val="ListParagraph"/>
        <w:spacing w:line="276" w:lineRule="auto"/>
        <w:rPr>
          <w:rFonts w:ascii="Arial" w:hAnsi="Arial" w:cs="Arial"/>
        </w:rPr>
      </w:pPr>
    </w:p>
    <w:p w:rsidR="002670B4" w:rsidRPr="003B6BD1" w:rsidRDefault="002670B4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Pelaksanaan</w:t>
      </w:r>
      <w:proofErr w:type="spellEnd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2670B4" w:rsidRPr="00717953" w:rsidRDefault="002670B4" w:rsidP="000C7D46">
      <w:pPr>
        <w:pStyle w:val="HTMLPreformatted"/>
        <w:shd w:val="clear" w:color="auto" w:fill="FFFFFF"/>
        <w:spacing w:line="276" w:lineRule="auto"/>
        <w:ind w:left="720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Ia adalah tanggungjawab Operasi Teknikal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untuk memastikan bahawa fail sandaran diterima</w:t>
      </w:r>
      <w:r w:rsidR="005E3C2A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selepas pelaksanaan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dalam tempoh lima (5) mengikut hari perniagaan. Operasi Teknikal </w:t>
      </w:r>
      <w:r w:rsidR="002539F4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bertanggungjawab untuk</w:t>
      </w:r>
      <w:r w:rsidR="005E3C2A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peningkatan melalui saluran yang ditetapkan apabila perlu.</w:t>
      </w:r>
    </w:p>
    <w:p w:rsidR="002670B4" w:rsidRDefault="002670B4" w:rsidP="000C7D46">
      <w:pPr>
        <w:pStyle w:val="HTMLPreformatted"/>
        <w:shd w:val="clear" w:color="auto" w:fill="FFFFFF"/>
        <w:spacing w:line="276" w:lineRule="auto"/>
        <w:ind w:left="720"/>
        <w:rPr>
          <w:rFonts w:ascii="Arial" w:hAnsi="Arial" w:cs="Arial"/>
          <w:color w:val="212121"/>
          <w:sz w:val="22"/>
          <w:szCs w:val="22"/>
          <w:lang w:val="ms-MY"/>
        </w:rPr>
      </w:pPr>
      <w:r w:rsidRPr="00717953">
        <w:rPr>
          <w:rFonts w:ascii="Arial" w:hAnsi="Arial" w:cs="Arial"/>
          <w:color w:val="212121"/>
          <w:sz w:val="22"/>
          <w:szCs w:val="22"/>
          <w:lang w:val="ms-MY"/>
        </w:rPr>
        <w:t>Adalah menjadi tanggungjawab rakan pembangunan kod sumber untuk menubuhkan dan mengekalkan</w:t>
      </w:r>
      <w:r w:rsidR="005E3C2A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kawalan pengurusan kod sumber, sistem pengurusan kod sumber dan sesuai</w:t>
      </w:r>
      <w:r w:rsidR="000C7D46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Pr="00717953">
        <w:rPr>
          <w:rFonts w:ascii="Arial" w:hAnsi="Arial" w:cs="Arial"/>
          <w:color w:val="212121"/>
          <w:sz w:val="22"/>
          <w:szCs w:val="22"/>
          <w:lang w:val="ms-MY"/>
        </w:rPr>
        <w:t>pengasingan tanggungjawab mengikut dasar ini.</w:t>
      </w:r>
    </w:p>
    <w:p w:rsidR="000C7D46" w:rsidRPr="00717953" w:rsidRDefault="000C7D46" w:rsidP="000C7D46">
      <w:pPr>
        <w:pStyle w:val="HTMLPreformatted"/>
        <w:shd w:val="clear" w:color="auto" w:fill="FFFFFF"/>
        <w:spacing w:line="276" w:lineRule="auto"/>
        <w:ind w:left="360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2670B4" w:rsidRPr="00717953" w:rsidRDefault="002539F4" w:rsidP="000C7D46">
      <w:pPr>
        <w:pStyle w:val="HTMLPreformatted"/>
        <w:shd w:val="clear" w:color="auto" w:fill="FFFFFF"/>
        <w:spacing w:line="276" w:lineRule="auto"/>
        <w:ind w:left="72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tidak sedang membangunkan kod sumber dan tidak juga merancang untuk membangunkan kod sumber di </w:t>
      </w:r>
      <w:r w:rsidR="00165BBD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717953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masa depan yang boleh dijangka. Sekiranya </w:t>
      </w:r>
      <w:r w:rsidR="00165BBD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bercadang untuk membangunkan kod sumber di dalam</w:t>
      </w:r>
      <w:r w:rsidR="00717953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masa depan, maka </w:t>
      </w:r>
      <w:r w:rsidR="00165BBD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akan memastikan bahawa dasar ini disemak semula untuk menghendaki </w:t>
      </w:r>
      <w:r w:rsidR="00165BBD">
        <w:rPr>
          <w:rFonts w:ascii="Arial" w:hAnsi="Arial" w:cs="Arial"/>
          <w:color w:val="212121"/>
          <w:sz w:val="22"/>
          <w:szCs w:val="22"/>
          <w:lang w:val="ms-MY"/>
        </w:rPr>
        <w:t>JPN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untuk memenuhi</w:t>
      </w:r>
      <w:r w:rsidR="00717953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>keperluan dasar ini pada tahap yang sama yang diperlukan oleh rakan kongsi perniagaan yang dikontrak</w:t>
      </w:r>
      <w:r w:rsidR="00717953" w:rsidRPr="00717953">
        <w:rPr>
          <w:rFonts w:ascii="Arial" w:hAnsi="Arial" w:cs="Arial"/>
          <w:color w:val="212121"/>
          <w:sz w:val="22"/>
          <w:szCs w:val="22"/>
          <w:lang w:val="ms-MY"/>
        </w:rPr>
        <w:t xml:space="preserve"> </w:t>
      </w:r>
      <w:r w:rsidR="002670B4" w:rsidRPr="00717953">
        <w:rPr>
          <w:rFonts w:ascii="Arial" w:hAnsi="Arial" w:cs="Arial"/>
          <w:color w:val="212121"/>
          <w:sz w:val="22"/>
          <w:szCs w:val="22"/>
          <w:lang w:val="ms-MY"/>
        </w:rPr>
        <w:t>membangunkan kod sumber.</w:t>
      </w:r>
    </w:p>
    <w:p w:rsidR="002670B4" w:rsidRPr="00717953" w:rsidRDefault="002670B4" w:rsidP="00717953">
      <w:pPr>
        <w:pStyle w:val="ListParagraph"/>
        <w:spacing w:line="276" w:lineRule="auto"/>
        <w:rPr>
          <w:rFonts w:ascii="Arial" w:hAnsi="Arial" w:cs="Arial"/>
        </w:rPr>
      </w:pPr>
    </w:p>
    <w:p w:rsidR="002670B4" w:rsidRPr="003B6BD1" w:rsidRDefault="000C7D46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Definisi</w:t>
      </w:r>
      <w:proofErr w:type="spellEnd"/>
    </w:p>
    <w:p w:rsidR="000C7D46" w:rsidRDefault="000C7D46" w:rsidP="000C7D46">
      <w:pPr>
        <w:pStyle w:val="ListParagraph"/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senarai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rujuk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Glosari</w:t>
      </w:r>
      <w:proofErr w:type="spellEnd"/>
    </w:p>
    <w:p w:rsidR="000C7D46" w:rsidRPr="003B6BD1" w:rsidRDefault="000C7D46" w:rsidP="000C7D46">
      <w:pPr>
        <w:pStyle w:val="ListParagraph"/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C7D46" w:rsidRPr="003B6BD1" w:rsidRDefault="000C7D46" w:rsidP="007179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B6BD1">
        <w:rPr>
          <w:rFonts w:ascii="Arial" w:hAnsi="Arial" w:cs="Arial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Rujukan</w:t>
      </w:r>
      <w:proofErr w:type="spellEnd"/>
    </w:p>
    <w:p w:rsidR="000C7D46" w:rsidRDefault="000C7D46" w:rsidP="000C7D46">
      <w:pPr>
        <w:pStyle w:val="ListParagraph"/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masa </w:t>
      </w:r>
      <w:proofErr w:type="spellStart"/>
      <w:r>
        <w:rPr>
          <w:rFonts w:ascii="Arial" w:hAnsi="Arial" w:cs="Arial"/>
        </w:rPr>
        <w:t>ini</w:t>
      </w:r>
      <w:proofErr w:type="spellEnd"/>
    </w:p>
    <w:p w:rsidR="000C7D46" w:rsidRDefault="000C7D46" w:rsidP="000C7D46">
      <w:pPr>
        <w:pStyle w:val="ListParagraph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956"/>
        <w:gridCol w:w="1849"/>
        <w:gridCol w:w="2641"/>
      </w:tblGrid>
      <w:tr w:rsidR="000C7D46" w:rsidRPr="000C7D46" w:rsidTr="000C7D46">
        <w:tc>
          <w:tcPr>
            <w:tcW w:w="1850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Pemilik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Polisi</w:t>
            </w:r>
            <w:proofErr w:type="spellEnd"/>
          </w:p>
        </w:tc>
        <w:tc>
          <w:tcPr>
            <w:tcW w:w="1956" w:type="dxa"/>
            <w:vAlign w:val="center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Teknologi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Maklumat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Hubungi</w:t>
            </w:r>
            <w:proofErr w:type="spellEnd"/>
          </w:p>
        </w:tc>
        <w:tc>
          <w:tcPr>
            <w:tcW w:w="2641" w:type="dxa"/>
            <w:vAlign w:val="center"/>
          </w:tcPr>
          <w:p w:rsidR="000C7D46" w:rsidRPr="000C7D46" w:rsidRDefault="00165BBD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</w:t>
            </w:r>
            <w:r w:rsidR="000C7D46" w:rsidRPr="00165BBD">
              <w:rPr>
                <w:rFonts w:ascii="Arial" w:hAnsi="Arial" w:cs="Arial"/>
              </w:rPr>
              <w:t>@hsxsepa.org</w:t>
            </w:r>
          </w:p>
        </w:tc>
      </w:tr>
      <w:tr w:rsidR="000C7D46" w:rsidRPr="000C7D46" w:rsidTr="000C7D46">
        <w:tc>
          <w:tcPr>
            <w:tcW w:w="1850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Diluluskan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oleh</w:t>
            </w:r>
            <w:proofErr w:type="spellEnd"/>
          </w:p>
        </w:tc>
        <w:tc>
          <w:tcPr>
            <w:tcW w:w="1956" w:type="dxa"/>
            <w:vAlign w:val="center"/>
          </w:tcPr>
          <w:p w:rsidR="000C7D46" w:rsidRPr="000C7D46" w:rsidRDefault="00165BBD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JPN</w:t>
            </w:r>
            <w:r w:rsidR="000C7D46" w:rsidRPr="000C7D46">
              <w:rPr>
                <w:rFonts w:ascii="Arial" w:hAnsi="Arial" w:cs="Arial"/>
              </w:rPr>
              <w:t xml:space="preserve"> Management Team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Tarikh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Diluluskan</w:t>
            </w:r>
            <w:proofErr w:type="spellEnd"/>
          </w:p>
        </w:tc>
        <w:tc>
          <w:tcPr>
            <w:tcW w:w="2641" w:type="dxa"/>
            <w:vAlign w:val="center"/>
          </w:tcPr>
          <w:p w:rsidR="000C7D46" w:rsidRPr="000C7D46" w:rsidRDefault="00B2404C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</w:t>
            </w:r>
            <w:bookmarkStart w:id="0" w:name="_GoBack"/>
            <w:bookmarkEnd w:id="0"/>
            <w:r w:rsidR="00165BBD">
              <w:rPr>
                <w:rFonts w:ascii="Arial" w:hAnsi="Arial" w:cs="Arial"/>
              </w:rPr>
              <w:t>, 2020</w:t>
            </w:r>
          </w:p>
        </w:tc>
      </w:tr>
      <w:tr w:rsidR="000C7D46" w:rsidRPr="000C7D46" w:rsidTr="000C7D46">
        <w:tc>
          <w:tcPr>
            <w:tcW w:w="1850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Tarikh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Polisi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Efektif</w:t>
            </w:r>
            <w:proofErr w:type="spellEnd"/>
          </w:p>
        </w:tc>
        <w:tc>
          <w:tcPr>
            <w:tcW w:w="1956" w:type="dxa"/>
            <w:vAlign w:val="center"/>
          </w:tcPr>
          <w:p w:rsidR="000C7D46" w:rsidRPr="000C7D46" w:rsidRDefault="00165BBD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3, 2020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Versi</w:t>
            </w:r>
            <w:proofErr w:type="spellEnd"/>
          </w:p>
        </w:tc>
        <w:tc>
          <w:tcPr>
            <w:tcW w:w="2641" w:type="dxa"/>
            <w:vAlign w:val="center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C7D46">
              <w:rPr>
                <w:rFonts w:ascii="Arial" w:hAnsi="Arial" w:cs="Arial"/>
              </w:rPr>
              <w:t>1.0</w:t>
            </w:r>
          </w:p>
        </w:tc>
      </w:tr>
      <w:tr w:rsidR="000C7D46" w:rsidRPr="000C7D46" w:rsidTr="000C7D46">
        <w:tc>
          <w:tcPr>
            <w:tcW w:w="1850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Tarikh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Asal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Isu</w:t>
            </w:r>
            <w:proofErr w:type="spellEnd"/>
          </w:p>
        </w:tc>
        <w:tc>
          <w:tcPr>
            <w:tcW w:w="1956" w:type="dxa"/>
            <w:vAlign w:val="center"/>
          </w:tcPr>
          <w:p w:rsidR="000C7D46" w:rsidRPr="000C7D46" w:rsidRDefault="00165BBD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3, 2020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Tarikh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Akhir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Kemaskini</w:t>
            </w:r>
            <w:proofErr w:type="spellEnd"/>
          </w:p>
        </w:tc>
        <w:tc>
          <w:tcPr>
            <w:tcW w:w="2641" w:type="dxa"/>
            <w:vAlign w:val="center"/>
          </w:tcPr>
          <w:p w:rsidR="000C7D46" w:rsidRPr="000C7D46" w:rsidRDefault="00165BBD" w:rsidP="000C7D4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 xml:space="preserve"> 28,2020</w:t>
            </w:r>
          </w:p>
        </w:tc>
      </w:tr>
      <w:tr w:rsidR="000C7D46" w:rsidRPr="000C7D46" w:rsidTr="000C7D46">
        <w:tc>
          <w:tcPr>
            <w:tcW w:w="1850" w:type="dxa"/>
            <w:shd w:val="clear" w:color="auto" w:fill="D9D9D9" w:themeFill="background1" w:themeFillShade="D9"/>
          </w:tcPr>
          <w:p w:rsidR="000C7D46" w:rsidRPr="000C7D46" w:rsidRDefault="000C7D46" w:rsidP="000C7D4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proofErr w:type="spellStart"/>
            <w:r w:rsidRPr="000C7D46">
              <w:rPr>
                <w:rFonts w:ascii="Arial" w:hAnsi="Arial" w:cs="Arial"/>
              </w:rPr>
              <w:t>Dokumen</w:t>
            </w:r>
            <w:proofErr w:type="spellEnd"/>
            <w:r w:rsidRPr="000C7D46">
              <w:rPr>
                <w:rFonts w:ascii="Arial" w:hAnsi="Arial" w:cs="Arial"/>
              </w:rPr>
              <w:t xml:space="preserve"> </w:t>
            </w:r>
            <w:proofErr w:type="spellStart"/>
            <w:r w:rsidRPr="000C7D46">
              <w:rPr>
                <w:rFonts w:ascii="Arial" w:hAnsi="Arial" w:cs="Arial"/>
              </w:rPr>
              <w:t>berkaitan</w:t>
            </w:r>
            <w:proofErr w:type="spellEnd"/>
          </w:p>
        </w:tc>
        <w:tc>
          <w:tcPr>
            <w:tcW w:w="6446" w:type="dxa"/>
            <w:gridSpan w:val="3"/>
          </w:tcPr>
          <w:p w:rsidR="000C7D46" w:rsidRPr="000C7D46" w:rsidRDefault="000C7D46" w:rsidP="00617B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C7D46">
              <w:rPr>
                <w:rFonts w:ascii="Arial" w:hAnsi="Arial" w:cs="Arial"/>
              </w:rPr>
              <w:t>Change Management Policy</w:t>
            </w:r>
          </w:p>
          <w:p w:rsidR="000C7D46" w:rsidRPr="000C7D46" w:rsidRDefault="000C7D46" w:rsidP="00617B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C7D46">
              <w:rPr>
                <w:rFonts w:ascii="Arial" w:hAnsi="Arial" w:cs="Arial"/>
              </w:rPr>
              <w:t>Configuration Management Policy</w:t>
            </w:r>
          </w:p>
          <w:p w:rsidR="000C7D46" w:rsidRPr="000C7D46" w:rsidRDefault="000C7D46" w:rsidP="00617B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C7D46">
              <w:rPr>
                <w:rFonts w:ascii="Arial" w:hAnsi="Arial" w:cs="Arial"/>
              </w:rPr>
              <w:t>Glossary</w:t>
            </w:r>
          </w:p>
          <w:p w:rsidR="000C7D46" w:rsidRPr="000C7D46" w:rsidRDefault="000C7D46" w:rsidP="00617B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C7D46">
              <w:rPr>
                <w:rFonts w:ascii="Arial" w:hAnsi="Arial" w:cs="Arial"/>
              </w:rPr>
              <w:t>Risk Management Plan</w:t>
            </w:r>
          </w:p>
          <w:p w:rsidR="000C7D46" w:rsidRPr="000C7D46" w:rsidRDefault="000C7D46" w:rsidP="00617BE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0C7D46">
              <w:rPr>
                <w:rFonts w:ascii="Arial" w:hAnsi="Arial" w:cs="Arial"/>
              </w:rPr>
              <w:t>Risk Management Policy</w:t>
            </w:r>
          </w:p>
        </w:tc>
      </w:tr>
    </w:tbl>
    <w:p w:rsidR="000C7D46" w:rsidRPr="00717953" w:rsidRDefault="000C7D46" w:rsidP="000C7D46">
      <w:pPr>
        <w:pStyle w:val="ListParagraph"/>
        <w:spacing w:line="276" w:lineRule="auto"/>
        <w:rPr>
          <w:rFonts w:ascii="Arial" w:hAnsi="Arial" w:cs="Arial"/>
        </w:rPr>
      </w:pPr>
    </w:p>
    <w:sectPr w:rsidR="000C7D46" w:rsidRPr="007179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C1" w:rsidRDefault="00B254C1" w:rsidP="0078782F">
      <w:pPr>
        <w:spacing w:after="0" w:line="240" w:lineRule="auto"/>
      </w:pPr>
      <w:r>
        <w:separator/>
      </w:r>
    </w:p>
  </w:endnote>
  <w:endnote w:type="continuationSeparator" w:id="0">
    <w:p w:rsidR="00B254C1" w:rsidRDefault="00B254C1" w:rsidP="0078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8AA" w:rsidRDefault="00140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8AA" w:rsidRDefault="00140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8AA" w:rsidRDefault="00140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C1" w:rsidRDefault="00B254C1" w:rsidP="0078782F">
      <w:pPr>
        <w:spacing w:after="0" w:line="240" w:lineRule="auto"/>
      </w:pPr>
      <w:r>
        <w:separator/>
      </w:r>
    </w:p>
  </w:footnote>
  <w:footnote w:type="continuationSeparator" w:id="0">
    <w:p w:rsidR="00B254C1" w:rsidRDefault="00B254C1" w:rsidP="00787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8AA" w:rsidRDefault="00140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2F" w:rsidRPr="0078782F" w:rsidRDefault="0078782F" w:rsidP="001408AA">
    <w:pPr>
      <w:pStyle w:val="Header"/>
      <w:jc w:val="right"/>
    </w:pPr>
    <w:r>
      <w:t>LAMP 4025</w:t>
    </w:r>
    <w:r w:rsidR="001408AA">
      <w:t xml:space="preserve"> B POLISI DAN PROSEDUR KOD SUMBER</w:t>
    </w:r>
  </w:p>
  <w:p w:rsidR="001408AA" w:rsidRDefault="001408AA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8AA" w:rsidRDefault="00140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66AF"/>
    <w:multiLevelType w:val="hybridMultilevel"/>
    <w:tmpl w:val="410005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1B72"/>
    <w:multiLevelType w:val="hybridMultilevel"/>
    <w:tmpl w:val="5726A4CC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B5750"/>
    <w:multiLevelType w:val="hybridMultilevel"/>
    <w:tmpl w:val="B100BD4C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9F4626"/>
    <w:multiLevelType w:val="hybridMultilevel"/>
    <w:tmpl w:val="095EA5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A0342"/>
    <w:multiLevelType w:val="hybridMultilevel"/>
    <w:tmpl w:val="724E98A8"/>
    <w:lvl w:ilvl="0" w:tplc="4409000D">
      <w:start w:val="1"/>
      <w:numFmt w:val="bullet"/>
      <w:lvlText w:val=""/>
      <w:lvlJc w:val="left"/>
      <w:pPr>
        <w:ind w:left="127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7E501A49"/>
    <w:multiLevelType w:val="hybridMultilevel"/>
    <w:tmpl w:val="28000A9E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2F"/>
    <w:rsid w:val="000B4AD1"/>
    <w:rsid w:val="000C7D46"/>
    <w:rsid w:val="001408AA"/>
    <w:rsid w:val="00165BBD"/>
    <w:rsid w:val="001914B4"/>
    <w:rsid w:val="002539F4"/>
    <w:rsid w:val="002670B4"/>
    <w:rsid w:val="003B6BD1"/>
    <w:rsid w:val="005C54D6"/>
    <w:rsid w:val="005E3C2A"/>
    <w:rsid w:val="00617BE9"/>
    <w:rsid w:val="00717953"/>
    <w:rsid w:val="007847CF"/>
    <w:rsid w:val="0078782F"/>
    <w:rsid w:val="0082727F"/>
    <w:rsid w:val="008E4A4E"/>
    <w:rsid w:val="00AA111A"/>
    <w:rsid w:val="00B2404C"/>
    <w:rsid w:val="00B254C1"/>
    <w:rsid w:val="00C173BA"/>
    <w:rsid w:val="00E5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873"/>
  <w15:chartTrackingRefBased/>
  <w15:docId w15:val="{296C4300-1E1B-4EB6-B0A2-52C1058E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2F"/>
  </w:style>
  <w:style w:type="paragraph" w:styleId="Footer">
    <w:name w:val="footer"/>
    <w:basedOn w:val="Normal"/>
    <w:link w:val="FooterChar"/>
    <w:uiPriority w:val="99"/>
    <w:unhideWhenUsed/>
    <w:rsid w:val="00787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2F"/>
  </w:style>
  <w:style w:type="table" w:styleId="TableGrid">
    <w:name w:val="Table Grid"/>
    <w:basedOn w:val="TableNormal"/>
    <w:uiPriority w:val="39"/>
    <w:rsid w:val="0078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8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82F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yperlink">
    <w:name w:val="Hyperlink"/>
    <w:basedOn w:val="DefaultParagraphFont"/>
    <w:uiPriority w:val="99"/>
    <w:unhideWhenUsed/>
    <w:rsid w:val="000C7D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Helena Alyn</cp:lastModifiedBy>
  <cp:revision>4</cp:revision>
  <dcterms:created xsi:type="dcterms:W3CDTF">2020-08-31T13:10:00Z</dcterms:created>
  <dcterms:modified xsi:type="dcterms:W3CDTF">2020-08-31T15:38:00Z</dcterms:modified>
</cp:coreProperties>
</file>