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7" w:after="340"/>
      </w:pPr>
      <w:r>
        <w:rPr>
          <w:rFonts w:ascii="Poppins" w:hAnsi="Poppins" w:cs="Poppins" w:eastAsia="Poppins"/>
          <w:color w:val="1A4F9C"/>
        </w:rPr>
        <w:t>Dépôt du nom OpenNAT à l'INPI</w:t>
      </w:r>
    </w:p>
    <w:p>
      <w:pPr>
        <w:spacing w:before="57" w:after="227" w:line="288" w:lineRule="auto"/>
      </w:pPr>
      <w:r>
        <w:rPr>
          <w:rFonts w:ascii="Calibri" w:hAnsi="Calibri"/>
          <w:sz w:val="20"/>
        </w:rPr>
        <w:t>Fiche de préparation pour Cédric PLANTAZ, 19 octobre 2026. Le dépôt se fait en ligne sur le portail de l'INPI, depuis le compte de la société déposante ; le paiement se fait au dépôt. Aucune recherche d'antériorité n'a été faite, à la demande de Cédric : le dépôt est fait sans connaître les marques antérieures identiques ou proches.</w:t>
      </w:r>
    </w:p>
    <w:p>
      <w:pPr>
        <w:pStyle w:val="Heading1"/>
        <w:keepNext/>
        <w:spacing w:before="397" w:after="170"/>
      </w:pPr>
      <w:r>
        <w:rPr>
          <w:rFonts w:ascii="Poppins" w:hAnsi="Poppins" w:cs="Poppins" w:eastAsia="Poppins"/>
          <w:color w:val="1A4F9C"/>
        </w:rPr>
        <w:t>Pourquoi déposer</w:t>
      </w:r>
    </w:p>
    <w:p>
      <w:pPr>
        <w:spacing w:before="57" w:after="227" w:line="288" w:lineRule="auto"/>
      </w:pPr>
      <w:r>
        <w:rPr>
          <w:rFonts w:ascii="Calibri" w:hAnsi="Calibri"/>
          <w:sz w:val="20"/>
        </w:rPr>
        <w:t>La convention NTY-CNV-2026-007 (article 9) prévoit que NORMATYS dépose le nom OpenNAT. Une fois la méthode et le moteur publiés sous licence libre, chacun pourra les reprendre et les modifier ; la marque est ce qui réserve le nom OpenNAT aux calculs faits selon une version adoptée, sans modification des règles. Le dépôt doit précéder toute diffusion du nom hors des parties, donc la transmission du dossier au Biodiversity Standard Council et toute publication.</w:t>
      </w:r>
    </w:p>
    <w:p>
      <w:pPr>
        <w:pStyle w:val="Heading1"/>
        <w:keepNext/>
        <w:spacing w:before="397" w:after="170"/>
      </w:pPr>
      <w:r>
        <w:rPr>
          <w:rFonts w:ascii="Poppins" w:hAnsi="Poppins" w:cs="Poppins" w:eastAsia="Poppins"/>
          <w:color w:val="1A4F9C"/>
        </w:rPr>
        <w:t>Le dépôt</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357"/>
        <w:gridCol w:w="6280"/>
      </w:tblGrid>
      <w:tr>
        <w:trPr>
          <w:tblHeader/>
          <w:cantSplit/>
        </w:trPr>
        <w:tc>
          <w:tcPr>
            <w:tcW w:type="dxa" w:w="3357"/>
            <w:vAlign w:val="center"/>
            <w:shd w:val="clear" w:color="auto" w:fill="202335"/>
          </w:tcPr>
          <w:p>
            <w:pPr>
              <w:keepNext/>
              <w:spacing w:before="79" w:after="79" w:line="276" w:lineRule="auto"/>
            </w:pPr>
            <w:r>
              <w:rPr>
                <w:rFonts w:ascii="Calibri" w:hAnsi="Calibri"/>
                <w:b/>
                <w:color w:val="FFFFFF"/>
                <w:sz w:val="20"/>
              </w:rPr>
              <w:t>Rubrique</w:t>
            </w:r>
          </w:p>
        </w:tc>
        <w:tc>
          <w:tcPr>
            <w:tcW w:type="dxa" w:w="6281"/>
            <w:vAlign w:val="center"/>
            <w:shd w:val="clear" w:color="auto" w:fill="202335"/>
          </w:tcPr>
          <w:p>
            <w:pPr>
              <w:keepNext/>
              <w:spacing w:before="79" w:after="79" w:line="276" w:lineRule="auto"/>
            </w:pPr>
            <w:r>
              <w:rPr>
                <w:rFonts w:ascii="Calibri" w:hAnsi="Calibri"/>
                <w:b/>
                <w:color w:val="FFFFFF"/>
                <w:sz w:val="20"/>
              </w:rPr>
              <w:t>Contenu</w:t>
            </w:r>
          </w:p>
        </w:tc>
      </w:tr>
      <w:tr>
        <w:trPr>
          <w:cantSplit/>
        </w:trPr>
        <w:tc>
          <w:tcPr>
            <w:tcW w:type="dxa" w:w="3357"/>
            <w:vAlign w:val="center"/>
          </w:tcPr>
          <w:p>
            <w:pPr>
              <w:keepNext/>
              <w:spacing w:before="79" w:after="79" w:line="276" w:lineRule="auto"/>
            </w:pPr>
            <w:r>
              <w:rPr>
                <w:rFonts w:ascii="Calibri" w:hAnsi="Calibri"/>
                <w:sz w:val="20"/>
              </w:rPr>
              <w:t>Type de marque</w:t>
            </w:r>
          </w:p>
        </w:tc>
        <w:tc>
          <w:tcPr>
            <w:tcW w:type="dxa" w:w="6281"/>
            <w:vAlign w:val="center"/>
          </w:tcPr>
          <w:p>
            <w:pPr>
              <w:keepNext/>
              <w:spacing w:before="79" w:after="79" w:line="276" w:lineRule="auto"/>
            </w:pPr>
            <w:r>
              <w:rPr>
                <w:rFonts w:ascii="Calibri" w:hAnsi="Calibri"/>
                <w:sz w:val="20"/>
              </w:rPr>
              <w:t>marque verbale, en caractères standard</w:t>
            </w:r>
          </w:p>
        </w:tc>
      </w:tr>
      <w:tr>
        <w:trPr>
          <w:cantSplit/>
        </w:trPr>
        <w:tc>
          <w:tcPr>
            <w:tcW w:type="dxa" w:w="3357"/>
            <w:vAlign w:val="center"/>
          </w:tcPr>
          <w:p>
            <w:pPr>
              <w:keepNext/>
              <w:spacing w:before="79" w:after="79" w:line="276" w:lineRule="auto"/>
            </w:pPr>
            <w:r>
              <w:rPr>
                <w:rFonts w:ascii="Calibri" w:hAnsi="Calibri"/>
                <w:sz w:val="20"/>
              </w:rPr>
              <w:t>Signe</w:t>
            </w:r>
          </w:p>
        </w:tc>
        <w:tc>
          <w:tcPr>
            <w:tcW w:type="dxa" w:w="6281"/>
            <w:vAlign w:val="center"/>
          </w:tcPr>
          <w:p>
            <w:pPr>
              <w:keepNext/>
              <w:spacing w:before="79" w:after="79" w:line="276" w:lineRule="auto"/>
            </w:pPr>
            <w:r>
              <w:rPr>
                <w:rFonts w:ascii="Calibri" w:hAnsi="Calibri"/>
                <w:sz w:val="20"/>
              </w:rPr>
              <w:t>OpenNAT</w:t>
            </w:r>
          </w:p>
        </w:tc>
      </w:tr>
      <w:tr>
        <w:trPr>
          <w:cantSplit/>
        </w:trPr>
        <w:tc>
          <w:tcPr>
            <w:tcW w:type="dxa" w:w="3357"/>
            <w:vAlign w:val="center"/>
          </w:tcPr>
          <w:p>
            <w:pPr>
              <w:keepNext/>
              <w:spacing w:before="79" w:after="79" w:line="276" w:lineRule="auto"/>
            </w:pPr>
            <w:r>
              <w:rPr>
                <w:rFonts w:ascii="Calibri" w:hAnsi="Calibri"/>
                <w:sz w:val="20"/>
              </w:rPr>
              <w:t>Déposant</w:t>
            </w:r>
          </w:p>
        </w:tc>
        <w:tc>
          <w:tcPr>
            <w:tcW w:type="dxa" w:w="6281"/>
            <w:vAlign w:val="center"/>
          </w:tcPr>
          <w:p>
            <w:pPr>
              <w:keepNext/>
              <w:spacing w:before="79" w:after="79" w:line="276" w:lineRule="auto"/>
            </w:pPr>
            <w:r>
              <w:rPr>
                <w:rFonts w:ascii="Calibri" w:hAnsi="Calibri"/>
                <w:sz w:val="20"/>
              </w:rPr>
              <w:t>la société qui exerce sous le nom commercial NORMATYS, RCS Aix-en-Provence 878 397 595, siège Espace Wagner, Bâtiment A2, 10 rue du Lieutenant Parayre, 13290 Aix-en-Provence ; le formulaire demande sa dénomination sociale</w:t>
            </w:r>
          </w:p>
        </w:tc>
      </w:tr>
      <w:tr>
        <w:trPr>
          <w:cantSplit/>
        </w:trPr>
        <w:tc>
          <w:tcPr>
            <w:tcW w:type="dxa" w:w="3357"/>
            <w:vAlign w:val="center"/>
          </w:tcPr>
          <w:p>
            <w:pPr>
              <w:keepNext/>
              <w:spacing w:before="79" w:after="79" w:line="276" w:lineRule="auto"/>
            </w:pPr>
            <w:r>
              <w:rPr>
                <w:rFonts w:ascii="Calibri" w:hAnsi="Calibri"/>
                <w:sz w:val="20"/>
              </w:rPr>
              <w:t>Signataire</w:t>
            </w:r>
          </w:p>
        </w:tc>
        <w:tc>
          <w:tcPr>
            <w:tcW w:type="dxa" w:w="6281"/>
            <w:vAlign w:val="center"/>
          </w:tcPr>
          <w:p>
            <w:pPr>
              <w:keepNext/>
              <w:spacing w:before="79" w:after="79" w:line="276" w:lineRule="auto"/>
            </w:pPr>
            <w:r>
              <w:rPr>
                <w:rFonts w:ascii="Calibri" w:hAnsi="Calibri"/>
                <w:sz w:val="20"/>
              </w:rPr>
              <w:t>NORMAXIS, présidente, représentée par Cédric PLANTAZ, gérant</w:t>
            </w:r>
          </w:p>
        </w:tc>
      </w:tr>
      <w:tr>
        <w:trPr>
          <w:cantSplit/>
        </w:trPr>
        <w:tc>
          <w:tcPr>
            <w:tcW w:type="dxa" w:w="3357"/>
            <w:vAlign w:val="center"/>
          </w:tcPr>
          <w:p>
            <w:pPr>
              <w:keepNext/>
              <w:spacing w:before="79" w:after="79" w:line="276" w:lineRule="auto"/>
            </w:pPr>
            <w:r>
              <w:rPr>
                <w:rFonts w:ascii="Calibri" w:hAnsi="Calibri"/>
                <w:sz w:val="20"/>
              </w:rPr>
              <w:t>Territoire</w:t>
            </w:r>
          </w:p>
        </w:tc>
        <w:tc>
          <w:tcPr>
            <w:tcW w:type="dxa" w:w="6281"/>
            <w:vAlign w:val="center"/>
          </w:tcPr>
          <w:p>
            <w:pPr>
              <w:keepNext/>
              <w:spacing w:before="79" w:after="79" w:line="276" w:lineRule="auto"/>
            </w:pPr>
            <w:r>
              <w:rPr>
                <w:rFonts w:ascii="Calibri" w:hAnsi="Calibri"/>
                <w:sz w:val="20"/>
              </w:rPr>
              <w:t>France (marque nationale)</w:t>
            </w:r>
          </w:p>
        </w:tc>
      </w:tr>
      <w:tr>
        <w:trPr>
          <w:cantSplit/>
        </w:trPr>
        <w:tc>
          <w:tcPr>
            <w:tcW w:type="dxa" w:w="3357"/>
            <w:vAlign w:val="center"/>
          </w:tcPr>
          <w:p>
            <w:pPr>
              <w:keepNext/>
              <w:spacing w:before="79" w:after="79" w:line="276" w:lineRule="auto"/>
            </w:pPr>
            <w:r>
              <w:rPr>
                <w:rFonts w:ascii="Calibri" w:hAnsi="Calibri"/>
                <w:sz w:val="20"/>
              </w:rPr>
              <w:t>Classes</w:t>
            </w:r>
          </w:p>
        </w:tc>
        <w:tc>
          <w:tcPr>
            <w:tcW w:type="dxa" w:w="6281"/>
            <w:vAlign w:val="center"/>
          </w:tcPr>
          <w:p>
            <w:pPr>
              <w:keepNext/>
              <w:spacing w:before="79" w:after="79" w:line="276" w:lineRule="auto"/>
            </w:pPr>
            <w:r>
              <w:rPr>
                <w:rFonts w:ascii="Calibri" w:hAnsi="Calibri"/>
                <w:sz w:val="20"/>
              </w:rPr>
              <w:t>9, 41 et 42</w:t>
            </w:r>
          </w:p>
        </w:tc>
      </w:tr>
      <w:tr>
        <w:trPr>
          <w:cantSplit/>
        </w:trPr>
        <w:tc>
          <w:tcPr>
            <w:tcW w:type="dxa" w:w="3357"/>
            <w:vAlign w:val="center"/>
          </w:tcPr>
          <w:p>
            <w:pPr>
              <w:keepNext/>
              <w:spacing w:before="79" w:after="79" w:line="276" w:lineRule="auto"/>
            </w:pPr>
            <w:r>
              <w:rPr>
                <w:rFonts w:ascii="Calibri" w:hAnsi="Calibri"/>
                <w:sz w:val="20"/>
              </w:rPr>
              <w:t>Redevance</w:t>
            </w:r>
          </w:p>
        </w:tc>
        <w:tc>
          <w:tcPr>
            <w:tcW w:type="dxa" w:w="6281"/>
            <w:vAlign w:val="center"/>
          </w:tcPr>
          <w:p>
            <w:pPr>
              <w:keepNext/>
              <w:spacing w:before="79" w:after="79" w:line="276" w:lineRule="auto"/>
            </w:pPr>
            <w:r>
              <w:rPr>
                <w:rFonts w:ascii="Calibri" w:hAnsi="Calibri"/>
                <w:sz w:val="20"/>
              </w:rPr>
              <w:t>190 € pour la première classe, 40 € par classe supplémentaire, soit 270 € pour trois classes (barème de l'INPI applicable au 2 juillet 2026, à revoir au moment du paiement)</w:t>
            </w:r>
          </w:p>
        </w:tc>
      </w:tr>
      <w:tr>
        <w:trPr>
          <w:cantSplit/>
        </w:trPr>
        <w:tc>
          <w:tcPr>
            <w:tcW w:type="dxa" w:w="3357"/>
            <w:vAlign w:val="center"/>
          </w:tcPr>
          <w:p>
            <w:pPr>
              <w:spacing w:before="79" w:after="79" w:line="276" w:lineRule="auto"/>
            </w:pPr>
            <w:r>
              <w:rPr>
                <w:rFonts w:ascii="Calibri" w:hAnsi="Calibri"/>
                <w:sz w:val="20"/>
              </w:rPr>
              <w:t>Durée</w:t>
            </w:r>
          </w:p>
        </w:tc>
        <w:tc>
          <w:tcPr>
            <w:tcW w:type="dxa" w:w="6281"/>
            <w:vAlign w:val="center"/>
          </w:tcPr>
          <w:p>
            <w:pPr>
              <w:spacing w:before="79" w:after="79" w:line="276" w:lineRule="auto"/>
            </w:pPr>
            <w:r>
              <w:rPr>
                <w:rFonts w:ascii="Calibri" w:hAnsi="Calibri"/>
                <w:sz w:val="20"/>
              </w:rPr>
              <w:t>dix ans, renouvelable</w:t>
            </w:r>
          </w:p>
        </w:tc>
      </w:tr>
    </w:tbl>
    <w:p>
      <w:pPr>
        <w:pStyle w:val="Heading1"/>
        <w:keepNext/>
        <w:spacing w:before="397" w:after="170"/>
      </w:pPr>
      <w:r>
        <w:rPr>
          <w:rFonts w:ascii="Poppins" w:hAnsi="Poppins" w:cs="Poppins" w:eastAsia="Poppins"/>
          <w:color w:val="1A4F9C"/>
        </w:rPr>
        <w:t>Produits et services proposés</w:t>
      </w:r>
    </w:p>
    <w:p>
      <w:pPr>
        <w:spacing w:before="57" w:after="227" w:line="288" w:lineRule="auto"/>
      </w:pPr>
      <w:r>
        <w:rPr>
          <w:rFonts w:ascii="Calibri" w:hAnsi="Calibri"/>
          <w:sz w:val="20"/>
        </w:rPr>
        <w:t>Les libellés suivent la classification de Nice ; le portail de l'INPI propose ses propres formulations, à préférer quand elles disent la même chose.</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498"/>
        <w:gridCol w:w="7139"/>
      </w:tblGrid>
      <w:tr>
        <w:trPr>
          <w:tblHeader/>
          <w:cantSplit/>
        </w:trPr>
        <w:tc>
          <w:tcPr>
            <w:tcW w:type="dxa" w:w="2498"/>
            <w:vAlign w:val="center"/>
            <w:shd w:val="clear" w:color="auto" w:fill="202335"/>
          </w:tcPr>
          <w:p>
            <w:pPr>
              <w:keepNext/>
              <w:spacing w:before="79" w:after="79" w:line="276" w:lineRule="auto"/>
              <w:jc w:val="center"/>
            </w:pPr>
            <w:r>
              <w:rPr>
                <w:rFonts w:ascii="Calibri" w:hAnsi="Calibri"/>
                <w:b/>
                <w:color w:val="FFFFFF"/>
                <w:sz w:val="20"/>
              </w:rPr>
              <w:t>Classe</w:t>
            </w:r>
          </w:p>
        </w:tc>
        <w:tc>
          <w:tcPr>
            <w:tcW w:type="dxa" w:w="7139"/>
            <w:vAlign w:val="center"/>
            <w:shd w:val="clear" w:color="auto" w:fill="202335"/>
          </w:tcPr>
          <w:p>
            <w:pPr>
              <w:keepNext/>
              <w:spacing w:before="79" w:after="79" w:line="276" w:lineRule="auto"/>
            </w:pPr>
            <w:r>
              <w:rPr>
                <w:rFonts w:ascii="Calibri" w:hAnsi="Calibri"/>
                <w:b/>
                <w:color w:val="FFFFFF"/>
                <w:sz w:val="20"/>
              </w:rPr>
              <w:t>Libellés</w:t>
            </w:r>
          </w:p>
        </w:tc>
      </w:tr>
      <w:tr>
        <w:trPr>
          <w:cantSplit/>
        </w:trPr>
        <w:tc>
          <w:tcPr>
            <w:tcW w:type="dxa" w:w="2498"/>
            <w:vAlign w:val="center"/>
          </w:tcPr>
          <w:p>
            <w:pPr>
              <w:keepNext/>
              <w:spacing w:before="79" w:after="79" w:line="276" w:lineRule="auto"/>
              <w:jc w:val="center"/>
            </w:pPr>
            <w:r>
              <w:rPr>
                <w:rFonts w:ascii="Calibri" w:hAnsi="Calibri"/>
                <w:sz w:val="20"/>
              </w:rPr>
              <w:t>9</w:t>
            </w:r>
          </w:p>
        </w:tc>
        <w:tc>
          <w:tcPr>
            <w:tcW w:type="dxa" w:w="7139"/>
            <w:vAlign w:val="center"/>
          </w:tcPr>
          <w:p>
            <w:pPr>
              <w:keepNext/>
              <w:spacing w:before="79" w:after="79" w:line="276" w:lineRule="auto"/>
            </w:pPr>
            <w:r>
              <w:rPr>
                <w:rFonts w:ascii="Calibri" w:hAnsi="Calibri"/>
                <w:sz w:val="20"/>
              </w:rPr>
              <w:t>logiciels téléchargeables ; logiciels de calcul enregistrés ; programmes d'ordinateur téléchargeables pour le calcul d'indicateurs environnementaux ; publications électroniques téléchargeables</w:t>
            </w:r>
          </w:p>
        </w:tc>
      </w:tr>
      <w:tr>
        <w:trPr>
          <w:cantSplit/>
        </w:trPr>
        <w:tc>
          <w:tcPr>
            <w:tcW w:type="dxa" w:w="2498"/>
            <w:vAlign w:val="center"/>
          </w:tcPr>
          <w:p>
            <w:pPr>
              <w:keepNext/>
              <w:spacing w:before="79" w:after="79" w:line="276" w:lineRule="auto"/>
              <w:jc w:val="center"/>
            </w:pPr>
            <w:r>
              <w:rPr>
                <w:rFonts w:ascii="Calibri" w:hAnsi="Calibri"/>
                <w:sz w:val="20"/>
              </w:rPr>
              <w:t>41</w:t>
            </w:r>
          </w:p>
        </w:tc>
        <w:tc>
          <w:tcPr>
            <w:tcW w:type="dxa" w:w="7139"/>
            <w:vAlign w:val="center"/>
          </w:tcPr>
          <w:p>
            <w:pPr>
              <w:keepNext/>
              <w:spacing w:before="79" w:after="79" w:line="276" w:lineRule="auto"/>
            </w:pPr>
            <w:r>
              <w:rPr>
                <w:rFonts w:ascii="Calibri" w:hAnsi="Calibri"/>
                <w:sz w:val="20"/>
              </w:rPr>
              <w:t>formation ; organisation et conduite de séminaires et d'ateliers de formation ; publication de textes autres que textes publicitaires ; mise à disposition de publications électroniques en ligne non téléchargeables</w:t>
            </w:r>
          </w:p>
        </w:tc>
      </w:tr>
      <w:tr>
        <w:trPr>
          <w:cantSplit/>
        </w:trPr>
        <w:tc>
          <w:tcPr>
            <w:tcW w:type="dxa" w:w="2498"/>
            <w:vAlign w:val="center"/>
          </w:tcPr>
          <w:p>
            <w:pPr>
              <w:spacing w:before="79" w:after="79" w:line="276" w:lineRule="auto"/>
              <w:jc w:val="center"/>
            </w:pPr>
            <w:r>
              <w:rPr>
                <w:rFonts w:ascii="Calibri" w:hAnsi="Calibri"/>
                <w:sz w:val="20"/>
              </w:rPr>
              <w:t>42</w:t>
            </w:r>
          </w:p>
        </w:tc>
        <w:tc>
          <w:tcPr>
            <w:tcW w:type="dxa" w:w="7139"/>
            <w:vAlign w:val="center"/>
          </w:tcPr>
          <w:p>
            <w:pPr>
              <w:spacing w:before="79" w:after="79" w:line="276" w:lineRule="auto"/>
            </w:pPr>
            <w:r>
              <w:rPr>
                <w:rFonts w:ascii="Calibri" w:hAnsi="Calibri"/>
                <w:sz w:val="20"/>
              </w:rPr>
              <w:t>recherches scientifiques et techniques ; recherche en matière de protection de l'environnement ; conception et développement de logiciels ; mise à disposition temporaire en ligne de logiciels non téléchargeables ; logiciels en tant que service [SaaS] ; élaboration de normes et de méthodes techniques</w:t>
            </w:r>
          </w:p>
        </w:tc>
      </w:tr>
    </w:tbl>
    <w:p>
      <w:pPr>
        <w:spacing w:before="57" w:after="227" w:line="288" w:lineRule="auto"/>
      </w:pPr>
      <w:r>
        <w:rPr>
          <w:rFonts w:ascii="Calibri" w:hAnsi="Calibri"/>
          <w:sz w:val="20"/>
        </w:rPr>
        <w:t>La classe 42 couvre l'élaboration de la méthode par NORMATYS et l'usage en ligne de l'outil ; la classe 9, le moteur et l'utilitaire distribués ; la classe 41, les formations à la méthode. Les services de certification (classe 42 également) sont laissés de côté : la certification relève d'IRICE et de la marque Effinature.</w:t>
      </w:r>
    </w:p>
    <w:p>
      <w:pPr>
        <w:pStyle w:val="Heading1"/>
        <w:keepNext/>
        <w:spacing w:before="397" w:after="170"/>
      </w:pPr>
      <w:r>
        <w:rPr>
          <w:rFonts w:ascii="Poppins" w:hAnsi="Poppins" w:cs="Poppins" w:eastAsia="Poppins"/>
          <w:color w:val="1A4F9C"/>
        </w:rPr>
        <w:t>Points de vigilance</w:t>
      </w:r>
    </w:p>
    <w:p>
      <w:pPr>
        <w:pStyle w:val="ListBullet"/>
        <w:keepNext/>
        <w:spacing w:before="45" w:after="79" w:line="288" w:lineRule="auto"/>
        <w:jc w:val="both"/>
      </w:pPr>
      <w:r>
        <w:rPr>
          <w:rFonts w:ascii="Calibri" w:hAnsi="Calibri"/>
          <w:sz w:val="20"/>
        </w:rPr>
        <w:t>Sans recherche d'antériorité, un titulaire de marque antérieure peut former opposition dans les deux mois qui suivent la publication du dépôt au Bulletin officiel de la propriété industrielle, ou agir plus tard en nullité. Le risque se mesure en consultant ce bulletin dans ces deux mois.</w:t>
      </w:r>
    </w:p>
    <w:p>
      <w:pPr>
        <w:pStyle w:val="ListBullet"/>
        <w:keepNext/>
        <w:spacing w:before="45" w:after="79" w:line="288" w:lineRule="auto"/>
        <w:jc w:val="both"/>
      </w:pPr>
      <w:r>
        <w:rPr>
          <w:rFonts w:ascii="Calibri" w:hAnsi="Calibri"/>
          <w:sz w:val="20"/>
        </w:rPr>
        <w:t>La marque nationale ne protège qu'en France. Une marque de l'Union européenne (EUIPO) pourra être demandée dans les six mois du dépôt français en revendiquant sa date (priorité de la Convention de Paris), si la méthode doit servir hors de France.</w:t>
      </w:r>
    </w:p>
    <w:p>
      <w:pPr>
        <w:pStyle w:val="ListBullet"/>
        <w:keepNext/>
        <w:spacing w:before="45" w:after="79" w:line="288" w:lineRule="auto"/>
        <w:jc w:val="both"/>
      </w:pPr>
      <w:r>
        <w:rPr>
          <w:rFonts w:ascii="Calibri" w:hAnsi="Calibri"/>
          <w:sz w:val="20"/>
        </w:rPr>
        <w:t>Le nom s'écrit toujours OpenNAT, à l'identique dans la méthode, le moteur, l'utilitaire et les sites.</w:t>
      </w:r>
    </w:p>
    <w:p>
      <w:pPr>
        <w:pStyle w:val="ListBullet"/>
        <w:keepNext w:val="0"/>
        <w:spacing w:before="45" w:after="79" w:line="288" w:lineRule="auto"/>
        <w:jc w:val="both"/>
      </w:pPr>
      <w:r>
        <w:rPr>
          <w:rFonts w:ascii="Calibri" w:hAnsi="Calibri"/>
          <w:sz w:val="20"/>
        </w:rPr>
        <w:t>Une fois la marque enregistrée, NORMATYS en publie les conditions d'usage avec la méthode : nom réservé aux calculs selon une version adoptée, sans modification ; mention « OpenNAT est une marque de NORMATYS ».</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Dépôt du nom OpenNAT à l'INPI</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