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estinataire"/>
        <w:spacing w:before="57" w:after="227" w:line="288" w:lineRule="auto"/>
        <w:jc w:val="left"/>
      </w:pPr>
      <w:r>
        <w:rPr>
          <w:rFonts w:ascii="Calibri" w:hAnsi="Calibri"/>
          <w:sz w:val="20"/>
        </w:rPr>
        <w:t>Mesdames et Messieurs les membres</w:t>
        <w:br/>
        <w:t>du Biodiversity Standard Council</w:t>
        <w:br/>
        <w:t>aux soins du secrétariat du comité, IRICE</w:t>
        <w:br/>
        <w:t>Espace Wagner, Bâtiment A2</w:t>
        <w:br/>
        <w:t>10 rue du Lieutenant Parayre</w:t>
        <w:br/>
        <w:t>13290 Aix-en-Provence</w:t>
      </w:r>
    </w:p>
    <w:p>
      <w:pPr>
        <w:pStyle w:val="Lieuetdate"/>
        <w:spacing w:before="57" w:after="227" w:line="288" w:lineRule="auto"/>
        <w:jc w:val="left"/>
      </w:pPr>
      <w:r>
        <w:rPr>
          <w:rFonts w:ascii="Calibri" w:hAnsi="Calibri"/>
          <w:sz w:val="20"/>
        </w:rPr>
        <w:t>Aix-en-Provence, le 19 octobre 2026</w:t>
      </w:r>
    </w:p>
    <w:p>
      <w:pPr>
        <w:pStyle w:val="Title"/>
        <w:spacing w:before="227" w:after="340"/>
      </w:pPr>
      <w:r>
        <w:rPr>
          <w:rFonts w:ascii="Poppins" w:hAnsi="Poppins" w:cs="Poppins" w:eastAsia="Poppins"/>
          <w:color w:val="1A4F9C"/>
        </w:rPr>
        <w:t>Soumission de la méthode de calcul OpenNAT 1</w:t>
      </w:r>
    </w:p>
    <w:p>
      <w:pPr>
        <w:spacing w:before="57" w:after="227" w:line="288" w:lineRule="auto"/>
      </w:pPr>
      <w:r>
        <w:rPr>
          <w:rFonts w:ascii="Calibri" w:hAnsi="Calibri"/>
          <w:sz w:val="20"/>
        </w:rPr>
        <w:t>Mesdames, Messieurs,</w:t>
      </w:r>
    </w:p>
    <w:p>
      <w:pPr>
        <w:spacing w:before="57" w:after="227" w:line="288" w:lineRule="auto"/>
      </w:pPr>
      <w:r>
        <w:rPr>
          <w:rFonts w:ascii="Calibri" w:hAnsi="Calibri"/>
          <w:sz w:val="20"/>
        </w:rPr>
        <w:t>NORMATYS soumet au Biodiversity Standard Council la méthode de calcul OpenNAT 1. Elle compare sur cinquante ans la valeur écologique d'un site avant et après un projet de construction et y ajoute la nature consommée ailleurs par les matériaux et le chantier, en mètres carrés d'habitat équivalent. Comme pour nos référentiels, le comité valide la version définitive avant que NORMATYS l'adopte et la publie ; tant qu'il ne s'est pas prononcé, la méthode, ses seuils et ses résultats ne sont pas opposables.</w:t>
      </w:r>
    </w:p>
    <w:p>
      <w:pPr>
        <w:spacing w:before="57" w:after="227" w:line="288" w:lineRule="auto"/>
      </w:pPr>
      <w:r>
        <w:rPr>
          <w:rFonts w:ascii="Calibri" w:hAnsi="Calibri"/>
          <w:sz w:val="20"/>
        </w:rPr>
        <w:t>Le dossier de soumission joint dit ce que nous vous demandons : valider la méthode et ses 70 conventions, ou dire lesquelles reprendre ; trancher dix décisions, dont trois portent sur la biodiversité grise (bois, emprises industrielles, pollution) et changent les résultats ; fixer les seuils, aujourd'hui proposés. Chaque option est chiffrée par le moteur de calcul et accompagnée de notre recommandation ; une note distincte traite la pollution.</w:t>
      </w:r>
    </w:p>
    <w:p>
      <w:pPr>
        <w:spacing w:before="57" w:after="227" w:line="288" w:lineRule="auto"/>
      </w:pPr>
      <w:r>
        <w:rPr>
          <w:rFonts w:ascii="Calibri" w:hAnsi="Calibri"/>
          <w:sz w:val="20"/>
        </w:rPr>
        <w:t>Nous proposons deux séances. La première porterait sur la présentation de la méthode, ses vérifications et les décisions D4 et D6 à D9 ; la seconde, sur les décisions D1 à D3, D5 et D10 et sur la validation de la version. Le secrétariat du comité vous proposera des dates.</w:t>
      </w:r>
    </w:p>
    <w:p>
      <w:pPr>
        <w:spacing w:before="57" w:after="227" w:line="288" w:lineRule="auto"/>
      </w:pPr>
      <w:r>
        <w:rPr>
          <w:rFonts w:ascii="Calibri" w:hAnsi="Calibri"/>
          <w:sz w:val="20"/>
        </w:rPr>
        <w:t>Ces documents ne sont pas publics : la méthode, ses tables et son moteur ne seront diffusés qu'après leur adoption. Nous vous remercions de les réserver aux travaux du comité.</w:t>
      </w:r>
    </w:p>
    <w:p>
      <w:pPr>
        <w:keepNext/>
        <w:spacing w:before="57" w:after="227" w:line="288" w:lineRule="auto"/>
      </w:pPr>
      <w:r>
        <w:rPr>
          <w:rFonts w:ascii="Calibri" w:hAnsi="Calibri"/>
          <w:sz w:val="20"/>
        </w:rPr>
        <w:t>Nous vous prions de croire, Mesdames, Messieurs, à l'assurance de notre considération distinguée.</w:t>
      </w:r>
    </w:p>
    <w:p>
      <w:pPr>
        <w:pStyle w:val="Signature"/>
        <w:spacing w:before="57" w:after="227" w:line="288" w:lineRule="auto"/>
      </w:pPr>
      <w:r>
        <w:rPr>
          <w:rFonts w:ascii="Calibri" w:hAnsi="Calibri"/>
          <w:sz w:val="20"/>
        </w:rPr>
        <w:t>Pour NORMATYS</w:t>
        <w:br/>
        <w:t>NORMAXIS, présidente,</w:t>
        <w:br/>
        <w:t>représentée par Cédric PLANTAZ, gérant</w:t>
      </w:r>
    </w:p>
    <w:p>
      <w:pPr>
        <w:pStyle w:val="Heading1"/>
        <w:keepNext/>
        <w:spacing w:before="397" w:after="170"/>
      </w:pPr>
      <w:r>
        <w:rPr>
          <w:rFonts w:ascii="Poppins" w:hAnsi="Poppins" w:cs="Poppins" w:eastAsia="Poppins"/>
          <w:color w:val="1A4F9C"/>
        </w:rPr>
        <w:t>Pièces jointes</w:t>
      </w:r>
    </w:p>
    <w:p>
      <w:pPr>
        <w:pStyle w:val="ListBullet"/>
        <w:keepNext/>
        <w:spacing w:before="45" w:after="79" w:line="288" w:lineRule="auto"/>
        <w:jc w:val="both"/>
      </w:pPr>
      <w:r>
        <w:rPr>
          <w:rFonts w:ascii="Calibri" w:hAnsi="Calibri"/>
          <w:sz w:val="20"/>
        </w:rPr>
        <w:t>Dossier de soumission : demande, vérifications, dix décisions, 70 conventions (15 pages)</w:t>
      </w:r>
    </w:p>
    <w:p>
      <w:pPr>
        <w:pStyle w:val="ListBullet"/>
        <w:keepNext/>
        <w:spacing w:before="45" w:after="79" w:line="288" w:lineRule="auto"/>
        <w:jc w:val="both"/>
      </w:pPr>
      <w:r>
        <w:rPr>
          <w:rFonts w:ascii="Calibri" w:hAnsi="Calibri"/>
          <w:sz w:val="20"/>
        </w:rPr>
        <w:t>Note de décision sur la pollution (décision D3) (5 pages)</w:t>
      </w:r>
    </w:p>
    <w:p>
      <w:pPr>
        <w:pStyle w:val="ListBullet"/>
        <w:keepNext/>
        <w:spacing w:before="45" w:after="79" w:line="288" w:lineRule="auto"/>
        <w:jc w:val="both"/>
      </w:pPr>
      <w:r>
        <w:rPr>
          <w:rFonts w:ascii="Calibri" w:hAnsi="Calibri"/>
          <w:sz w:val="20"/>
        </w:rPr>
        <w:t>Texte de la méthode OpenNAT 1 (24 pages)</w:t>
      </w:r>
    </w:p>
    <w:p>
      <w:pPr>
        <w:pStyle w:val="ListBullet"/>
        <w:keepNext/>
        <w:spacing w:before="45" w:after="79" w:line="288" w:lineRule="auto"/>
        <w:jc w:val="both"/>
      </w:pPr>
      <w:r>
        <w:rPr>
          <w:rFonts w:ascii="Calibri" w:hAnsi="Calibri"/>
          <w:sz w:val="20"/>
        </w:rPr>
        <w:t>Édition complète de la méthode (fiches algorithmes, données, fiches habitats, cas de validation) (2 149 pages)</w:t>
      </w:r>
    </w:p>
    <w:p>
      <w:pPr>
        <w:pStyle w:val="ListBullet"/>
        <w:keepNext/>
        <w:spacing w:before="45" w:after="79" w:line="288" w:lineRule="auto"/>
        <w:jc w:val="both"/>
      </w:pPr>
      <w:r>
        <w:rPr>
          <w:rFonts w:ascii="Calibri" w:hAnsi="Calibri"/>
          <w:sz w:val="20"/>
        </w:rPr>
        <w:t>Contrôle d'ordre de grandeur de la biodiversité grise (4 pages)</w:t>
      </w:r>
    </w:p>
    <w:p>
      <w:pPr>
        <w:pStyle w:val="ListBullet"/>
        <w:keepNext/>
        <w:spacing w:before="45" w:after="79" w:line="288" w:lineRule="auto"/>
        <w:jc w:val="both"/>
      </w:pPr>
      <w:r>
        <w:rPr>
          <w:rFonts w:ascii="Calibri" w:hAnsi="Calibri"/>
          <w:sz w:val="20"/>
        </w:rPr>
        <w:t>Guide utilisateur de l'outil de calcul (6 pages)</w:t>
      </w:r>
    </w:p>
    <w:p>
      <w:pPr>
        <w:pStyle w:val="ListBullet"/>
        <w:keepNext/>
        <w:spacing w:before="45" w:after="79" w:line="288" w:lineRule="auto"/>
        <w:jc w:val="both"/>
      </w:pPr>
      <w:r>
        <w:rPr>
          <w:rFonts w:ascii="Calibri" w:hAnsi="Calibri"/>
          <w:sz w:val="20"/>
        </w:rPr>
        <w:t>Guide du contributeur : proposer une valeur avec sa source (5 pages)</w:t>
      </w:r>
    </w:p>
    <w:p>
      <w:pPr>
        <w:pStyle w:val="ListBullet"/>
        <w:keepNext w:val="0"/>
        <w:spacing w:before="45" w:after="79" w:line="288" w:lineRule="auto"/>
        <w:jc w:val="both"/>
      </w:pPr>
      <w:r>
        <w:rPr>
          <w:rFonts w:ascii="Calibri" w:hAnsi="Calibri"/>
          <w:sz w:val="20"/>
        </w:rPr>
        <w:t>Journal des versions de la méthode, des données et du moteur (3 pages)</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1"/>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400"/>
      <w:contextualSpacing/>
      <w:jc w:val="center"/>
    </w:pPr>
    <w:rPr>
      <w:rFonts w:ascii="Poppins" w:hAnsi="Poppins" w:eastAsia="Poppins" w:cs="Poppins"/>
      <w:b/>
      <w:i w:val="0"/>
      <w:color w:val="1A4F9C"/>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tinataire">
    <w:name w:val="Destinataire"/>
    <w:basedOn w:val="Normal"/>
    <w:pPr>
      <w:keepLines/>
      <w:spacing w:before="227" w:after="283"/>
      <w:ind w:left="5386"/>
    </w:pPr>
    <w:rPr>
      <w:rFonts w:ascii="Calibri" w:hAnsi="Calibri" w:eastAsia="Calibri" w:cs="Calibri"/>
      <w:sz w:val="20"/>
    </w:rPr>
  </w:style>
  <w:style w:type="paragraph" w:customStyle="1" w:styleId="Lieuetdate">
    <w:name w:val="Lieu et date"/>
    <w:basedOn w:val="Normal"/>
    <w:pPr>
      <w:keepLines/>
      <w:spacing w:before="170" w:after="510"/>
      <w:ind w:left="5386"/>
    </w:pPr>
    <w:rPr>
      <w:rFonts w:ascii="Calibri" w:hAnsi="Calibri" w:eastAsia="Calibri" w:cs="Calibri"/>
      <w:sz w:val="20"/>
    </w:rPr>
  </w:style>
  <w:style w:type="paragraph" w:customStyle="1" w:styleId="Signature">
    <w:name w:val="Signature"/>
    <w:basedOn w:val="Normal"/>
    <w:pPr>
      <w:keepLines/>
      <w:spacing w:before="340" w:after="113"/>
      <w:ind w:left="5386"/>
    </w:pPr>
    <w:rPr>
      <w:rFonts w:ascii="Calibri" w:hAnsi="Calibri" w:eastAsia="Calibri" w:cs="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Soumission de la méthode de calcul OpenNAT 1 au Biodiversity Standard Council</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