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13"/>
        <w:jc w:val="center"/>
      </w:pPr>
      <w:r>
        <w:drawing>
          <wp:inline xmlns:a="http://schemas.openxmlformats.org/drawingml/2006/main" xmlns:pic="http://schemas.openxmlformats.org/drawingml/2006/picture">
            <wp:extent cx="1800000" cy="407571"/>
            <wp:docPr id="1" name="Picture 1"/>
            <wp:cNvGraphicFramePr>
              <a:graphicFrameLocks noChangeAspect="1"/>
            </wp:cNvGraphicFramePr>
            <a:graphic>
              <a:graphicData uri="http://schemas.openxmlformats.org/drawingml/2006/picture">
                <pic:pic>
                  <pic:nvPicPr>
                    <pic:cNvPr id="0" name="opennat_logo.png"/>
                    <pic:cNvPicPr/>
                  </pic:nvPicPr>
                  <pic:blipFill>
                    <a:blip r:embed="rId13"/>
                    <a:stretch>
                      <a:fillRect/>
                    </a:stretch>
                  </pic:blipFill>
                  <pic:spPr>
                    <a:xfrm>
                      <a:off x="0" y="0"/>
                      <a:ext cx="1800000" cy="407571"/>
                    </a:xfrm>
                    <a:prstGeom prst="rect"/>
                  </pic:spPr>
                </pic:pic>
              </a:graphicData>
            </a:graphic>
          </wp:inline>
        </w:drawing>
      </w:r>
    </w:p>
    <w:p>
      <w:pPr>
        <w:pStyle w:val="Title"/>
        <w:spacing w:before="113" w:after="340"/>
      </w:pPr>
      <w:r>
        <w:rPr>
          <w:rFonts w:ascii="Poppins" w:hAnsi="Poppins" w:cs="Poppins" w:eastAsia="Poppins"/>
          <w:color w:val="1A4F9C"/>
        </w:rPr>
        <w:t>Dossier de soumission de la méthode OpenNAT Crédits au Biodiversity Standard Council</w:t>
      </w:r>
    </w:p>
    <w:p>
      <w:pPr>
        <w:spacing w:before="57" w:after="227" w:line="288" w:lineRule="auto"/>
      </w:pPr>
      <w:r>
        <w:rPr>
          <w:rFonts w:ascii="Calibri" w:hAnsi="Calibri"/>
          <w:sz w:val="20"/>
        </w:rPr>
        <w:t>NORMATYS, 24 octobre 2026. Complément au dossier de soumission de la méthode OpenNAT 1.</w:t>
      </w:r>
    </w:p>
    <w:p>
      <w:pPr>
        <w:pStyle w:val="Heading1"/>
        <w:keepNext/>
        <w:spacing w:before="397" w:after="170"/>
      </w:pPr>
      <w:r>
        <w:rPr>
          <w:rFonts w:ascii="Poppins" w:hAnsi="Poppins" w:cs="Poppins" w:eastAsia="Poppins"/>
          <w:color w:val="1A4F9C"/>
        </w:rPr>
        <w:t>Objet de la demande</w:t>
      </w:r>
    </w:p>
    <w:p>
      <w:pPr>
        <w:spacing w:before="57" w:after="227" w:line="288" w:lineRule="auto"/>
      </w:pPr>
      <w:r>
        <w:rPr>
          <w:rFonts w:ascii="Calibri" w:hAnsi="Calibri"/>
          <w:sz w:val="20"/>
        </w:rPr>
        <w:t>NORMATYS demande au conseil de valider la méthode OpenNAT Crédits, version 1, ses 19 conventions de la famille X et son volet « méthode de calcul du gain des sites France Crédits Biodiversité ». La méthode ne modifie aucun calcul d'OpenNAT 1 : elle les applique à quatre états du site (initial, projet, scénario de référence, variante d'obligations) et aux états relevés sur le terrain, puis compare leurs résultats pour mesurer un gain créditable.</w:t>
      </w:r>
    </w:p>
    <w:p>
      <w:pPr>
        <w:spacing w:before="57" w:after="227" w:line="288" w:lineRule="auto"/>
      </w:pPr>
      <w:r>
        <w:rPr>
          <w:rFonts w:ascii="Calibri" w:hAnsi="Calibri"/>
          <w:sz w:val="20"/>
        </w:rPr>
        <w:t>La validation de la méthode OpenNAT Crédits suppose celle d'OpenNAT 1. Les deux dossiers peuvent être instruits ensemble ; aucune émission n'aura lieu avant la validation des deux.</w:t>
      </w:r>
    </w:p>
    <w:p>
      <w:pPr>
        <w:pStyle w:val="Heading1"/>
        <w:keepNext/>
        <w:spacing w:before="397" w:after="170"/>
      </w:pPr>
      <w:r>
        <w:rPr>
          <w:rFonts w:ascii="Poppins" w:hAnsi="Poppins" w:cs="Poppins" w:eastAsia="Poppins"/>
          <w:color w:val="1A4F9C"/>
        </w:rPr>
        <w:t>La méthode en bref</w:t>
      </w:r>
    </w:p>
    <w:p>
      <w:pPr>
        <w:spacing w:before="57" w:after="227" w:line="288" w:lineRule="auto"/>
      </w:pPr>
      <w:r>
        <w:rPr>
          <w:rFonts w:ascii="Calibri" w:hAnsi="Calibri"/>
          <w:sz w:val="20"/>
        </w:rPr>
        <w:t>Un crédit OpenNAT vaut 1 000 m²HE·an de gain de nature, mesuré au-dessus de ce que le site serait devenu sans le projet et de ce que le porteur était tenu de faire, retenu au 10e centile de 1 000 tirages, constaté par des relevés de terrain aux années 1, 3, 5, 10, 15, 20, 30, 40 et 50, vérifié par un tiers, garanti 50 ans par une obligation réelle environnementale et par une réserve commune de 20 à 40 % des émissions. Un crédit se cède une fois, puis se retire avec une déclaration de contribution ; il ne se revend pas et ne vaut pas compensation.</w:t>
      </w:r>
    </w:p>
    <w:p>
      <w:pPr>
        <w:pStyle w:val="Heading1"/>
        <w:keepNext/>
        <w:spacing w:before="397" w:after="170"/>
      </w:pPr>
      <w:r>
        <w:rPr>
          <w:rFonts w:ascii="Poppins" w:hAnsi="Poppins" w:cs="Poppins" w:eastAsia="Poppins"/>
          <w:color w:val="1A4F9C"/>
        </w:rPr>
        <w:t>Ce qui a été vérifié</w:t>
      </w:r>
    </w:p>
    <w:p>
      <w:pPr>
        <w:pStyle w:val="ListBullet"/>
        <w:keepNext/>
        <w:spacing w:before="45" w:after="79" w:line="288" w:lineRule="auto"/>
        <w:jc w:val="both"/>
      </w:pPr>
      <w:r>
        <w:rPr>
          <w:rFonts w:ascii="Calibri" w:hAnsi="Calibri"/>
          <w:sz w:val="20"/>
        </w:rPr>
        <w:t>Chaque convention est rapprochée des règles publiées par Verra (Nature Framework, VCS, outil de risque AFOLU), Plan Vivo (PV Nature), Gold Standard, la Biodiversity Credit Alliance et la métrique anglaise de gain net, lues le 24/10/2026, et du régime français des sites agréés.</w:t>
      </w:r>
    </w:p>
    <w:p>
      <w:pPr>
        <w:pStyle w:val="ListBullet"/>
        <w:keepNext/>
        <w:spacing w:before="45" w:after="79" w:line="288" w:lineRule="auto"/>
        <w:jc w:val="both"/>
      </w:pPr>
      <w:r>
        <w:rPr>
          <w:rFonts w:ascii="Calibri" w:hAnsi="Calibri"/>
          <w:sz w:val="20"/>
        </w:rPr>
        <w:t>L'exemple de l'annexe B montre l'enchaînement des formules sur des valeurs fictives. Les exemples calculés par le moteur seront joints au dossier après le lot 2.</w:t>
      </w:r>
    </w:p>
    <w:p>
      <w:pPr>
        <w:pStyle w:val="ListBullet"/>
        <w:keepNext w:val="0"/>
        <w:spacing w:before="45" w:after="79" w:line="288" w:lineRule="auto"/>
        <w:jc w:val="both"/>
      </w:pPr>
      <w:r>
        <w:rPr>
          <w:rFonts w:ascii="Calibri" w:hAnsi="Calibri"/>
          <w:sz w:val="20"/>
        </w:rPr>
        <w:t>Écarts assumés aux standards : calendrier de vérification plus dense au début (C-X12), plafond de réserve plus bas que Verra (C-X11), centile de tirages au lieu d'une décote (C-X9), pas de crédit de perte évitée (C-X5).</w:t>
      </w:r>
    </w:p>
    <w:p>
      <w:pPr>
        <w:pStyle w:val="Heading1"/>
        <w:keepNext/>
        <w:spacing w:before="397" w:after="170"/>
      </w:pPr>
      <w:r>
        <w:rPr>
          <w:rFonts w:ascii="Poppins" w:hAnsi="Poppins" w:cs="Poppins" w:eastAsia="Poppins"/>
          <w:color w:val="1A4F9C"/>
        </w:rPr>
        <w:t>Décisions demandées</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858"/>
        <w:gridCol w:w="3003"/>
        <w:gridCol w:w="1486"/>
        <w:gridCol w:w="4290"/>
      </w:tblGrid>
      <w:tr>
        <w:trPr>
          <w:tblHeader/>
          <w:cantSplit/>
        </w:trPr>
        <w:tc>
          <w:tcPr>
            <w:tcW w:type="dxa" w:w="858"/>
            <w:vAlign w:val="center"/>
            <w:shd w:val="clear" w:color="auto" w:fill="202335"/>
          </w:tcPr>
          <w:p>
            <w:pPr>
              <w:keepNext/>
              <w:spacing w:before="79" w:after="79" w:line="276" w:lineRule="auto"/>
            </w:pPr>
            <w:r>
              <w:rPr>
                <w:rFonts w:ascii="Calibri" w:hAnsi="Calibri"/>
                <w:b/>
                <w:color w:val="FFFFFF"/>
                <w:sz w:val="20"/>
              </w:rPr>
              <w:t>N°</w:t>
            </w:r>
          </w:p>
        </w:tc>
        <w:tc>
          <w:tcPr>
            <w:tcW w:type="dxa" w:w="3003"/>
            <w:vAlign w:val="center"/>
            <w:shd w:val="clear" w:color="auto" w:fill="202335"/>
          </w:tcPr>
          <w:p>
            <w:pPr>
              <w:keepNext/>
              <w:spacing w:before="79" w:after="79" w:line="276" w:lineRule="auto"/>
            </w:pPr>
            <w:r>
              <w:rPr>
                <w:rFonts w:ascii="Calibri" w:hAnsi="Calibri"/>
                <w:b/>
                <w:color w:val="FFFFFF"/>
                <w:sz w:val="20"/>
              </w:rPr>
              <w:t>Objet</w:t>
            </w:r>
          </w:p>
        </w:tc>
        <w:tc>
          <w:tcPr>
            <w:tcW w:type="dxa" w:w="1486"/>
            <w:vAlign w:val="center"/>
            <w:shd w:val="clear" w:color="auto" w:fill="202335"/>
          </w:tcPr>
          <w:p>
            <w:pPr>
              <w:keepNext/>
              <w:spacing w:before="79" w:after="79" w:line="276" w:lineRule="auto"/>
            </w:pPr>
            <w:r>
              <w:rPr>
                <w:rFonts w:ascii="Calibri" w:hAnsi="Calibri"/>
                <w:b/>
                <w:color w:val="FFFFFF"/>
                <w:sz w:val="20"/>
              </w:rPr>
              <w:t>Conventions</w:t>
            </w:r>
          </w:p>
        </w:tc>
        <w:tc>
          <w:tcPr>
            <w:tcW w:type="dxa" w:w="4290"/>
            <w:vAlign w:val="center"/>
            <w:shd w:val="clear" w:color="auto" w:fill="202335"/>
          </w:tcPr>
          <w:p>
            <w:pPr>
              <w:keepNext/>
              <w:spacing w:before="79" w:after="79" w:line="276" w:lineRule="auto"/>
            </w:pPr>
            <w:r>
              <w:rPr>
                <w:rFonts w:ascii="Calibri" w:hAnsi="Calibri"/>
                <w:b/>
                <w:color w:val="FFFFFF"/>
                <w:sz w:val="20"/>
              </w:rPr>
              <w:t>Proposition</w:t>
            </w:r>
          </w:p>
        </w:tc>
      </w:tr>
      <w:tr>
        <w:trPr>
          <w:cantSplit/>
        </w:trPr>
        <w:tc>
          <w:tcPr>
            <w:tcW w:type="dxa" w:w="858"/>
            <w:vAlign w:val="center"/>
          </w:tcPr>
          <w:p>
            <w:pPr>
              <w:keepNext/>
              <w:spacing w:before="79" w:after="79" w:line="276" w:lineRule="auto"/>
            </w:pPr>
            <w:r>
              <w:rPr>
                <w:rFonts w:ascii="Calibri" w:hAnsi="Calibri"/>
                <w:sz w:val="20"/>
              </w:rPr>
              <w:t>DC1</w:t>
            </w:r>
          </w:p>
        </w:tc>
        <w:tc>
          <w:tcPr>
            <w:tcW w:type="dxa" w:w="3003"/>
            <w:vAlign w:val="center"/>
          </w:tcPr>
          <w:p>
            <w:pPr>
              <w:keepNext/>
              <w:spacing w:before="79" w:after="79" w:line="276" w:lineRule="auto"/>
            </w:pPr>
            <w:r>
              <w:rPr>
                <w:rFonts w:ascii="Calibri" w:hAnsi="Calibri"/>
                <w:sz w:val="20"/>
              </w:rPr>
              <w:t>Taille du crédit</w:t>
            </w:r>
          </w:p>
        </w:tc>
        <w:tc>
          <w:tcPr>
            <w:tcW w:type="dxa" w:w="1486"/>
            <w:vAlign w:val="center"/>
          </w:tcPr>
          <w:p>
            <w:pPr>
              <w:keepNext/>
              <w:spacing w:before="79" w:after="79" w:line="276" w:lineRule="auto"/>
            </w:pPr>
            <w:r>
              <w:rPr>
                <w:rFonts w:ascii="Calibri" w:hAnsi="Calibri"/>
                <w:sz w:val="20"/>
              </w:rPr>
              <w:t>C-X1</w:t>
            </w:r>
          </w:p>
        </w:tc>
        <w:tc>
          <w:tcPr>
            <w:tcW w:type="dxa" w:w="4290"/>
            <w:vAlign w:val="center"/>
          </w:tcPr>
          <w:p>
            <w:pPr>
              <w:keepNext/>
              <w:spacing w:before="79" w:after="79" w:line="276" w:lineRule="auto"/>
            </w:pPr>
            <w:r>
              <w:rPr>
                <w:rFonts w:ascii="Calibri" w:hAnsi="Calibri"/>
                <w:sz w:val="20"/>
              </w:rPr>
              <w:t>1 000 m²HE·an, à confirmer sur le banc</w:t>
            </w:r>
          </w:p>
        </w:tc>
      </w:tr>
      <w:tr>
        <w:trPr>
          <w:cantSplit/>
        </w:trPr>
        <w:tc>
          <w:tcPr>
            <w:tcW w:type="dxa" w:w="858"/>
            <w:vAlign w:val="center"/>
          </w:tcPr>
          <w:p>
            <w:pPr>
              <w:keepNext/>
              <w:spacing w:before="79" w:after="79" w:line="276" w:lineRule="auto"/>
            </w:pPr>
            <w:r>
              <w:rPr>
                <w:rFonts w:ascii="Calibri" w:hAnsi="Calibri"/>
                <w:sz w:val="20"/>
              </w:rPr>
              <w:t>DC2</w:t>
            </w:r>
          </w:p>
        </w:tc>
        <w:tc>
          <w:tcPr>
            <w:tcW w:type="dxa" w:w="3003"/>
            <w:vAlign w:val="center"/>
          </w:tcPr>
          <w:p>
            <w:pPr>
              <w:keepNext/>
              <w:spacing w:before="79" w:after="79" w:line="276" w:lineRule="auto"/>
            </w:pPr>
            <w:r>
              <w:rPr>
                <w:rFonts w:ascii="Calibri" w:hAnsi="Calibri"/>
                <w:sz w:val="20"/>
              </w:rPr>
              <w:t>Scénario de référence modélisé</w:t>
            </w:r>
          </w:p>
        </w:tc>
        <w:tc>
          <w:tcPr>
            <w:tcW w:type="dxa" w:w="1486"/>
            <w:vAlign w:val="center"/>
          </w:tcPr>
          <w:p>
            <w:pPr>
              <w:keepNext/>
              <w:spacing w:before="79" w:after="79" w:line="276" w:lineRule="auto"/>
            </w:pPr>
            <w:r>
              <w:rPr>
                <w:rFonts w:ascii="Calibri" w:hAnsi="Calibri"/>
                <w:sz w:val="20"/>
              </w:rPr>
              <w:t>C-X4</w:t>
            </w:r>
          </w:p>
        </w:tc>
        <w:tc>
          <w:tcPr>
            <w:tcW w:type="dxa" w:w="4290"/>
            <w:vAlign w:val="center"/>
          </w:tcPr>
          <w:p>
            <w:pPr>
              <w:keepNext/>
              <w:spacing w:before="79" w:after="79" w:line="276" w:lineRule="auto"/>
            </w:pPr>
            <w:r>
              <w:rPr>
                <w:rFonts w:ascii="Calibri" w:hAnsi="Calibri"/>
                <w:sz w:val="20"/>
              </w:rPr>
              <w:t>référence modélisée par le moteur, hypothèse la plus favorable à la nature, réexamen décennal ; pas de sites témoins en version 1</w:t>
            </w:r>
          </w:p>
        </w:tc>
      </w:tr>
      <w:tr>
        <w:trPr>
          <w:cantSplit/>
        </w:trPr>
        <w:tc>
          <w:tcPr>
            <w:tcW w:type="dxa" w:w="858"/>
            <w:vAlign w:val="center"/>
          </w:tcPr>
          <w:p>
            <w:pPr>
              <w:keepNext/>
              <w:spacing w:before="79" w:after="79" w:line="276" w:lineRule="auto"/>
            </w:pPr>
            <w:r>
              <w:rPr>
                <w:rFonts w:ascii="Calibri" w:hAnsi="Calibri"/>
                <w:sz w:val="20"/>
              </w:rPr>
              <w:t>DC3</w:t>
            </w:r>
          </w:p>
        </w:tc>
        <w:tc>
          <w:tcPr>
            <w:tcW w:type="dxa" w:w="3003"/>
            <w:vAlign w:val="center"/>
          </w:tcPr>
          <w:p>
            <w:pPr>
              <w:keepNext/>
              <w:spacing w:before="79" w:after="79" w:line="276" w:lineRule="auto"/>
            </w:pPr>
            <w:r>
              <w:rPr>
                <w:rFonts w:ascii="Calibri" w:hAnsi="Calibri"/>
                <w:sz w:val="20"/>
              </w:rPr>
              <w:t>Biodiversité grise des opérations de construction</w:t>
            </w:r>
          </w:p>
        </w:tc>
        <w:tc>
          <w:tcPr>
            <w:tcW w:type="dxa" w:w="1486"/>
            <w:vAlign w:val="center"/>
          </w:tcPr>
          <w:p>
            <w:pPr>
              <w:keepNext/>
              <w:spacing w:before="79" w:after="79" w:line="276" w:lineRule="auto"/>
            </w:pPr>
            <w:r>
              <w:rPr>
                <w:rFonts w:ascii="Calibri" w:hAnsi="Calibri"/>
                <w:sz w:val="20"/>
              </w:rPr>
              <w:t>C-X10</w:t>
            </w:r>
          </w:p>
        </w:tc>
        <w:tc>
          <w:tcPr>
            <w:tcW w:type="dxa" w:w="4290"/>
            <w:vAlign w:val="center"/>
          </w:tcPr>
          <w:p>
            <w:pPr>
              <w:keepNext/>
              <w:spacing w:before="79" w:after="79" w:line="276" w:lineRule="auto"/>
            </w:pPr>
            <w:r>
              <w:rPr>
                <w:rFonts w:ascii="Calibri" w:hAnsi="Calibri"/>
                <w:sz w:val="20"/>
              </w:rPr>
              <w:t>Inat non déduit, publié avec chaque lot</w:t>
            </w:r>
          </w:p>
        </w:tc>
      </w:tr>
      <w:tr>
        <w:trPr>
          <w:cantSplit/>
        </w:trPr>
        <w:tc>
          <w:tcPr>
            <w:tcW w:type="dxa" w:w="858"/>
            <w:vAlign w:val="center"/>
          </w:tcPr>
          <w:p>
            <w:pPr>
              <w:keepNext/>
              <w:spacing w:before="79" w:after="79" w:line="276" w:lineRule="auto"/>
            </w:pPr>
            <w:r>
              <w:rPr>
                <w:rFonts w:ascii="Calibri" w:hAnsi="Calibri"/>
                <w:sz w:val="20"/>
              </w:rPr>
              <w:t>DC4</w:t>
            </w:r>
          </w:p>
        </w:tc>
        <w:tc>
          <w:tcPr>
            <w:tcW w:type="dxa" w:w="3003"/>
            <w:vAlign w:val="center"/>
          </w:tcPr>
          <w:p>
            <w:pPr>
              <w:keepNext/>
              <w:spacing w:before="79" w:after="79" w:line="276" w:lineRule="auto"/>
            </w:pPr>
            <w:r>
              <w:rPr>
                <w:rFonts w:ascii="Calibri" w:hAnsi="Calibri"/>
                <w:sz w:val="20"/>
              </w:rPr>
              <w:t>Prudence statistique</w:t>
            </w:r>
          </w:p>
        </w:tc>
        <w:tc>
          <w:tcPr>
            <w:tcW w:type="dxa" w:w="1486"/>
            <w:vAlign w:val="center"/>
          </w:tcPr>
          <w:p>
            <w:pPr>
              <w:keepNext/>
              <w:spacing w:before="79" w:after="79" w:line="276" w:lineRule="auto"/>
            </w:pPr>
            <w:r>
              <w:rPr>
                <w:rFonts w:ascii="Calibri" w:hAnsi="Calibri"/>
                <w:sz w:val="20"/>
              </w:rPr>
              <w:t>C-X9</w:t>
            </w:r>
          </w:p>
        </w:tc>
        <w:tc>
          <w:tcPr>
            <w:tcW w:type="dxa" w:w="4290"/>
            <w:vAlign w:val="center"/>
          </w:tcPr>
          <w:p>
            <w:pPr>
              <w:keepNext/>
              <w:spacing w:before="79" w:after="79" w:line="276" w:lineRule="auto"/>
            </w:pPr>
            <w:r>
              <w:rPr>
                <w:rFonts w:ascii="Calibri" w:hAnsi="Calibri"/>
                <w:sz w:val="20"/>
              </w:rPr>
              <w:t>10e centile de la différence tirage par tirage</w:t>
            </w:r>
          </w:p>
        </w:tc>
      </w:tr>
      <w:tr>
        <w:trPr>
          <w:cantSplit/>
        </w:trPr>
        <w:tc>
          <w:tcPr>
            <w:tcW w:type="dxa" w:w="858"/>
            <w:vAlign w:val="center"/>
          </w:tcPr>
          <w:p>
            <w:pPr>
              <w:keepNext/>
              <w:spacing w:before="79" w:after="79" w:line="276" w:lineRule="auto"/>
            </w:pPr>
            <w:r>
              <w:rPr>
                <w:rFonts w:ascii="Calibri" w:hAnsi="Calibri"/>
                <w:sz w:val="20"/>
              </w:rPr>
              <w:t>DC5</w:t>
            </w:r>
          </w:p>
        </w:tc>
        <w:tc>
          <w:tcPr>
            <w:tcW w:type="dxa" w:w="3003"/>
            <w:vAlign w:val="center"/>
          </w:tcPr>
          <w:p>
            <w:pPr>
              <w:keepNext/>
              <w:spacing w:before="79" w:after="79" w:line="276" w:lineRule="auto"/>
            </w:pPr>
            <w:r>
              <w:rPr>
                <w:rFonts w:ascii="Calibri" w:hAnsi="Calibri"/>
                <w:sz w:val="20"/>
              </w:rPr>
              <w:t>Réserve</w:t>
            </w:r>
          </w:p>
        </w:tc>
        <w:tc>
          <w:tcPr>
            <w:tcW w:type="dxa" w:w="1486"/>
            <w:vAlign w:val="center"/>
          </w:tcPr>
          <w:p>
            <w:pPr>
              <w:keepNext/>
              <w:spacing w:before="79" w:after="79" w:line="276" w:lineRule="auto"/>
            </w:pPr>
            <w:r>
              <w:rPr>
                <w:rFonts w:ascii="Calibri" w:hAnsi="Calibri"/>
                <w:sz w:val="20"/>
              </w:rPr>
              <w:t>C-X11</w:t>
            </w:r>
          </w:p>
        </w:tc>
        <w:tc>
          <w:tcPr>
            <w:tcW w:type="dxa" w:w="4290"/>
            <w:vAlign w:val="center"/>
          </w:tcPr>
          <w:p>
            <w:pPr>
              <w:keepNext/>
              <w:spacing w:before="79" w:after="79" w:line="276" w:lineRule="auto"/>
            </w:pPr>
            <w:r>
              <w:rPr>
                <w:rFonts w:ascii="Calibri" w:hAnsi="Calibri"/>
                <w:sz w:val="20"/>
              </w:rPr>
              <w:t>20 % plus 5 points par facteur élevé, plafond 40 %, réserve commune</w:t>
            </w:r>
          </w:p>
        </w:tc>
      </w:tr>
      <w:tr>
        <w:trPr>
          <w:cantSplit/>
        </w:trPr>
        <w:tc>
          <w:tcPr>
            <w:tcW w:type="dxa" w:w="858"/>
            <w:vAlign w:val="center"/>
          </w:tcPr>
          <w:p>
            <w:pPr>
              <w:keepNext/>
              <w:spacing w:before="79" w:after="79" w:line="276" w:lineRule="auto"/>
            </w:pPr>
            <w:r>
              <w:rPr>
                <w:rFonts w:ascii="Calibri" w:hAnsi="Calibri"/>
                <w:sz w:val="20"/>
              </w:rPr>
              <w:t>DC6</w:t>
            </w:r>
          </w:p>
        </w:tc>
        <w:tc>
          <w:tcPr>
            <w:tcW w:type="dxa" w:w="3003"/>
            <w:vAlign w:val="center"/>
          </w:tcPr>
          <w:p>
            <w:pPr>
              <w:keepNext/>
              <w:spacing w:before="79" w:after="79" w:line="276" w:lineRule="auto"/>
            </w:pPr>
            <w:r>
              <w:rPr>
                <w:rFonts w:ascii="Calibri" w:hAnsi="Calibri"/>
                <w:sz w:val="20"/>
              </w:rPr>
              <w:t>Calendrier et interpolation</w:t>
            </w:r>
          </w:p>
        </w:tc>
        <w:tc>
          <w:tcPr>
            <w:tcW w:type="dxa" w:w="1486"/>
            <w:vAlign w:val="center"/>
          </w:tcPr>
          <w:p>
            <w:pPr>
              <w:keepNext/>
              <w:spacing w:before="79" w:after="79" w:line="276" w:lineRule="auto"/>
            </w:pPr>
            <w:r>
              <w:rPr>
                <w:rFonts w:ascii="Calibri" w:hAnsi="Calibri"/>
                <w:sz w:val="20"/>
              </w:rPr>
              <w:t>C-X12, C-X14</w:t>
            </w:r>
          </w:p>
        </w:tc>
        <w:tc>
          <w:tcPr>
            <w:tcW w:type="dxa" w:w="4290"/>
            <w:vAlign w:val="center"/>
          </w:tcPr>
          <w:p>
            <w:pPr>
              <w:keepNext/>
              <w:spacing w:before="79" w:after="79" w:line="276" w:lineRule="auto"/>
            </w:pPr>
            <w:r>
              <w:rPr>
                <w:rFonts w:ascii="Calibri" w:hAnsi="Calibri"/>
                <w:sz w:val="20"/>
              </w:rPr>
              <w:t>années 1, 3, 5, 10, 15, 20, 30, 40, 50 ; score le plus faible entre deux relevés</w:t>
            </w:r>
          </w:p>
        </w:tc>
      </w:tr>
      <w:tr>
        <w:trPr>
          <w:cantSplit/>
        </w:trPr>
        <w:tc>
          <w:tcPr>
            <w:tcW w:type="dxa" w:w="858"/>
            <w:vAlign w:val="center"/>
          </w:tcPr>
          <w:p>
            <w:pPr>
              <w:keepNext/>
              <w:spacing w:before="79" w:after="79" w:line="276" w:lineRule="auto"/>
            </w:pPr>
            <w:r>
              <w:rPr>
                <w:rFonts w:ascii="Calibri" w:hAnsi="Calibri"/>
                <w:sz w:val="20"/>
              </w:rPr>
              <w:t>DC7</w:t>
            </w:r>
          </w:p>
        </w:tc>
        <w:tc>
          <w:tcPr>
            <w:tcW w:type="dxa" w:w="3003"/>
            <w:vAlign w:val="center"/>
          </w:tcPr>
          <w:p>
            <w:pPr>
              <w:keepNext/>
              <w:spacing w:before="79" w:after="79" w:line="276" w:lineRule="auto"/>
            </w:pPr>
            <w:r>
              <w:rPr>
                <w:rFonts w:ascii="Calibri" w:hAnsi="Calibri"/>
                <w:sz w:val="20"/>
              </w:rPr>
              <w:t>Obligations et certification</w:t>
            </w:r>
          </w:p>
        </w:tc>
        <w:tc>
          <w:tcPr>
            <w:tcW w:type="dxa" w:w="1486"/>
            <w:vAlign w:val="center"/>
          </w:tcPr>
          <w:p>
            <w:pPr>
              <w:keepNext/>
              <w:spacing w:before="79" w:after="79" w:line="276" w:lineRule="auto"/>
            </w:pPr>
            <w:r>
              <w:rPr>
                <w:rFonts w:ascii="Calibri" w:hAnsi="Calibri"/>
                <w:sz w:val="20"/>
              </w:rPr>
              <w:t>C-X8</w:t>
            </w:r>
          </w:p>
        </w:tc>
        <w:tc>
          <w:tcPr>
            <w:tcW w:type="dxa" w:w="4290"/>
            <w:vAlign w:val="center"/>
          </w:tcPr>
          <w:p>
            <w:pPr>
              <w:keepNext/>
              <w:spacing w:before="79" w:after="79" w:line="276" w:lineRule="auto"/>
            </w:pPr>
            <w:r>
              <w:rPr>
                <w:rFonts w:ascii="Calibri" w:hAnsi="Calibri"/>
                <w:sz w:val="20"/>
              </w:rPr>
              <w:t>objectifs de certification comptés comme obligations</w:t>
            </w:r>
          </w:p>
        </w:tc>
      </w:tr>
      <w:tr>
        <w:trPr>
          <w:cantSplit/>
        </w:trPr>
        <w:tc>
          <w:tcPr>
            <w:tcW w:type="dxa" w:w="858"/>
            <w:vAlign w:val="center"/>
          </w:tcPr>
          <w:p>
            <w:pPr>
              <w:keepNext/>
              <w:spacing w:before="79" w:after="79" w:line="276" w:lineRule="auto"/>
            </w:pPr>
            <w:r>
              <w:rPr>
                <w:rFonts w:ascii="Calibri" w:hAnsi="Calibri"/>
                <w:sz w:val="20"/>
              </w:rPr>
              <w:t>DC8</w:t>
            </w:r>
          </w:p>
        </w:tc>
        <w:tc>
          <w:tcPr>
            <w:tcW w:type="dxa" w:w="3003"/>
            <w:vAlign w:val="center"/>
          </w:tcPr>
          <w:p>
            <w:pPr>
              <w:keepNext/>
              <w:spacing w:before="79" w:after="79" w:line="276" w:lineRule="auto"/>
            </w:pPr>
            <w:r>
              <w:rPr>
                <w:rFonts w:ascii="Calibri" w:hAnsi="Calibri"/>
                <w:sz w:val="20"/>
              </w:rPr>
              <w:t>Perte évitée</w:t>
            </w:r>
          </w:p>
        </w:tc>
        <w:tc>
          <w:tcPr>
            <w:tcW w:type="dxa" w:w="1486"/>
            <w:vAlign w:val="center"/>
          </w:tcPr>
          <w:p>
            <w:pPr>
              <w:keepNext/>
              <w:spacing w:before="79" w:after="79" w:line="276" w:lineRule="auto"/>
            </w:pPr>
            <w:r>
              <w:rPr>
                <w:rFonts w:ascii="Calibri" w:hAnsi="Calibri"/>
                <w:sz w:val="20"/>
              </w:rPr>
              <w:t>C-X5</w:t>
            </w:r>
          </w:p>
        </w:tc>
        <w:tc>
          <w:tcPr>
            <w:tcW w:type="dxa" w:w="4290"/>
            <w:vAlign w:val="center"/>
          </w:tcPr>
          <w:p>
            <w:pPr>
              <w:keepNext/>
              <w:spacing w:before="79" w:after="79" w:line="276" w:lineRule="auto"/>
            </w:pPr>
            <w:r>
              <w:rPr>
                <w:rFonts w:ascii="Calibri" w:hAnsi="Calibri"/>
                <w:sz w:val="20"/>
              </w:rPr>
              <w:t>exclue en version 1</w:t>
            </w:r>
          </w:p>
        </w:tc>
      </w:tr>
      <w:tr>
        <w:trPr>
          <w:cantSplit/>
        </w:trPr>
        <w:tc>
          <w:tcPr>
            <w:tcW w:type="dxa" w:w="858"/>
            <w:vAlign w:val="center"/>
          </w:tcPr>
          <w:p>
            <w:pPr>
              <w:keepNext/>
              <w:spacing w:before="79" w:after="79" w:line="276" w:lineRule="auto"/>
            </w:pPr>
            <w:r>
              <w:rPr>
                <w:rFonts w:ascii="Calibri" w:hAnsi="Calibri"/>
                <w:sz w:val="20"/>
              </w:rPr>
              <w:t>DC9</w:t>
            </w:r>
          </w:p>
        </w:tc>
        <w:tc>
          <w:tcPr>
            <w:tcW w:type="dxa" w:w="3003"/>
            <w:vAlign w:val="center"/>
          </w:tcPr>
          <w:p>
            <w:pPr>
              <w:keepNext/>
              <w:spacing w:before="79" w:after="79" w:line="276" w:lineRule="auto"/>
            </w:pPr>
            <w:r>
              <w:rPr>
                <w:rFonts w:ascii="Calibri" w:hAnsi="Calibri"/>
                <w:sz w:val="20"/>
              </w:rPr>
              <w:t>Volet sites France Crédits Biodiversité</w:t>
            </w:r>
          </w:p>
        </w:tc>
        <w:tc>
          <w:tcPr>
            <w:tcW w:type="dxa" w:w="1486"/>
            <w:vAlign w:val="center"/>
          </w:tcPr>
          <w:p>
            <w:pPr>
              <w:keepNext/>
              <w:spacing w:before="79" w:after="79" w:line="276" w:lineRule="auto"/>
            </w:pPr>
            <w:r>
              <w:rPr>
                <w:rFonts w:ascii="Calibri" w:hAnsi="Calibri"/>
                <w:sz w:val="20"/>
              </w:rPr>
              <w:t>C-X16</w:t>
            </w:r>
          </w:p>
        </w:tc>
        <w:tc>
          <w:tcPr>
            <w:tcW w:type="dxa" w:w="4290"/>
            <w:vAlign w:val="center"/>
          </w:tcPr>
          <w:p>
            <w:pPr>
              <w:keepNext/>
              <w:spacing w:before="79" w:after="79" w:line="276" w:lineRule="auto"/>
            </w:pPr>
            <w:r>
              <w:rPr>
                <w:rFonts w:ascii="Calibri" w:hAnsi="Calibri"/>
                <w:sz w:val="20"/>
              </w:rPr>
              <w:t>validé comme méthode de calcul proposée aux opérateurs, sans création de crédits OpenNAT sur ces sites</w:t>
            </w:r>
          </w:p>
        </w:tc>
      </w:tr>
      <w:tr>
        <w:trPr>
          <w:cantSplit/>
        </w:trPr>
        <w:tc>
          <w:tcPr>
            <w:tcW w:type="dxa" w:w="858"/>
            <w:vAlign w:val="center"/>
          </w:tcPr>
          <w:p>
            <w:pPr>
              <w:spacing w:before="79" w:after="79" w:line="276" w:lineRule="auto"/>
            </w:pPr>
            <w:r>
              <w:rPr>
                <w:rFonts w:ascii="Calibri" w:hAnsi="Calibri"/>
                <w:sz w:val="20"/>
              </w:rPr>
              <w:t>DC10</w:t>
            </w:r>
          </w:p>
        </w:tc>
        <w:tc>
          <w:tcPr>
            <w:tcW w:type="dxa" w:w="3003"/>
            <w:vAlign w:val="center"/>
          </w:tcPr>
          <w:p>
            <w:pPr>
              <w:spacing w:before="79" w:after="79" w:line="276" w:lineRule="auto"/>
            </w:pPr>
            <w:r>
              <w:rPr>
                <w:rFonts w:ascii="Calibri" w:hAnsi="Calibri"/>
                <w:sz w:val="20"/>
              </w:rPr>
              <w:t>Difficulté de création dans les crédits</w:t>
            </w:r>
          </w:p>
        </w:tc>
        <w:tc>
          <w:tcPr>
            <w:tcW w:type="dxa" w:w="1486"/>
            <w:vAlign w:val="center"/>
          </w:tcPr>
          <w:p>
            <w:pPr>
              <w:spacing w:before="79" w:after="79" w:line="276" w:lineRule="auto"/>
            </w:pPr>
            <w:r>
              <w:rPr>
                <w:rFonts w:ascii="Calibri" w:hAnsi="Calibri"/>
                <w:sz w:val="20"/>
              </w:rPr>
              <w:t>C-X19</w:t>
            </w:r>
          </w:p>
        </w:tc>
        <w:tc>
          <w:tcPr>
            <w:tcW w:type="dxa" w:w="4290"/>
            <w:vAlign w:val="center"/>
          </w:tcPr>
          <w:p>
            <w:pPr>
              <w:spacing w:before="79" w:after="79" w:line="276" w:lineRule="auto"/>
            </w:pPr>
            <w:r>
              <w:rPr>
                <w:rFonts w:ascii="Calibri" w:hAnsi="Calibri"/>
                <w:sz w:val="20"/>
              </w:rPr>
              <w:t>neutralisée : le risque d'échec est porté par le constat avant émission et la réserve</w:t>
            </w:r>
          </w:p>
        </w:tc>
      </w:tr>
    </w:tbl>
    <w:p>
      <w:pPr>
        <w:pStyle w:val="Heading2"/>
        <w:keepNext/>
        <w:spacing w:before="397" w:after="170"/>
      </w:pPr>
      <w:r>
        <w:rPr>
          <w:rFonts w:ascii="Poppins" w:hAnsi="Poppins" w:cs="Poppins" w:eastAsia="Poppins"/>
          <w:color w:val="1E7A4A"/>
        </w:rPr>
        <w:t>DC3. Biodiversité grise des opérations de construction</w:t>
      </w:r>
    </w:p>
    <w:p>
      <w:pPr>
        <w:keepNext/>
        <w:spacing w:before="57" w:after="227" w:line="288" w:lineRule="auto"/>
      </w:pPr>
      <w:r>
        <w:rPr>
          <w:rFonts w:ascii="Calibri" w:hAnsi="Calibri"/>
          <w:sz w:val="20"/>
        </w:rPr>
        <w:t>C'est la décision la plus délicate. Une opération de construction consomme de la nature ailleurs, par ses matériaux et ses émissions, dans des proportions qui dépassent de loin la valeur de sa parcelle : sur l'exemple de l'annexe C d'OpenNAT 1, Inat vaut plus de dix fois la valeur du site intégrée sur 50 ans. Trois options :</w:t>
      </w:r>
    </w:p>
    <w:p>
      <w:pPr>
        <w:pStyle w:val="ListBullet"/>
        <w:keepNext/>
        <w:spacing w:before="45" w:after="79" w:line="288" w:lineRule="auto"/>
        <w:jc w:val="both"/>
      </w:pPr>
      <w:r>
        <w:rPr>
          <w:rFonts w:ascii="Calibri" w:hAnsi="Calibri"/>
          <w:sz w:val="20"/>
        </w:rPr>
        <w:t>O1, déduire Inat du gain : aucune opération de construction n'émettrait de crédit. Les crédits seraient réservés à la restauration pure.</w:t>
      </w:r>
    </w:p>
    <w:p>
      <w:pPr>
        <w:pStyle w:val="ListBullet"/>
        <w:keepNext/>
        <w:spacing w:before="45" w:after="79" w:line="288" w:lineRule="auto"/>
        <w:jc w:val="both"/>
      </w:pPr>
      <w:r>
        <w:rPr>
          <w:rFonts w:ascii="Calibri" w:hAnsi="Calibri"/>
          <w:sz w:val="20"/>
        </w:rPr>
        <w:t>O2, ne pas déduire Inat et le publier avec chaque lot (proposition) : l'opération qui restaure sa parcelle au-delà de ses obligations est rémunérée pour ce gain réel, et l'acheteur voit ce qu'elle consomme ailleurs.</w:t>
      </w:r>
    </w:p>
    <w:p>
      <w:pPr>
        <w:pStyle w:val="ListBullet"/>
        <w:keepNext w:val="0"/>
        <w:spacing w:before="45" w:after="79" w:line="288" w:lineRule="auto"/>
        <w:jc w:val="both"/>
      </w:pPr>
      <w:r>
        <w:rPr>
          <w:rFonts w:ascii="Calibri" w:hAnsi="Calibri"/>
          <w:sz w:val="20"/>
        </w:rPr>
        <w:t>O3, exiger un plafond d'Inat par m² de surface de référence pour qu'une opération soit éligible : cohérent, mais aucun seuil d'Inat n'est encore fixé (OpenNAT 1, 10.3).</w:t>
      </w:r>
    </w:p>
    <w:p>
      <w:pPr>
        <w:spacing w:before="57" w:after="227" w:line="288" w:lineRule="auto"/>
      </w:pPr>
      <w:r>
        <w:rPr>
          <w:rFonts w:ascii="Calibri" w:hAnsi="Calibri"/>
          <w:sz w:val="20"/>
        </w:rPr>
        <w:t>NORMATYS propose O2 en version 1 et O3 quand les seuils d'Inat seront fixés.</w:t>
      </w:r>
    </w:p>
    <w:p>
      <w:pPr>
        <w:pStyle w:val="Heading2"/>
        <w:keepNext/>
        <w:spacing w:before="397" w:after="170"/>
      </w:pPr>
      <w:r>
        <w:rPr>
          <w:rFonts w:ascii="Poppins" w:hAnsi="Poppins" w:cs="Poppins" w:eastAsia="Poppins"/>
          <w:color w:val="1E7A4A"/>
        </w:rPr>
        <w:t>DC7. Obligations et certification</w:t>
      </w:r>
    </w:p>
    <w:p>
      <w:pPr>
        <w:spacing w:before="57" w:after="227" w:line="288" w:lineRule="auto"/>
      </w:pPr>
      <w:r>
        <w:rPr>
          <w:rFonts w:ascii="Calibri" w:hAnsi="Calibri"/>
          <w:sz w:val="20"/>
        </w:rPr>
        <w:t>Si un projet vise une certification qui exige un niveau de gain, la part de gain exigée ne se crédite pas : la même amélioration ne doit pas servir à la fois à obtenir un certificat et à vendre des crédits. Le conseil est invité à confirmer ce choix, qui réduit l'intérêt des crédits pour les opérations certifiées Effinature au profit de l'intégrité.</w:t>
      </w:r>
    </w:p>
    <w:p>
      <w:pPr>
        <w:pStyle w:val="Heading1"/>
        <w:keepNext/>
        <w:spacing w:before="397" w:after="170"/>
      </w:pPr>
      <w:r>
        <w:rPr>
          <w:rFonts w:ascii="Poppins" w:hAnsi="Poppins" w:cs="Poppins" w:eastAsia="Poppins"/>
          <w:color w:val="1A4F9C"/>
        </w:rPr>
        <w:t>Calendrier proposé</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6075"/>
        <w:gridCol w:w="3562"/>
      </w:tblGrid>
      <w:tr>
        <w:trPr>
          <w:tblHeader/>
          <w:cantSplit/>
        </w:trPr>
        <w:tc>
          <w:tcPr>
            <w:tcW w:type="dxa" w:w="6076"/>
            <w:vAlign w:val="center"/>
            <w:shd w:val="clear" w:color="auto" w:fill="202335"/>
          </w:tcPr>
          <w:p>
            <w:pPr>
              <w:keepNext/>
              <w:spacing w:before="79" w:after="79" w:line="276" w:lineRule="auto"/>
            </w:pPr>
            <w:r>
              <w:rPr>
                <w:rFonts w:ascii="Calibri" w:hAnsi="Calibri"/>
                <w:b/>
                <w:color w:val="FFFFFF"/>
                <w:sz w:val="20"/>
              </w:rPr>
              <w:t>Étape</w:t>
            </w:r>
          </w:p>
        </w:tc>
        <w:tc>
          <w:tcPr>
            <w:tcW w:type="dxa" w:w="3562"/>
            <w:vAlign w:val="center"/>
            <w:shd w:val="clear" w:color="auto" w:fill="202335"/>
          </w:tcPr>
          <w:p>
            <w:pPr>
              <w:keepNext/>
              <w:spacing w:before="79" w:after="79" w:line="276" w:lineRule="auto"/>
            </w:pPr>
            <w:r>
              <w:rPr>
                <w:rFonts w:ascii="Calibri" w:hAnsi="Calibri"/>
                <w:b/>
                <w:color w:val="FFFFFF"/>
                <w:sz w:val="20"/>
              </w:rPr>
              <w:t>Échéance indicative</w:t>
            </w:r>
          </w:p>
        </w:tc>
      </w:tr>
      <w:tr>
        <w:trPr>
          <w:cantSplit/>
        </w:trPr>
        <w:tc>
          <w:tcPr>
            <w:tcW w:type="dxa" w:w="6076"/>
            <w:vAlign w:val="center"/>
          </w:tcPr>
          <w:p>
            <w:pPr>
              <w:keepNext/>
              <w:spacing w:before="79" w:after="79" w:line="276" w:lineRule="auto"/>
            </w:pPr>
            <w:r>
              <w:rPr>
                <w:rFonts w:ascii="Calibri" w:hAnsi="Calibri"/>
                <w:sz w:val="20"/>
              </w:rPr>
              <w:t>Instruction du dossier par le conseil, avec le dossier OpenNAT 1</w:t>
            </w:r>
          </w:p>
        </w:tc>
        <w:tc>
          <w:tcPr>
            <w:tcW w:type="dxa" w:w="3562"/>
            <w:vAlign w:val="center"/>
          </w:tcPr>
          <w:p>
            <w:pPr>
              <w:keepNext/>
              <w:spacing w:before="79" w:after="79" w:line="276" w:lineRule="auto"/>
            </w:pPr>
            <w:r>
              <w:rPr>
                <w:rFonts w:ascii="Calibri" w:hAnsi="Calibri"/>
                <w:sz w:val="20"/>
              </w:rPr>
              <w:t>à fixer par le conseil</w:t>
            </w:r>
          </w:p>
        </w:tc>
      </w:tr>
      <w:tr>
        <w:trPr>
          <w:cantSplit/>
        </w:trPr>
        <w:tc>
          <w:tcPr>
            <w:tcW w:type="dxa" w:w="6076"/>
            <w:vAlign w:val="center"/>
          </w:tcPr>
          <w:p>
            <w:pPr>
              <w:keepNext/>
              <w:spacing w:before="79" w:after="79" w:line="276" w:lineRule="auto"/>
            </w:pPr>
            <w:r>
              <w:rPr>
                <w:rFonts w:ascii="Calibri" w:hAnsi="Calibri"/>
                <w:sz w:val="20"/>
              </w:rPr>
              <w:t>Exemples calculés par le moteur (lot 2) joints au dossier</w:t>
            </w:r>
          </w:p>
        </w:tc>
        <w:tc>
          <w:tcPr>
            <w:tcW w:type="dxa" w:w="3562"/>
            <w:vAlign w:val="center"/>
          </w:tcPr>
          <w:p>
            <w:pPr>
              <w:keepNext/>
              <w:spacing w:before="79" w:after="79" w:line="276" w:lineRule="auto"/>
            </w:pPr>
            <w:r>
              <w:rPr>
                <w:rFonts w:ascii="Calibri" w:hAnsi="Calibri"/>
                <w:sz w:val="20"/>
              </w:rPr>
              <w:t>après le lot 2</w:t>
            </w:r>
          </w:p>
        </w:tc>
      </w:tr>
      <w:tr>
        <w:trPr>
          <w:cantSplit/>
        </w:trPr>
        <w:tc>
          <w:tcPr>
            <w:tcW w:type="dxa" w:w="6076"/>
            <w:vAlign w:val="center"/>
          </w:tcPr>
          <w:p>
            <w:pPr>
              <w:keepNext/>
              <w:spacing w:before="79" w:after="79" w:line="276" w:lineRule="auto"/>
            </w:pPr>
            <w:r>
              <w:rPr>
                <w:rFonts w:ascii="Calibri" w:hAnsi="Calibri"/>
                <w:sz w:val="20"/>
              </w:rPr>
              <w:t>Avis du conseil</w:t>
            </w:r>
          </w:p>
        </w:tc>
        <w:tc>
          <w:tcPr>
            <w:tcW w:type="dxa" w:w="3562"/>
            <w:vAlign w:val="center"/>
          </w:tcPr>
          <w:p>
            <w:pPr>
              <w:keepNext/>
              <w:spacing w:before="79" w:after="79" w:line="276" w:lineRule="auto"/>
            </w:pPr>
            <w:r>
              <w:rPr>
                <w:rFonts w:ascii="Calibri" w:hAnsi="Calibri"/>
                <w:sz w:val="20"/>
              </w:rPr>
              <w:t>à fixer par le conseil</w:t>
            </w:r>
          </w:p>
        </w:tc>
      </w:tr>
      <w:tr>
        <w:trPr>
          <w:cantSplit/>
        </w:trPr>
        <w:tc>
          <w:tcPr>
            <w:tcW w:type="dxa" w:w="6076"/>
            <w:vAlign w:val="center"/>
          </w:tcPr>
          <w:p>
            <w:pPr>
              <w:spacing w:before="79" w:after="79" w:line="276" w:lineRule="auto"/>
            </w:pPr>
            <w:r>
              <w:rPr>
                <w:rFonts w:ascii="Calibri" w:hAnsi="Calibri"/>
                <w:sz w:val="20"/>
              </w:rPr>
              <w:t>Projets pilotes en réseau de test</w:t>
            </w:r>
          </w:p>
        </w:tc>
        <w:tc>
          <w:tcPr>
            <w:tcW w:type="dxa" w:w="3562"/>
            <w:vAlign w:val="center"/>
          </w:tcPr>
          <w:p>
            <w:pPr>
              <w:spacing w:before="79" w:after="79" w:line="276" w:lineRule="auto"/>
            </w:pPr>
            <w:r>
              <w:rPr>
                <w:rFonts w:ascii="Calibri" w:hAnsi="Calibri"/>
                <w:sz w:val="20"/>
              </w:rPr>
              <w:t>après l'avis</w:t>
            </w:r>
          </w:p>
        </w:tc>
      </w:tr>
    </w:tbl>
    <w:sectPr w:rsidR="00FC693F" w:rsidRPr="0006063C" w:rsidSect="00034616">
      <w:footerReference w:type="default" r:id="rId9"/>
      <w:headerReference w:type="first" r:id="rId10"/>
      <w:footerReference w:type="first" r:id="rId11"/>
      <w:headerReference w:type="default" r:id="rId12"/>
      <w:pgSz w:w="11906" w:h="16838"/>
      <w:pgMar w:top="1587" w:right="1134" w:bottom="1247" w:left="1134" w:header="283"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Page </w:t>
    </w:r>
    <w:r>
      <w:rPr>
        <w:rFonts w:ascii="Calibri" w:hAnsi="Calibri"/>
        <w:color w:val="595959"/>
        <w:sz w:val="16"/>
      </w:rPr>
      <w:fldChar w:fldCharType="begin"/>
    </w:r>
    <w:r>
      <w:rPr>
        <w:rFonts w:ascii="Calibri" w:hAnsi="Calibri"/>
        <w:color w:val="595959"/>
        <w:sz w:val="16"/>
      </w:rPr>
      <w:instrText xml:space="preserve"> PAGE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r>
      <w:rPr>
        <w:rFonts w:ascii="Calibri" w:hAnsi="Calibri"/>
        <w:color w:val="595959"/>
        <w:sz w:val="16"/>
      </w:rPr>
      <w:t xml:space="preserve"> sur </w:t>
    </w:r>
    <w:r>
      <w:rPr>
        <w:rFonts w:ascii="Calibri" w:hAnsi="Calibri"/>
        <w:color w:val="595959"/>
        <w:sz w:val="16"/>
      </w:rPr>
      <w:fldChar w:fldCharType="begin"/>
    </w:r>
    <w:r>
      <w:rPr>
        <w:rFonts w:ascii="Calibri" w:hAnsi="Calibri"/>
        <w:color w:val="595959"/>
        <w:sz w:val="16"/>
      </w:rPr>
      <w:instrText xml:space="preserve"> NUMPAGES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1850" w:lineRule="exact"/>
    </w:pPr>
    <w:r>
      <w:drawing>
        <wp:anchor distT="0" distB="0" distL="0" distR="0" simplePos="0" relativeHeight="0" behindDoc="1" locked="1" layoutInCell="1" allowOverlap="1">
          <wp:simplePos x="0" y="0"/>
          <wp:positionH relativeFrom="page">
            <wp:posOffset>0</wp:posOffset>
          </wp:positionH>
          <wp:positionV relativeFrom="page">
            <wp:posOffset>9625065</wp:posOffset>
          </wp:positionV>
          <wp:extent cx="7560000" cy="1066935"/>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ied.png"/>
                  <pic:cNvPicPr/>
                </pic:nvPicPr>
                <pic:blipFill>
                  <a:blip r:embed="rId1"/>
                  <a:stretch>
                    <a:fillRect/>
                  </a:stretch>
                </pic:blipFill>
                <pic:spPr>
                  <a:xfrm>
                    <a:off x="0" y="0"/>
                    <a:ext cx="7560000" cy="1066935"/>
                  </a:xfrm>
                  <a:prstGeom prst="rect"/>
                </pic:spPr>
              </pic:pic>
            </a:graphicData>
          </a:graphic>
        </wp:anchor>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309" w:lineRule="exac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429694"/>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entete.png"/>
                  <pic:cNvPicPr/>
                </pic:nvPicPr>
                <pic:blipFill>
                  <a:blip r:embed="rId1"/>
                  <a:stretch>
                    <a:fillRect/>
                  </a:stretch>
                </pic:blipFill>
                <pic:spPr>
                  <a:xfrm>
                    <a:off x="0" y="0"/>
                    <a:ext cx="7560000" cy="1429694"/>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702887"/>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uite.png"/>
                  <pic:cNvPicPr/>
                </pic:nvPicPr>
                <pic:blipFill>
                  <a:blip r:embed="rId1"/>
                  <a:stretch>
                    <a:fillRect/>
                  </a:stretch>
                </pic:blipFill>
                <pic:spPr>
                  <a:xfrm>
                    <a:off x="0" y="0"/>
                    <a:ext cx="7560000" cy="10702887"/>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720" w:hanging="360"/>
      </w:pPr>
      <w:rPr>
        <w:rFonts w:ascii="OpenSymbol" w:hAnsi="OpenSymbol" w:cs="Open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13" w:after="113" w:line="240" w:lineRule="auto"/>
      <w:ind w:left="0" w:right="0" w:firstLine="0"/>
    </w:pPr>
    <w:rPr>
      <w:rFonts w:ascii="Calibri" w:hAnsi="Calibri" w:eastAsia="Calibri" w:cs="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Poppins" w:hAnsi="Poppins" w:eastAsia="Poppins" w:cs="Poppins"/>
      <w:b/>
      <w:bCs/>
      <w:i w:val="0"/>
      <w:color w:val="1A4F9C"/>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Poppins" w:hAnsi="Poppins" w:eastAsia="Poppins" w:cs="Poppins"/>
      <w:b/>
      <w:bCs/>
      <w:i w:val="0"/>
      <w:color w:val="1E7A4A"/>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Poppins" w:hAnsi="Poppins" w:eastAsia="Poppins" w:cs="Poppins"/>
      <w:b/>
      <w:bCs/>
      <w:i w:val="0"/>
      <w:color w:val="20233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jc w:val="center"/>
    </w:pPr>
    <w:rPr>
      <w:rFonts w:ascii="Poppins" w:hAnsi="Poppins" w:eastAsia="Poppins" w:cs="Poppins"/>
      <w:b/>
      <w:i w:val="0"/>
      <w:color w:val="1A4F9C"/>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pPr>
    <w:rPr>
      <w:rFonts w:ascii="Calibri" w:hAnsi="Calibri" w:eastAsia="Calibri" w:cs="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OpenNAT Crédits, dossier de soumission au Biodiversity Standard Council</dc:title>
  <dc:subject>Méthode OpenNAT Crédits</dc:subject>
  <dc:creator>NORMATYS</dc:creator>
  <cp:keywords>OpenNAT; crédits; biodiversité</cp:keywords>
  <dc:description>generated by python-docx</dc:description>
  <cp:lastModifiedBy>NORMATYS</cp:lastModifiedBy>
  <cp:revision>1</cp:revision>
  <dcterms:created xsi:type="dcterms:W3CDTF">2013-12-23T23:15:00Z</dcterms:created>
  <dcterms:modified xsi:type="dcterms:W3CDTF">2013-12-23T23:15:00Z</dcterms:modified>
  <cp:category>Dossier</cp:category>
  <dc:language>fr-FR</dc:language>
</cp:coreProperties>
</file>