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Pollution et biodiversité grise : ponts depuis les indicateurs du RSEE</w:t>
      </w:r>
    </w:p>
    <w:p>
      <w:pPr>
        <w:spacing w:before="57" w:after="227" w:line="288" w:lineRule="auto"/>
      </w:pPr>
      <w:r>
        <w:rPr>
          <w:rFonts w:ascii="Calibri" w:hAnsi="Calibri"/>
          <w:sz w:val="20"/>
        </w:rPr>
        <w:t>NORMATYS, éditeur de la méthode. Note de décision pour le Biodiversity Standard Council, complément du dossier de soumission (décision D3). Méthode OpenNAT 1, données 1.2.2, moteur 0.2.0. Projet du 19 octobre 2026, non transmis.</w:t>
      </w:r>
    </w:p>
    <w:p>
      <w:pPr>
        <w:pStyle w:val="Heading1"/>
        <w:keepNext/>
        <w:spacing w:before="397" w:after="170"/>
      </w:pPr>
      <w:r>
        <w:rPr>
          <w:rFonts w:ascii="Poppins" w:hAnsi="Poppins" w:cs="Poppins" w:eastAsia="Poppins"/>
          <w:color w:val="1A4F9C"/>
        </w:rPr>
        <w:t>Ce que la note établit</w:t>
      </w:r>
    </w:p>
    <w:p>
      <w:pPr>
        <w:spacing w:before="57" w:after="227" w:line="288" w:lineRule="auto"/>
      </w:pPr>
      <w:r>
        <w:rPr>
          <w:rFonts w:ascii="Calibri" w:hAnsi="Calibri"/>
          <w:sz w:val="20"/>
        </w:rPr>
        <w:t>OpenNAT n'additionne pas la pollution à la biodiversité grise : les cinq indicateurs de pollution du RSEE sont affichés à part (convention C-G8). L'étude Carbone 4 attribue pourtant 51 % de la biodiversité grise d'un bâtiment béton à la pollution, soit 1,34 fois le climat. La note cherche, pour chaque indicateur du RSEE, un facteur publié et ouvert qui le convertisse en surface d'habitat perdue, puis chiffre le résultat sur des bâtiments réels.</w:t>
      </w:r>
    </w:p>
    <w:p>
      <w:pPr>
        <w:spacing w:before="57" w:after="227" w:line="288" w:lineRule="auto"/>
      </w:pPr>
      <w:r>
        <w:rPr>
          <w:rFonts w:ascii="Calibri" w:hAnsi="Calibri"/>
          <w:sz w:val="20"/>
        </w:rPr>
        <w:t>Le résultat tient en une phrase : avec des facteurs ouverts appliqués aux indicateurs que déclare le RSEE, la pollution pèse de 4 à 13 % du climat, pas 134 %. L'écart avec Carbone 4 ne vient pas d'un oubli d'OpenNAT. Il vient d'un autre modèle de l'écotoxicité, fondé sur des inventaires ecoinvent et des facteurs à long terme pour les métaux, que les déclarations environnementales ne permettent pas de reproduire.</w:t>
      </w:r>
    </w:p>
    <w:p>
      <w:pPr>
        <w:pStyle w:val="Heading1"/>
        <w:keepNext/>
        <w:spacing w:before="397" w:after="170"/>
      </w:pPr>
      <w:r>
        <w:rPr>
          <w:rFonts w:ascii="Poppins" w:hAnsi="Poppins" w:cs="Poppins" w:eastAsia="Poppins"/>
          <w:color w:val="1A4F9C"/>
        </w:rPr>
        <w:t>Les cinq indicateurs du RSEE</w:t>
      </w:r>
    </w:p>
    <w:p>
      <w:pPr>
        <w:keepNext/>
        <w:spacing w:before="57" w:after="227" w:line="288" w:lineRule="auto"/>
      </w:pPr>
      <w:r>
        <w:rPr>
          <w:rFonts w:ascii="Calibri" w:hAnsi="Calibri"/>
          <w:sz w:val="20"/>
        </w:rPr>
        <w:t>L'annexe II de l'arrêté du 4 août 2021 fixe les unités, celles de la norme EN 15804+A2 et de la méthode européenne d'empreinte environnementale (EF)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634"/>
        <w:gridCol w:w="5419"/>
        <w:gridCol w:w="2583"/>
      </w:tblGrid>
      <w:tr>
        <w:trPr>
          <w:tblHeader/>
          <w:cantSplit/>
        </w:trPr>
        <w:tc>
          <w:tcPr>
            <w:tcW w:type="dxa" w:w="1634"/>
            <w:vAlign w:val="center"/>
            <w:shd w:val="clear" w:color="auto" w:fill="202335"/>
          </w:tcPr>
          <w:p>
            <w:pPr>
              <w:keepNext/>
              <w:spacing w:before="79" w:after="79" w:line="276" w:lineRule="auto"/>
              <w:jc w:val="center"/>
            </w:pPr>
            <w:r>
              <w:rPr>
                <w:rFonts w:ascii="Calibri" w:hAnsi="Calibri"/>
                <w:b/>
                <w:color w:val="FFFFFF"/>
                <w:sz w:val="20"/>
              </w:rPr>
              <w:t>Code</w:t>
            </w:r>
          </w:p>
        </w:tc>
        <w:tc>
          <w:tcPr>
            <w:tcW w:type="dxa" w:w="5420"/>
            <w:vAlign w:val="center"/>
            <w:shd w:val="clear" w:color="auto" w:fill="202335"/>
          </w:tcPr>
          <w:p>
            <w:pPr>
              <w:keepNext/>
              <w:spacing w:before="79" w:after="79" w:line="276" w:lineRule="auto"/>
            </w:pPr>
            <w:r>
              <w:rPr>
                <w:rFonts w:ascii="Calibri" w:hAnsi="Calibri"/>
                <w:b/>
                <w:color w:val="FFFFFF"/>
                <w:sz w:val="20"/>
              </w:rPr>
              <w:t>Indicateur</w:t>
            </w:r>
          </w:p>
        </w:tc>
        <w:tc>
          <w:tcPr>
            <w:tcW w:type="dxa" w:w="2584"/>
            <w:vAlign w:val="center"/>
            <w:shd w:val="clear" w:color="auto" w:fill="202335"/>
          </w:tcPr>
          <w:p>
            <w:pPr>
              <w:keepNext/>
              <w:spacing w:before="79" w:after="79" w:line="276" w:lineRule="auto"/>
            </w:pPr>
            <w:r>
              <w:rPr>
                <w:rFonts w:ascii="Calibri" w:hAnsi="Calibri"/>
                <w:b/>
                <w:color w:val="FFFFFF"/>
                <w:sz w:val="20"/>
              </w:rPr>
              <w:t>Unité</w:t>
            </w:r>
          </w:p>
        </w:tc>
      </w:tr>
      <w:tr>
        <w:trPr>
          <w:cantSplit/>
        </w:trPr>
        <w:tc>
          <w:tcPr>
            <w:tcW w:type="dxa" w:w="1634"/>
            <w:vAlign w:val="center"/>
          </w:tcPr>
          <w:p>
            <w:pPr>
              <w:keepNext/>
              <w:spacing w:before="79" w:after="79" w:line="276" w:lineRule="auto"/>
              <w:jc w:val="center"/>
            </w:pPr>
            <w:r>
              <w:rPr>
                <w:rFonts w:ascii="Calibri" w:hAnsi="Calibri"/>
                <w:sz w:val="20"/>
              </w:rPr>
              <w:t>106</w:t>
            </w:r>
          </w:p>
        </w:tc>
        <w:tc>
          <w:tcPr>
            <w:tcW w:type="dxa" w:w="5420"/>
            <w:vAlign w:val="center"/>
          </w:tcPr>
          <w:p>
            <w:pPr>
              <w:keepNext/>
              <w:spacing w:before="79" w:after="79" w:line="276" w:lineRule="auto"/>
            </w:pPr>
            <w:r>
              <w:rPr>
                <w:rFonts w:ascii="Calibri" w:hAnsi="Calibri"/>
                <w:sz w:val="20"/>
              </w:rPr>
              <w:t>Acidification, dépassement cumulé</w:t>
            </w:r>
          </w:p>
        </w:tc>
        <w:tc>
          <w:tcPr>
            <w:tcW w:type="dxa" w:w="2584"/>
            <w:vAlign w:val="center"/>
          </w:tcPr>
          <w:p>
            <w:pPr>
              <w:keepNext/>
              <w:spacing w:before="79" w:after="79" w:line="276" w:lineRule="auto"/>
            </w:pPr>
            <w:r>
              <w:rPr>
                <w:rFonts w:ascii="Calibri" w:hAnsi="Calibri"/>
                <w:sz w:val="20"/>
              </w:rPr>
              <w:t>mol H+ éq.</w:t>
            </w:r>
          </w:p>
        </w:tc>
      </w:tr>
      <w:tr>
        <w:trPr>
          <w:cantSplit/>
        </w:trPr>
        <w:tc>
          <w:tcPr>
            <w:tcW w:type="dxa" w:w="1634"/>
            <w:vAlign w:val="center"/>
          </w:tcPr>
          <w:p>
            <w:pPr>
              <w:keepNext/>
              <w:spacing w:before="79" w:after="79" w:line="276" w:lineRule="auto"/>
              <w:jc w:val="center"/>
            </w:pPr>
            <w:r>
              <w:rPr>
                <w:rFonts w:ascii="Calibri" w:hAnsi="Calibri"/>
                <w:sz w:val="20"/>
              </w:rPr>
              <w:t>107</w:t>
            </w:r>
          </w:p>
        </w:tc>
        <w:tc>
          <w:tcPr>
            <w:tcW w:type="dxa" w:w="5420"/>
            <w:vAlign w:val="center"/>
          </w:tcPr>
          <w:p>
            <w:pPr>
              <w:keepNext/>
              <w:spacing w:before="79" w:after="79" w:line="276" w:lineRule="auto"/>
            </w:pPr>
            <w:r>
              <w:rPr>
                <w:rFonts w:ascii="Calibri" w:hAnsi="Calibri"/>
                <w:sz w:val="20"/>
              </w:rPr>
              <w:t>Eutrophisation des eaux douces</w:t>
            </w:r>
          </w:p>
        </w:tc>
        <w:tc>
          <w:tcPr>
            <w:tcW w:type="dxa" w:w="2584"/>
            <w:vAlign w:val="center"/>
          </w:tcPr>
          <w:p>
            <w:pPr>
              <w:keepNext/>
              <w:spacing w:before="79" w:after="79" w:line="276" w:lineRule="auto"/>
            </w:pPr>
            <w:r>
              <w:rPr>
                <w:rFonts w:ascii="Calibri" w:hAnsi="Calibri"/>
                <w:sz w:val="20"/>
              </w:rPr>
              <w:t>kg P éq.</w:t>
            </w:r>
          </w:p>
        </w:tc>
      </w:tr>
      <w:tr>
        <w:trPr>
          <w:cantSplit/>
        </w:trPr>
        <w:tc>
          <w:tcPr>
            <w:tcW w:type="dxa" w:w="1634"/>
            <w:vAlign w:val="center"/>
          </w:tcPr>
          <w:p>
            <w:pPr>
              <w:keepNext/>
              <w:spacing w:before="79" w:after="79" w:line="276" w:lineRule="auto"/>
              <w:jc w:val="center"/>
            </w:pPr>
            <w:r>
              <w:rPr>
                <w:rFonts w:ascii="Calibri" w:hAnsi="Calibri"/>
                <w:sz w:val="20"/>
              </w:rPr>
              <w:t>108</w:t>
            </w:r>
          </w:p>
        </w:tc>
        <w:tc>
          <w:tcPr>
            <w:tcW w:type="dxa" w:w="5420"/>
            <w:vAlign w:val="center"/>
          </w:tcPr>
          <w:p>
            <w:pPr>
              <w:keepNext/>
              <w:spacing w:before="79" w:after="79" w:line="276" w:lineRule="auto"/>
            </w:pPr>
            <w:r>
              <w:rPr>
                <w:rFonts w:ascii="Calibri" w:hAnsi="Calibri"/>
                <w:sz w:val="20"/>
              </w:rPr>
              <w:t>Eutrophisation marine</w:t>
            </w:r>
          </w:p>
        </w:tc>
        <w:tc>
          <w:tcPr>
            <w:tcW w:type="dxa" w:w="2584"/>
            <w:vAlign w:val="center"/>
          </w:tcPr>
          <w:p>
            <w:pPr>
              <w:keepNext/>
              <w:spacing w:before="79" w:after="79" w:line="276" w:lineRule="auto"/>
            </w:pPr>
            <w:r>
              <w:rPr>
                <w:rFonts w:ascii="Calibri" w:hAnsi="Calibri"/>
                <w:sz w:val="20"/>
              </w:rPr>
              <w:t>kg N éq.</w:t>
            </w:r>
          </w:p>
        </w:tc>
      </w:tr>
      <w:tr>
        <w:trPr>
          <w:cantSplit/>
        </w:trPr>
        <w:tc>
          <w:tcPr>
            <w:tcW w:type="dxa" w:w="1634"/>
            <w:vAlign w:val="center"/>
          </w:tcPr>
          <w:p>
            <w:pPr>
              <w:keepNext/>
              <w:spacing w:before="79" w:after="79" w:line="276" w:lineRule="auto"/>
              <w:jc w:val="center"/>
            </w:pPr>
            <w:r>
              <w:rPr>
                <w:rFonts w:ascii="Calibri" w:hAnsi="Calibri"/>
                <w:sz w:val="20"/>
              </w:rPr>
              <w:t>109</w:t>
            </w:r>
          </w:p>
        </w:tc>
        <w:tc>
          <w:tcPr>
            <w:tcW w:type="dxa" w:w="5420"/>
            <w:vAlign w:val="center"/>
          </w:tcPr>
          <w:p>
            <w:pPr>
              <w:keepNext/>
              <w:spacing w:before="79" w:after="79" w:line="276" w:lineRule="auto"/>
            </w:pPr>
            <w:r>
              <w:rPr>
                <w:rFonts w:ascii="Calibri" w:hAnsi="Calibri"/>
                <w:sz w:val="20"/>
              </w:rPr>
              <w:t>Eutrophisation terrestre, dépassement cumulé</w:t>
            </w:r>
          </w:p>
        </w:tc>
        <w:tc>
          <w:tcPr>
            <w:tcW w:type="dxa" w:w="2584"/>
            <w:vAlign w:val="center"/>
          </w:tcPr>
          <w:p>
            <w:pPr>
              <w:keepNext/>
              <w:spacing w:before="79" w:after="79" w:line="276" w:lineRule="auto"/>
            </w:pPr>
            <w:r>
              <w:rPr>
                <w:rFonts w:ascii="Calibri" w:hAnsi="Calibri"/>
                <w:sz w:val="20"/>
              </w:rPr>
              <w:t>mol N éq.</w:t>
            </w:r>
          </w:p>
        </w:tc>
      </w:tr>
      <w:tr>
        <w:trPr>
          <w:cantSplit/>
        </w:trPr>
        <w:tc>
          <w:tcPr>
            <w:tcW w:type="dxa" w:w="1634"/>
            <w:vAlign w:val="center"/>
          </w:tcPr>
          <w:p>
            <w:pPr>
              <w:spacing w:before="79" w:after="79" w:line="276" w:lineRule="auto"/>
              <w:jc w:val="center"/>
            </w:pPr>
            <w:r>
              <w:rPr>
                <w:rFonts w:ascii="Calibri" w:hAnsi="Calibri"/>
                <w:sz w:val="20"/>
              </w:rPr>
              <w:t>116</w:t>
            </w:r>
          </w:p>
        </w:tc>
        <w:tc>
          <w:tcPr>
            <w:tcW w:type="dxa" w:w="5420"/>
            <w:vAlign w:val="center"/>
          </w:tcPr>
          <w:p>
            <w:pPr>
              <w:spacing w:before="79" w:after="79" w:line="276" w:lineRule="auto"/>
            </w:pPr>
            <w:r>
              <w:rPr>
                <w:rFonts w:ascii="Calibri" w:hAnsi="Calibri"/>
                <w:sz w:val="20"/>
              </w:rPr>
              <w:t>Écotoxicité pour les eaux douces</w:t>
            </w:r>
          </w:p>
        </w:tc>
        <w:tc>
          <w:tcPr>
            <w:tcW w:type="dxa" w:w="2584"/>
            <w:vAlign w:val="center"/>
          </w:tcPr>
          <w:p>
            <w:pPr>
              <w:spacing w:before="79" w:after="79" w:line="276" w:lineRule="auto"/>
            </w:pPr>
            <w:r>
              <w:rPr>
                <w:rFonts w:ascii="Calibri" w:hAnsi="Calibri"/>
                <w:sz w:val="20"/>
              </w:rPr>
              <w:t>CTUe</w:t>
            </w:r>
          </w:p>
        </w:tc>
      </w:tr>
    </w:tbl>
    <w:p>
      <w:pPr>
        <w:spacing w:before="57" w:after="227" w:line="288" w:lineRule="auto"/>
      </w:pPr>
      <w:r>
        <w:rPr>
          <w:rFonts w:ascii="Calibri" w:hAnsi="Calibri"/>
          <w:sz w:val="20"/>
        </w:rPr>
        <w:t>Sur neuf bâtiments de RSEE réels d'études RE2020 du groupe, les médianes par m² de surface de référence, phases A à C, sont 805 kg CO2 éq. pour le climat, puis 0,207 ; 0,0081 ; 0,037 ; 0,383 et 2,37 dans l'ordre du tableau. L'écotoxicité varie de 1,1 à 450 CTUe par m² : l'indicateur est déclaré de façon très inégale d'un produit à l'autre.</w:t>
      </w:r>
    </w:p>
    <w:p>
      <w:pPr>
        <w:pStyle w:val="Heading1"/>
        <w:keepNext/>
        <w:spacing w:before="397" w:after="170"/>
      </w:pPr>
      <w:r>
        <w:rPr>
          <w:rFonts w:ascii="Poppins" w:hAnsi="Poppins" w:cs="Poppins" w:eastAsia="Poppins"/>
          <w:color w:val="1A4F9C"/>
        </w:rPr>
        <w:t>Les ponts</w:t>
      </w:r>
    </w:p>
    <w:p>
      <w:pPr>
        <w:spacing w:before="57" w:after="227" w:line="288" w:lineRule="auto"/>
      </w:pPr>
      <w:r>
        <w:rPr>
          <w:rFonts w:ascii="Calibri" w:hAnsi="Calibri"/>
          <w:sz w:val="20"/>
        </w:rPr>
        <w:t>Une fraction d'espèces perdue (PDF) sur un m² pendant un an est rapprochée d'un m²HE·an, comme dans le contrôle Carbone 4 : aucune conversion publiée entre PDF et MSA n'a été lue. Les ponts passent par trois méthodes dont les facteurs sont publiés : IMPACT World+ (Bulle et al. 2019, article et supplément sous CC BY 4.0), ReCiPe 2016 (RIVM, tableur des facteurs v1.1) et GLOBIO 3.5 (PBL 2016).</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323"/>
        <w:gridCol w:w="4631"/>
        <w:gridCol w:w="3683"/>
      </w:tblGrid>
      <w:tr>
        <w:trPr>
          <w:tblHeader/>
          <w:cantSplit/>
        </w:trPr>
        <w:tc>
          <w:tcPr>
            <w:tcW w:type="dxa" w:w="1323"/>
            <w:vAlign w:val="center"/>
            <w:shd w:val="clear" w:color="auto" w:fill="202335"/>
          </w:tcPr>
          <w:p>
            <w:pPr>
              <w:spacing w:before="79" w:after="79" w:line="276" w:lineRule="auto"/>
              <w:jc w:val="center"/>
            </w:pPr>
            <w:r>
              <w:rPr>
                <w:rFonts w:ascii="Calibri" w:hAnsi="Calibri"/>
                <w:b/>
                <w:color w:val="FFFFFF"/>
                <w:sz w:val="20"/>
              </w:rPr>
              <w:t>Code</w:t>
            </w:r>
          </w:p>
        </w:tc>
        <w:tc>
          <w:tcPr>
            <w:tcW w:type="dxa" w:w="4631"/>
            <w:vAlign w:val="center"/>
            <w:shd w:val="clear" w:color="auto" w:fill="202335"/>
          </w:tcPr>
          <w:p>
            <w:pPr>
              <w:spacing w:before="79" w:after="79" w:line="276" w:lineRule="auto"/>
            </w:pPr>
            <w:r>
              <w:rPr>
                <w:rFonts w:ascii="Calibri" w:hAnsi="Calibri"/>
                <w:b/>
                <w:color w:val="FFFFFF"/>
                <w:sz w:val="20"/>
              </w:rPr>
              <w:t>Pont</w:t>
            </w:r>
          </w:p>
        </w:tc>
        <w:tc>
          <w:tcPr>
            <w:tcW w:type="dxa" w:w="3684"/>
            <w:vAlign w:val="center"/>
            <w:shd w:val="clear" w:color="auto" w:fill="202335"/>
          </w:tcPr>
          <w:p>
            <w:pPr>
              <w:spacing w:before="79" w:after="79" w:line="276" w:lineRule="auto"/>
            </w:pPr>
            <w:r>
              <w:rPr>
                <w:rFonts w:ascii="Calibri" w:hAnsi="Calibri"/>
                <w:b/>
                <w:color w:val="FFFFFF"/>
                <w:sz w:val="20"/>
              </w:rPr>
              <w:t>Facteur, en PDF·m²·an par unité</w:t>
            </w:r>
          </w:p>
        </w:tc>
      </w:tr>
      <w:tr>
        <w:trPr>
          <w:cantSplit/>
        </w:trPr>
        <w:tc>
          <w:tcPr>
            <w:tcW w:type="dxa" w:w="1323"/>
            <w:vAlign w:val="center"/>
          </w:tcPr>
          <w:p>
            <w:pPr>
              <w:spacing w:before="79" w:after="79" w:line="276" w:lineRule="auto"/>
              <w:jc w:val="center"/>
            </w:pPr>
            <w:r>
              <w:rPr>
                <w:rFonts w:ascii="Calibri" w:hAnsi="Calibri"/>
                <w:sz w:val="20"/>
              </w:rPr>
              <w:t>116</w:t>
            </w:r>
          </w:p>
        </w:tc>
        <w:tc>
          <w:tcPr>
            <w:tcW w:type="dxa" w:w="4631"/>
            <w:vAlign w:val="center"/>
          </w:tcPr>
          <w:p>
            <w:pPr>
              <w:spacing w:before="79" w:after="79" w:line="276" w:lineRule="auto"/>
            </w:pPr>
            <w:r>
              <w:rPr>
                <w:rFonts w:ascii="Calibri" w:hAnsi="Calibri"/>
                <w:sz w:val="20"/>
              </w:rPr>
              <w:t>IMPACT World+ : un CTUe vaut une fraction d'espèces affectées (PAF) par m³ et par jour ; facteur de gravité de 0,5 pour passer de PAF à PDF ; profondeur moyenne de 2,5 m pour passer des m³ aux m² ; 365 jours</w:t>
            </w:r>
          </w:p>
        </w:tc>
        <w:tc>
          <w:tcPr>
            <w:tcW w:type="dxa" w:w="3684"/>
            <w:vAlign w:val="center"/>
          </w:tcPr>
          <w:p>
            <w:pPr>
              <w:spacing w:before="79" w:after="79" w:line="276" w:lineRule="auto"/>
            </w:pPr>
            <w:r>
              <w:rPr>
                <w:rFonts w:ascii="Calibri" w:hAnsi="Calibri"/>
                <w:sz w:val="20"/>
              </w:rPr>
              <w:t>5,5 × 10⁻⁴</w:t>
            </w:r>
          </w:p>
        </w:tc>
      </w:tr>
      <w:tr>
        <w:trPr>
          <w:cantSplit/>
        </w:trPr>
        <w:tc>
          <w:tcPr>
            <w:tcW w:type="dxa" w:w="1323"/>
            <w:vAlign w:val="center"/>
          </w:tcPr>
          <w:p>
            <w:pPr>
              <w:spacing w:before="79" w:after="79" w:line="276" w:lineRule="auto"/>
              <w:jc w:val="center"/>
            </w:pPr>
            <w:r>
              <w:rPr>
                <w:rFonts w:ascii="Calibri" w:hAnsi="Calibri"/>
                <w:sz w:val="20"/>
              </w:rPr>
              <w:t>106</w:t>
            </w:r>
          </w:p>
        </w:tc>
        <w:tc>
          <w:tcPr>
            <w:tcW w:type="dxa" w:w="4631"/>
            <w:vAlign w:val="center"/>
          </w:tcPr>
          <w:p>
            <w:pPr>
              <w:spacing w:before="79" w:after="79" w:line="276" w:lineRule="auto"/>
            </w:pPr>
            <w:r>
              <w:rPr>
                <w:rFonts w:ascii="Calibri" w:hAnsi="Calibri"/>
                <w:sz w:val="20"/>
              </w:rPr>
              <w:t>Passage du dépassement cumulé en kg SO2 éq. par la composition du flux acide (facteurs EF de 1,31, 0,74 et 3,02 mol H+ éq. par kg de SO2, NOx et NH3, méthode EF d'acidification par dépassement cumulé (Seppälä et al. 2006, Posch et al. 2008), jeu de données ÖKOBAU.DAT 01.03.010, émissions dans l'air ; facteurs ReCiPe de 1, 0,36 et 1,96 kg SO2 éq.), puis ReCiPe : 2,12 × 10⁻⁷ espèce·an par kg SO2 éq., divisé par la densité d'espèces terrestres de 1,48 × 10⁻⁸ par m²</w:t>
            </w:r>
          </w:p>
        </w:tc>
        <w:tc>
          <w:tcPr>
            <w:tcW w:type="dxa" w:w="3684"/>
            <w:vAlign w:val="center"/>
          </w:tcPr>
          <w:p>
            <w:pPr>
              <w:spacing w:before="79" w:after="79" w:line="276" w:lineRule="auto"/>
            </w:pPr>
            <w:r>
              <w:rPr>
                <w:rFonts w:ascii="Calibri" w:hAnsi="Calibri"/>
                <w:sz w:val="20"/>
              </w:rPr>
              <w:t>7,0 à 10,9</w:t>
            </w:r>
          </w:p>
        </w:tc>
      </w:tr>
      <w:tr>
        <w:trPr>
          <w:cantSplit/>
        </w:trPr>
        <w:tc>
          <w:tcPr>
            <w:tcW w:type="dxa" w:w="1323"/>
            <w:vAlign w:val="center"/>
          </w:tcPr>
          <w:p>
            <w:pPr>
              <w:spacing w:before="79" w:after="79" w:line="276" w:lineRule="auto"/>
              <w:jc w:val="center"/>
            </w:pPr>
            <w:r>
              <w:rPr>
                <w:rFonts w:ascii="Calibri" w:hAnsi="Calibri"/>
                <w:sz w:val="20"/>
              </w:rPr>
              <w:t>109</w:t>
            </w:r>
          </w:p>
        </w:tc>
        <w:tc>
          <w:tcPr>
            <w:tcW w:type="dxa" w:w="4631"/>
            <w:vAlign w:val="center"/>
          </w:tcPr>
          <w:p>
            <w:pPr>
              <w:spacing w:before="79" w:after="79" w:line="276" w:lineRule="auto"/>
            </w:pPr>
            <w:r>
              <w:rPr>
                <w:rFonts w:ascii="Calibri" w:hAnsi="Calibri"/>
                <w:sz w:val="20"/>
              </w:rPr>
              <w:t>GLOBIO 3.5, tableau 4.1 : MSA = 1 - 0,220 ln(NE + 1) en forêt, NE étant l'azote déposé au-delà de la charge critique en g/m²/an ; le dépassement cumulé mesure ce même excès ; pente à l'origine, puis là où la charge critique est déjà dépassée d'1 g/m²/an</w:t>
            </w:r>
          </w:p>
        </w:tc>
        <w:tc>
          <w:tcPr>
            <w:tcW w:type="dxa" w:w="3684"/>
            <w:vAlign w:val="center"/>
          </w:tcPr>
          <w:p>
            <w:pPr>
              <w:spacing w:before="79" w:after="79" w:line="276" w:lineRule="auto"/>
            </w:pPr>
            <w:r>
              <w:rPr>
                <w:rFonts w:ascii="Calibri" w:hAnsi="Calibri"/>
                <w:sz w:val="20"/>
              </w:rPr>
              <w:t>1,5 à 3,1</w:t>
            </w:r>
          </w:p>
        </w:tc>
      </w:tr>
      <w:tr>
        <w:trPr>
          <w:cantSplit/>
        </w:trPr>
        <w:tc>
          <w:tcPr>
            <w:tcW w:type="dxa" w:w="1323"/>
            <w:vAlign w:val="center"/>
          </w:tcPr>
          <w:p>
            <w:pPr>
              <w:spacing w:before="79" w:after="79" w:line="276" w:lineRule="auto"/>
              <w:jc w:val="center"/>
            </w:pPr>
            <w:r>
              <w:rPr>
                <w:rFonts w:ascii="Calibri" w:hAnsi="Calibri"/>
                <w:sz w:val="20"/>
              </w:rPr>
              <w:t>107</w:t>
            </w:r>
          </w:p>
        </w:tc>
        <w:tc>
          <w:tcPr>
            <w:tcW w:type="dxa" w:w="4631"/>
            <w:vAlign w:val="center"/>
          </w:tcPr>
          <w:p>
            <w:pPr>
              <w:spacing w:before="79" w:after="79" w:line="276" w:lineRule="auto"/>
            </w:pPr>
            <w:r>
              <w:rPr>
                <w:rFonts w:ascii="Calibri" w:hAnsi="Calibri"/>
                <w:sz w:val="20"/>
              </w:rPr>
              <w:t>ReCiPe : 6,71 × 10⁻⁷ espèce·an par kg P éq., divisé par la densité d'espèces d'eau douce (7,89 × 10⁻¹⁰ par m³) et la profondeur de 2,5 m ; borne basse : facteur d'effet d'IMPACT World+, 11,4 par kg PO4 éq.</w:t>
            </w:r>
          </w:p>
        </w:tc>
        <w:tc>
          <w:tcPr>
            <w:tcW w:type="dxa" w:w="3684"/>
            <w:vAlign w:val="center"/>
          </w:tcPr>
          <w:p>
            <w:pPr>
              <w:spacing w:before="79" w:after="79" w:line="276" w:lineRule="auto"/>
            </w:pPr>
            <w:r>
              <w:rPr>
                <w:rFonts w:ascii="Calibri" w:hAnsi="Calibri"/>
                <w:sz w:val="20"/>
              </w:rPr>
              <w:t>35 à 340</w:t>
            </w:r>
          </w:p>
        </w:tc>
      </w:tr>
      <w:tr>
        <w:trPr>
          <w:cantSplit/>
        </w:trPr>
        <w:tc>
          <w:tcPr>
            <w:tcW w:type="dxa" w:w="1323"/>
            <w:vAlign w:val="center"/>
          </w:tcPr>
          <w:p>
            <w:pPr>
              <w:spacing w:before="79" w:after="79" w:line="276" w:lineRule="auto"/>
              <w:jc w:val="center"/>
            </w:pPr>
            <w:r>
              <w:rPr>
                <w:rFonts w:ascii="Calibri" w:hAnsi="Calibri"/>
                <w:sz w:val="20"/>
              </w:rPr>
              <w:t>108</w:t>
            </w:r>
          </w:p>
        </w:tc>
        <w:tc>
          <w:tcPr>
            <w:tcW w:type="dxa" w:w="4631"/>
            <w:vAlign w:val="center"/>
          </w:tcPr>
          <w:p>
            <w:pPr>
              <w:spacing w:before="79" w:after="79" w:line="276" w:lineRule="auto"/>
            </w:pPr>
            <w:r>
              <w:rPr>
                <w:rFonts w:ascii="Calibri" w:hAnsi="Calibri"/>
                <w:sz w:val="20"/>
              </w:rPr>
              <w:t>IMPACT World+ : facteur d'effet empirique de 12,5 par kg d'azote déposé en zone côtière</w:t>
            </w:r>
          </w:p>
        </w:tc>
        <w:tc>
          <w:tcPr>
            <w:tcW w:type="dxa" w:w="3684"/>
            <w:vAlign w:val="center"/>
          </w:tcPr>
          <w:p>
            <w:pPr>
              <w:spacing w:before="79" w:after="79" w:line="276" w:lineRule="auto"/>
              <w:jc w:val="center"/>
            </w:pPr>
            <w:r>
              <w:rPr>
                <w:rFonts w:ascii="Calibri" w:hAnsi="Calibri"/>
                <w:sz w:val="20"/>
              </w:rPr>
              <w:t>12,5</w:t>
            </w:r>
          </w:p>
        </w:tc>
      </w:tr>
    </w:tbl>
    <w:p>
      <w:pPr>
        <w:spacing w:before="57" w:after="227" w:line="288" w:lineRule="auto"/>
      </w:pPr>
      <w:r>
        <w:rPr>
          <w:rFonts w:ascii="Calibri" w:hAnsi="Calibri"/>
          <w:sz w:val="20"/>
        </w:rPr>
        <w:t>Deux réserves, et un point vérifié. Le pont 106 dépend de la composition du flux acide, mais il en bouge peu (de 7,0 à 10,9) ; ses facteurs EF ont été relus sur le jeu de données de la méthode publié par ÖKOBAU.DAT. Le pont 107 couvre un facteur dix, selon qu'on suit ReCiPe ou IMPACT World+. Le pont 116 applique la conversion d'IMPACT World+ à des CTUe calculés selon la variante EF d'USEtox, qui ne fixe pas les facteurs d'effet sur la même base. Il donne donc un ordre de grandeur, pas une valeur.</w:t>
      </w:r>
    </w:p>
    <w:p>
      <w:pPr>
        <w:pStyle w:val="Heading1"/>
        <w:keepNext/>
        <w:spacing w:before="397" w:after="170"/>
      </w:pPr>
      <w:r>
        <w:rPr>
          <w:rFonts w:ascii="Poppins" w:hAnsi="Poppins" w:cs="Poppins" w:eastAsia="Poppins"/>
          <w:color w:val="1A4F9C"/>
        </w:rPr>
        <w:t>Ce que pèse la pollution</w:t>
      </w:r>
    </w:p>
    <w:p>
      <w:pPr>
        <w:keepNext/>
        <w:spacing w:before="57" w:after="227" w:line="288" w:lineRule="auto"/>
      </w:pPr>
      <w:r>
        <w:rPr>
          <w:rFonts w:ascii="Calibri" w:hAnsi="Calibri"/>
          <w:sz w:val="20"/>
        </w:rPr>
        <w:t>Sur le bâtiment médian, en m²HE·an par m² de surface de référence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5521"/>
        <w:gridCol w:w="2057"/>
        <w:gridCol w:w="2057"/>
      </w:tblGrid>
      <w:tr>
        <w:trPr>
          <w:tblHeader/>
          <w:cantSplit/>
        </w:trPr>
        <w:tc>
          <w:tcPr>
            <w:tcW w:type="dxa" w:w="5522"/>
            <w:vAlign w:val="center"/>
            <w:shd w:val="clear" w:color="auto" w:fill="202335"/>
          </w:tcPr>
          <w:p>
            <w:pPr>
              <w:keepNext/>
              <w:spacing w:before="79" w:after="79" w:line="276" w:lineRule="auto"/>
            </w:pPr>
            <w:r>
              <w:rPr>
                <w:rFonts w:ascii="Calibri" w:hAnsi="Calibri"/>
                <w:b/>
                <w:color w:val="FFFFFF"/>
                <w:sz w:val="20"/>
              </w:rPr>
              <w:t>Code</w:t>
            </w:r>
          </w:p>
        </w:tc>
        <w:tc>
          <w:tcPr>
            <w:tcW w:type="dxa" w:w="2058"/>
            <w:vAlign w:val="center"/>
            <w:shd w:val="clear" w:color="auto" w:fill="202335"/>
          </w:tcPr>
          <w:p>
            <w:pPr>
              <w:keepNext/>
              <w:spacing w:before="79" w:after="79" w:line="276" w:lineRule="auto"/>
              <w:jc w:val="center"/>
            </w:pPr>
            <w:r>
              <w:rPr>
                <w:rFonts w:ascii="Calibri" w:hAnsi="Calibri"/>
                <w:b/>
                <w:color w:val="FFFFFF"/>
                <w:sz w:val="20"/>
              </w:rPr>
              <w:t>Bas</w:t>
            </w:r>
          </w:p>
        </w:tc>
        <w:tc>
          <w:tcPr>
            <w:tcW w:type="dxa" w:w="2058"/>
            <w:vAlign w:val="center"/>
            <w:shd w:val="clear" w:color="auto" w:fill="202335"/>
          </w:tcPr>
          <w:p>
            <w:pPr>
              <w:keepNext/>
              <w:spacing w:before="79" w:after="79" w:line="276" w:lineRule="auto"/>
              <w:jc w:val="center"/>
            </w:pPr>
            <w:r>
              <w:rPr>
                <w:rFonts w:ascii="Calibri" w:hAnsi="Calibri"/>
                <w:b/>
                <w:color w:val="FFFFFF"/>
                <w:sz w:val="20"/>
              </w:rPr>
              <w:t>Haut</w:t>
            </w:r>
          </w:p>
        </w:tc>
      </w:tr>
      <w:tr>
        <w:trPr>
          <w:cantSplit/>
        </w:trPr>
        <w:tc>
          <w:tcPr>
            <w:tcW w:type="dxa" w:w="5522"/>
            <w:vAlign w:val="center"/>
          </w:tcPr>
          <w:p>
            <w:pPr>
              <w:keepNext/>
              <w:spacing w:before="79" w:after="79" w:line="276" w:lineRule="auto"/>
            </w:pPr>
            <w:r>
              <w:rPr>
                <w:rFonts w:ascii="Calibri" w:hAnsi="Calibri"/>
                <w:sz w:val="20"/>
              </w:rPr>
              <w:t>106 acidification</w:t>
            </w:r>
          </w:p>
        </w:tc>
        <w:tc>
          <w:tcPr>
            <w:tcW w:type="dxa" w:w="2058"/>
            <w:vAlign w:val="center"/>
          </w:tcPr>
          <w:p>
            <w:pPr>
              <w:keepNext/>
              <w:spacing w:before="79" w:after="79" w:line="276" w:lineRule="auto"/>
              <w:jc w:val="center"/>
            </w:pPr>
            <w:r>
              <w:rPr>
                <w:rFonts w:ascii="Calibri" w:hAnsi="Calibri"/>
                <w:sz w:val="20"/>
              </w:rPr>
              <w:t>1,44</w:t>
            </w:r>
          </w:p>
        </w:tc>
        <w:tc>
          <w:tcPr>
            <w:tcW w:type="dxa" w:w="2058"/>
            <w:vAlign w:val="center"/>
          </w:tcPr>
          <w:p>
            <w:pPr>
              <w:keepNext/>
              <w:spacing w:before="79" w:after="79" w:line="276" w:lineRule="auto"/>
              <w:jc w:val="center"/>
            </w:pPr>
            <w:r>
              <w:rPr>
                <w:rFonts w:ascii="Calibri" w:hAnsi="Calibri"/>
                <w:sz w:val="20"/>
              </w:rPr>
              <w:t>2,26</w:t>
            </w:r>
          </w:p>
        </w:tc>
      </w:tr>
      <w:tr>
        <w:trPr>
          <w:cantSplit/>
        </w:trPr>
        <w:tc>
          <w:tcPr>
            <w:tcW w:type="dxa" w:w="5522"/>
            <w:vAlign w:val="center"/>
          </w:tcPr>
          <w:p>
            <w:pPr>
              <w:keepNext/>
              <w:spacing w:before="79" w:after="79" w:line="276" w:lineRule="auto"/>
            </w:pPr>
            <w:r>
              <w:rPr>
                <w:rFonts w:ascii="Calibri" w:hAnsi="Calibri"/>
                <w:sz w:val="20"/>
              </w:rPr>
              <w:t>107 eutrophisation des eaux douces</w:t>
            </w:r>
          </w:p>
        </w:tc>
        <w:tc>
          <w:tcPr>
            <w:tcW w:type="dxa" w:w="2058"/>
            <w:vAlign w:val="center"/>
          </w:tcPr>
          <w:p>
            <w:pPr>
              <w:keepNext/>
              <w:spacing w:before="79" w:after="79" w:line="276" w:lineRule="auto"/>
              <w:jc w:val="center"/>
            </w:pPr>
            <w:r>
              <w:rPr>
                <w:rFonts w:ascii="Calibri" w:hAnsi="Calibri"/>
                <w:sz w:val="20"/>
              </w:rPr>
              <w:t>0,28</w:t>
            </w:r>
          </w:p>
        </w:tc>
        <w:tc>
          <w:tcPr>
            <w:tcW w:type="dxa" w:w="2058"/>
            <w:vAlign w:val="center"/>
          </w:tcPr>
          <w:p>
            <w:pPr>
              <w:keepNext/>
              <w:spacing w:before="79" w:after="79" w:line="276" w:lineRule="auto"/>
              <w:jc w:val="center"/>
            </w:pPr>
            <w:r>
              <w:rPr>
                <w:rFonts w:ascii="Calibri" w:hAnsi="Calibri"/>
                <w:sz w:val="20"/>
              </w:rPr>
              <w:t>2,74</w:t>
            </w:r>
          </w:p>
        </w:tc>
      </w:tr>
      <w:tr>
        <w:trPr>
          <w:cantSplit/>
        </w:trPr>
        <w:tc>
          <w:tcPr>
            <w:tcW w:type="dxa" w:w="5522"/>
            <w:vAlign w:val="center"/>
          </w:tcPr>
          <w:p>
            <w:pPr>
              <w:keepNext/>
              <w:spacing w:before="79" w:after="79" w:line="276" w:lineRule="auto"/>
            </w:pPr>
            <w:r>
              <w:rPr>
                <w:rFonts w:ascii="Calibri" w:hAnsi="Calibri"/>
                <w:sz w:val="20"/>
              </w:rPr>
              <w:t>108 eutrophisation marine</w:t>
            </w:r>
          </w:p>
        </w:tc>
        <w:tc>
          <w:tcPr>
            <w:tcW w:type="dxa" w:w="2058"/>
            <w:vAlign w:val="center"/>
          </w:tcPr>
          <w:p>
            <w:pPr>
              <w:keepNext/>
              <w:spacing w:before="79" w:after="79" w:line="276" w:lineRule="auto"/>
              <w:jc w:val="center"/>
            </w:pPr>
            <w:r>
              <w:rPr>
                <w:rFonts w:ascii="Calibri" w:hAnsi="Calibri"/>
                <w:sz w:val="20"/>
              </w:rPr>
              <w:t>0,46</w:t>
            </w:r>
          </w:p>
        </w:tc>
        <w:tc>
          <w:tcPr>
            <w:tcW w:type="dxa" w:w="2058"/>
            <w:vAlign w:val="center"/>
          </w:tcPr>
          <w:p>
            <w:pPr>
              <w:keepNext/>
              <w:spacing w:before="79" w:after="79" w:line="276" w:lineRule="auto"/>
              <w:jc w:val="center"/>
            </w:pPr>
            <w:r>
              <w:rPr>
                <w:rFonts w:ascii="Calibri" w:hAnsi="Calibri"/>
                <w:sz w:val="20"/>
              </w:rPr>
              <w:t>0,46</w:t>
            </w:r>
          </w:p>
        </w:tc>
      </w:tr>
      <w:tr>
        <w:trPr>
          <w:cantSplit/>
        </w:trPr>
        <w:tc>
          <w:tcPr>
            <w:tcW w:type="dxa" w:w="5522"/>
            <w:vAlign w:val="center"/>
          </w:tcPr>
          <w:p>
            <w:pPr>
              <w:keepNext/>
              <w:spacing w:before="79" w:after="79" w:line="276" w:lineRule="auto"/>
            </w:pPr>
            <w:r>
              <w:rPr>
                <w:rFonts w:ascii="Calibri" w:hAnsi="Calibri"/>
                <w:sz w:val="20"/>
              </w:rPr>
              <w:t>109 eutrophisation terrestre</w:t>
            </w:r>
          </w:p>
        </w:tc>
        <w:tc>
          <w:tcPr>
            <w:tcW w:type="dxa" w:w="2058"/>
            <w:vAlign w:val="center"/>
          </w:tcPr>
          <w:p>
            <w:pPr>
              <w:keepNext/>
              <w:spacing w:before="79" w:after="79" w:line="276" w:lineRule="auto"/>
              <w:jc w:val="center"/>
            </w:pPr>
            <w:r>
              <w:rPr>
                <w:rFonts w:ascii="Calibri" w:hAnsi="Calibri"/>
                <w:sz w:val="20"/>
              </w:rPr>
              <w:t>0,59</w:t>
            </w:r>
          </w:p>
        </w:tc>
        <w:tc>
          <w:tcPr>
            <w:tcW w:type="dxa" w:w="2058"/>
            <w:vAlign w:val="center"/>
          </w:tcPr>
          <w:p>
            <w:pPr>
              <w:keepNext/>
              <w:spacing w:before="79" w:after="79" w:line="276" w:lineRule="auto"/>
              <w:jc w:val="center"/>
            </w:pPr>
            <w:r>
              <w:rPr>
                <w:rFonts w:ascii="Calibri" w:hAnsi="Calibri"/>
                <w:sz w:val="20"/>
              </w:rPr>
              <w:t>1,18</w:t>
            </w:r>
          </w:p>
        </w:tc>
      </w:tr>
      <w:tr>
        <w:trPr>
          <w:cantSplit/>
        </w:trPr>
        <w:tc>
          <w:tcPr>
            <w:tcW w:type="dxa" w:w="5522"/>
            <w:vAlign w:val="center"/>
          </w:tcPr>
          <w:p>
            <w:pPr>
              <w:keepNext/>
              <w:spacing w:before="79" w:after="79" w:line="276" w:lineRule="auto"/>
            </w:pPr>
            <w:r>
              <w:rPr>
                <w:rFonts w:ascii="Calibri" w:hAnsi="Calibri"/>
                <w:sz w:val="20"/>
              </w:rPr>
              <w:t>116 écotoxicité</w:t>
            </w:r>
          </w:p>
        </w:tc>
        <w:tc>
          <w:tcPr>
            <w:tcW w:type="dxa" w:w="2058"/>
            <w:vAlign w:val="center"/>
          </w:tcPr>
          <w:p>
            <w:pPr>
              <w:keepNext/>
              <w:spacing w:before="79" w:after="79" w:line="276" w:lineRule="auto"/>
              <w:jc w:val="center"/>
            </w:pPr>
            <w:r>
              <w:rPr>
                <w:rFonts w:ascii="Calibri" w:hAnsi="Calibri"/>
                <w:sz w:val="20"/>
              </w:rPr>
              <w:t>0,001</w:t>
            </w:r>
          </w:p>
        </w:tc>
        <w:tc>
          <w:tcPr>
            <w:tcW w:type="dxa" w:w="2058"/>
            <w:vAlign w:val="center"/>
          </w:tcPr>
          <w:p>
            <w:pPr>
              <w:keepNext/>
              <w:spacing w:before="79" w:after="79" w:line="276" w:lineRule="auto"/>
              <w:jc w:val="center"/>
            </w:pPr>
            <w:r>
              <w:rPr>
                <w:rFonts w:ascii="Calibri" w:hAnsi="Calibri"/>
                <w:sz w:val="20"/>
              </w:rPr>
              <w:t>0,001</w:t>
            </w:r>
          </w:p>
        </w:tc>
      </w:tr>
      <w:tr>
        <w:trPr>
          <w:cantSplit/>
        </w:trPr>
        <w:tc>
          <w:tcPr>
            <w:tcW w:type="dxa" w:w="5522"/>
            <w:vAlign w:val="center"/>
          </w:tcPr>
          <w:p>
            <w:pPr>
              <w:keepNext/>
              <w:spacing w:before="79" w:after="79" w:line="276" w:lineRule="auto"/>
            </w:pPr>
            <w:r>
              <w:rPr>
                <w:rFonts w:ascii="Calibri" w:hAnsi="Calibri"/>
                <w:sz w:val="20"/>
              </w:rPr>
              <w:t>Pollution</w:t>
            </w:r>
          </w:p>
        </w:tc>
        <w:tc>
          <w:tcPr>
            <w:tcW w:type="dxa" w:w="2058"/>
            <w:vAlign w:val="center"/>
          </w:tcPr>
          <w:p>
            <w:pPr>
              <w:keepNext/>
              <w:spacing w:before="79" w:after="79" w:line="276" w:lineRule="auto"/>
              <w:jc w:val="center"/>
            </w:pPr>
            <w:r>
              <w:rPr>
                <w:rFonts w:ascii="Calibri" w:hAnsi="Calibri"/>
                <w:sz w:val="20"/>
              </w:rPr>
              <w:t>2,8</w:t>
            </w:r>
          </w:p>
        </w:tc>
        <w:tc>
          <w:tcPr>
            <w:tcW w:type="dxa" w:w="2058"/>
            <w:vAlign w:val="center"/>
          </w:tcPr>
          <w:p>
            <w:pPr>
              <w:keepNext/>
              <w:spacing w:before="79" w:after="79" w:line="276" w:lineRule="auto"/>
              <w:jc w:val="center"/>
            </w:pPr>
            <w:r>
              <w:rPr>
                <w:rFonts w:ascii="Calibri" w:hAnsi="Calibri"/>
                <w:sz w:val="20"/>
              </w:rPr>
              <w:t>6,6</w:t>
            </w:r>
          </w:p>
        </w:tc>
      </w:tr>
      <w:tr>
        <w:trPr>
          <w:cantSplit/>
        </w:trPr>
        <w:tc>
          <w:tcPr>
            <w:tcW w:type="dxa" w:w="5522"/>
            <w:vAlign w:val="center"/>
          </w:tcPr>
          <w:p>
            <w:pPr>
              <w:spacing w:before="79" w:after="79" w:line="276" w:lineRule="auto"/>
            </w:pPr>
            <w:r>
              <w:rPr>
                <w:rFonts w:ascii="Calibri" w:hAnsi="Calibri"/>
                <w:sz w:val="20"/>
              </w:rPr>
              <w:t>Climat compté dans Inat, borne haute</w:t>
            </w:r>
          </w:p>
        </w:tc>
        <w:tc>
          <w:tcPr>
            <w:tcW w:type="dxa" w:w="2058"/>
            <w:vAlign w:val="center"/>
          </w:tcPr>
          <w:p>
            <w:pPr>
              <w:spacing w:before="79" w:after="79" w:line="276" w:lineRule="auto"/>
              <w:jc w:val="center"/>
            </w:pPr>
            <w:r>
              <w:rPr>
                <w:rFonts w:ascii="Calibri" w:hAnsi="Calibri"/>
                <w:sz w:val="20"/>
              </w:rPr>
              <w:t>72,7</w:t>
            </w:r>
          </w:p>
        </w:tc>
        <w:tc>
          <w:tcPr>
            <w:tcW w:type="dxa" w:w="2058"/>
            <w:vAlign w:val="center"/>
          </w:tcPr>
          <w:p>
            <w:pPr>
              <w:spacing w:before="79" w:after="79" w:line="276" w:lineRule="auto"/>
              <w:jc w:val="center"/>
            </w:pPr>
            <w:r>
              <w:rPr>
                <w:rFonts w:ascii="Calibri" w:hAnsi="Calibri"/>
                <w:sz w:val="20"/>
              </w:rPr>
              <w:t>72,7</w:t>
            </w:r>
          </w:p>
        </w:tc>
      </w:tr>
    </w:tbl>
    <w:p>
      <w:pPr>
        <w:spacing w:before="57" w:after="227" w:line="288" w:lineRule="auto"/>
      </w:pPr>
      <w:r>
        <w:rPr>
          <w:rFonts w:ascii="Calibri" w:hAnsi="Calibri"/>
          <w:sz w:val="20"/>
        </w:rPr>
        <w:t>La pollution fait donc de 3,8 à 9,1 % du climat sur le bâtiment médian. Bâtiment par bâtiment, la part va de 0 à 6 % en borne basse et de 0 à 13 % en borne haute. Le zéro est celui d'un RSEE qui ne déclare presque aucun indicateur de pollution. L'écotoxicité ne dépasse pas 0,25 m²HE·an par m², même pour le bâtiment qui déclare 450 CTUe par m².</w:t>
      </w:r>
    </w:p>
    <w:p>
      <w:pPr>
        <w:spacing w:before="57" w:after="227" w:line="288" w:lineRule="auto"/>
      </w:pPr>
      <w:r>
        <w:rPr>
          <w:rFonts w:ascii="Calibri" w:hAnsi="Calibri"/>
          <w:sz w:val="20"/>
        </w:rPr>
        <w:t>Deux contrôles croisés vont dans le même sens. Avec la densité d'espèces de ReCiPe, son facteur climat vaut 0,19 PDF·m²·an par kg CO2 éq., contre 0,09 m²HE·an dans OpenNAT : le climat d'OpenNAT n'est pas surestimé face à ReCiPe. Et IMPACT World+ écrit lui-même que ses facteurs de normalisation de l'écotoxicité des eaux douces varient d'environ trois ordres de grandeur d'une méthode à l'autre.</w:t>
      </w:r>
    </w:p>
    <w:p>
      <w:pPr>
        <w:pStyle w:val="Heading1"/>
        <w:keepNext/>
        <w:spacing w:before="397" w:after="170"/>
      </w:pPr>
      <w:r>
        <w:rPr>
          <w:rFonts w:ascii="Poppins" w:hAnsi="Poppins" w:cs="Poppins" w:eastAsia="Poppins"/>
          <w:color w:val="1A4F9C"/>
        </w:rPr>
        <w:t>Pourquoi Carbone 4 trouve 51 %</w:t>
      </w:r>
    </w:p>
    <w:p>
      <w:pPr>
        <w:spacing w:before="57" w:after="227" w:line="288" w:lineRule="auto"/>
      </w:pPr>
      <w:r>
        <w:rPr>
          <w:rFonts w:ascii="Calibri" w:hAnsi="Calibri"/>
          <w:sz w:val="20"/>
        </w:rPr>
        <w:t>Carbone 4 ne part pas des indicateurs de pollution des fiches. Pour les pressions que les fiches ne couvrent pas, dont l'écotoxicité, l'étude prend un jeu ecoinvent représentatif du produit, mis à l'échelle de son empreinte carbone, puis le caractérise par IMPACT World+. Elle attribue la pollution « très largement » au béton : métaux lourds de la cuisson du clinker et extraction. Les inventaires ecoinvent détaillent les émissions de métaux, et IMPACT World+ y applique des facteurs à long terme, au-delà de 100 ans, qui ne pèsent que pour les substances persistantes comme les métaux. Rien de cela ne passe par les CTUe déclarés dans les fiches. La part de 51 % est le résultat de ce modèle. Elle ne peut pas se reconstruire à partir des données dont dispose une étude RE2020.</w:t>
      </w:r>
    </w:p>
    <w:p>
      <w:pPr>
        <w:pStyle w:val="Heading1"/>
        <w:keepNext/>
        <w:spacing w:before="397" w:after="170"/>
      </w:pPr>
      <w:r>
        <w:rPr>
          <w:rFonts w:ascii="Poppins" w:hAnsi="Poppins" w:cs="Poppins" w:eastAsia="Poppins"/>
          <w:color w:val="1A4F9C"/>
        </w:rPr>
        <w:t>Options pour le conseil</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333"/>
        <w:gridCol w:w="3652"/>
        <w:gridCol w:w="3652"/>
      </w:tblGrid>
      <w:tr>
        <w:trPr>
          <w:tblHeader/>
          <w:cantSplit/>
        </w:trPr>
        <w:tc>
          <w:tcPr>
            <w:tcW w:type="dxa" w:w="2333"/>
            <w:vAlign w:val="center"/>
            <w:shd w:val="clear" w:color="auto" w:fill="202335"/>
          </w:tcPr>
          <w:p>
            <w:pPr>
              <w:keepNext/>
              <w:spacing w:before="79" w:after="79" w:line="276" w:lineRule="auto"/>
            </w:pPr>
            <w:r>
              <w:rPr>
                <w:rFonts w:ascii="Calibri" w:hAnsi="Calibri"/>
                <w:b/>
                <w:color w:val="FFFFFF"/>
                <w:sz w:val="20"/>
              </w:rPr>
              <w:t>Option</w:t>
            </w:r>
          </w:p>
        </w:tc>
        <w:tc>
          <w:tcPr>
            <w:tcW w:type="dxa" w:w="3652"/>
            <w:vAlign w:val="center"/>
            <w:shd w:val="clear" w:color="auto" w:fill="202335"/>
          </w:tcPr>
          <w:p>
            <w:pPr>
              <w:keepNext/>
              <w:spacing w:before="79" w:after="79" w:line="276" w:lineRule="auto"/>
            </w:pPr>
            <w:r>
              <w:rPr>
                <w:rFonts w:ascii="Calibri" w:hAnsi="Calibri"/>
                <w:b/>
                <w:color w:val="FFFFFF"/>
                <w:sz w:val="20"/>
              </w:rPr>
              <w:t>Contenu</w:t>
            </w:r>
          </w:p>
        </w:tc>
        <w:tc>
          <w:tcPr>
            <w:tcW w:type="dxa" w:w="3652"/>
            <w:vAlign w:val="center"/>
            <w:shd w:val="clear" w:color="auto" w:fill="202335"/>
          </w:tcPr>
          <w:p>
            <w:pPr>
              <w:keepNext/>
              <w:spacing w:before="79" w:after="79" w:line="276" w:lineRule="auto"/>
            </w:pPr>
            <w:r>
              <w:rPr>
                <w:rFonts w:ascii="Calibri" w:hAnsi="Calibri"/>
                <w:b/>
                <w:color w:val="FFFFFF"/>
                <w:sz w:val="20"/>
              </w:rPr>
              <w:t>Effet sur Inat</w:t>
            </w:r>
          </w:p>
        </w:tc>
      </w:tr>
      <w:tr>
        <w:trPr>
          <w:cantSplit/>
        </w:trPr>
        <w:tc>
          <w:tcPr>
            <w:tcW w:type="dxa" w:w="2333"/>
            <w:vAlign w:val="center"/>
          </w:tcPr>
          <w:p>
            <w:pPr>
              <w:keepNext/>
              <w:spacing w:before="79" w:after="79" w:line="276" w:lineRule="auto"/>
            </w:pPr>
            <w:r>
              <w:rPr>
                <w:rFonts w:ascii="Calibri" w:hAnsi="Calibri"/>
                <w:sz w:val="20"/>
              </w:rPr>
              <w:t>P1, actuel</w:t>
            </w:r>
          </w:p>
        </w:tc>
        <w:tc>
          <w:tcPr>
            <w:tcW w:type="dxa" w:w="3652"/>
            <w:vAlign w:val="center"/>
          </w:tcPr>
          <w:p>
            <w:pPr>
              <w:keepNext/>
              <w:spacing w:before="79" w:after="79" w:line="276" w:lineRule="auto"/>
            </w:pPr>
            <w:r>
              <w:rPr>
                <w:rFonts w:ascii="Calibri" w:hAnsi="Calibri"/>
                <w:sz w:val="20"/>
              </w:rPr>
              <w:t>indicateurs affichés à part, non convertis</w:t>
            </w:r>
          </w:p>
        </w:tc>
        <w:tc>
          <w:tcPr>
            <w:tcW w:type="dxa" w:w="3652"/>
            <w:vAlign w:val="center"/>
          </w:tcPr>
          <w:p>
            <w:pPr>
              <w:keepNext/>
              <w:spacing w:before="79" w:after="79" w:line="276" w:lineRule="auto"/>
            </w:pPr>
            <w:r>
              <w:rPr>
                <w:rFonts w:ascii="Calibri" w:hAnsi="Calibri"/>
                <w:sz w:val="20"/>
              </w:rPr>
              <w:t>aucun</w:t>
            </w:r>
          </w:p>
        </w:tc>
      </w:tr>
      <w:tr>
        <w:trPr>
          <w:cantSplit/>
        </w:trPr>
        <w:tc>
          <w:tcPr>
            <w:tcW w:type="dxa" w:w="2333"/>
            <w:vAlign w:val="center"/>
          </w:tcPr>
          <w:p>
            <w:pPr>
              <w:keepNext/>
              <w:spacing w:before="79" w:after="79" w:line="276" w:lineRule="auto"/>
            </w:pPr>
            <w:r>
              <w:rPr>
                <w:rFonts w:ascii="Calibri" w:hAnsi="Calibri"/>
                <w:sz w:val="20"/>
              </w:rPr>
              <w:t>P5, ponts ouverts</w:t>
            </w:r>
          </w:p>
        </w:tc>
        <w:tc>
          <w:tcPr>
            <w:tcW w:type="dxa" w:w="3652"/>
            <w:vAlign w:val="center"/>
          </w:tcPr>
          <w:p>
            <w:pPr>
              <w:keepNext/>
              <w:spacing w:before="79" w:after="79" w:line="276" w:lineRule="auto"/>
            </w:pPr>
            <w:r>
              <w:rPr>
                <w:rFonts w:ascii="Calibri" w:hAnsi="Calibri"/>
                <w:sz w:val="20"/>
              </w:rPr>
              <w:t>les cinq indicateurs convertis par les ponts ci-dessus et additionnés à Inat, chacun avec sa plage d'incertitude</w:t>
            </w:r>
          </w:p>
        </w:tc>
        <w:tc>
          <w:tcPr>
            <w:tcW w:type="dxa" w:w="3652"/>
            <w:vAlign w:val="center"/>
          </w:tcPr>
          <w:p>
            <w:pPr>
              <w:keepNext/>
              <w:spacing w:before="79" w:after="79" w:line="276" w:lineRule="auto"/>
            </w:pPr>
            <w:r>
              <w:rPr>
                <w:rFonts w:ascii="Calibri" w:hAnsi="Calibri"/>
                <w:sz w:val="20"/>
              </w:rPr>
              <w:t>+ 4 à 13 % du climat selon le bâtiment</w:t>
            </w:r>
          </w:p>
        </w:tc>
      </w:tr>
      <w:tr>
        <w:trPr>
          <w:cantSplit/>
        </w:trPr>
        <w:tc>
          <w:tcPr>
            <w:tcW w:type="dxa" w:w="2333"/>
            <w:vAlign w:val="center"/>
          </w:tcPr>
          <w:p>
            <w:pPr>
              <w:keepNext/>
              <w:spacing w:before="79" w:after="79" w:line="276" w:lineRule="auto"/>
            </w:pPr>
            <w:r>
              <w:rPr>
                <w:rFonts w:ascii="Calibri" w:hAnsi="Calibri"/>
                <w:sz w:val="20"/>
              </w:rPr>
              <w:t>P6, modèle Carbone 4</w:t>
            </w:r>
          </w:p>
        </w:tc>
        <w:tc>
          <w:tcPr>
            <w:tcW w:type="dxa" w:w="3652"/>
            <w:vAlign w:val="center"/>
          </w:tcPr>
          <w:p>
            <w:pPr>
              <w:keepNext/>
              <w:spacing w:before="79" w:after="79" w:line="276" w:lineRule="auto"/>
            </w:pPr>
            <w:r>
              <w:rPr>
                <w:rFonts w:ascii="Calibri" w:hAnsi="Calibri"/>
                <w:sz w:val="20"/>
              </w:rPr>
              <w:t>inventaires ecoinvent et facteurs IMPACT World+ par produit</w:t>
            </w:r>
          </w:p>
        </w:tc>
        <w:tc>
          <w:tcPr>
            <w:tcW w:type="dxa" w:w="3652"/>
            <w:vAlign w:val="center"/>
          </w:tcPr>
          <w:p>
            <w:pPr>
              <w:keepNext/>
              <w:spacing w:before="79" w:after="79" w:line="276" w:lineRule="auto"/>
            </w:pPr>
            <w:r>
              <w:rPr>
                <w:rFonts w:ascii="Calibri" w:hAnsi="Calibri"/>
                <w:sz w:val="20"/>
              </w:rPr>
              <w:t>impossible : ecoinvent n'est pas ouvert, et la licence du service INIES interdit la notation des fiches</w:t>
            </w:r>
          </w:p>
        </w:tc>
      </w:tr>
      <w:tr>
        <w:trPr>
          <w:cantSplit/>
        </w:trPr>
        <w:tc>
          <w:tcPr>
            <w:tcW w:type="dxa" w:w="2333"/>
            <w:vAlign w:val="center"/>
          </w:tcPr>
          <w:p>
            <w:pPr>
              <w:spacing w:before="79" w:after="79" w:line="276" w:lineRule="auto"/>
            </w:pPr>
            <w:r>
              <w:rPr>
                <w:rFonts w:ascii="Calibri" w:hAnsi="Calibri"/>
                <w:sz w:val="20"/>
              </w:rPr>
              <w:t>P4, forfait</w:t>
            </w:r>
          </w:p>
        </w:tc>
        <w:tc>
          <w:tcPr>
            <w:tcW w:type="dxa" w:w="3652"/>
            <w:vAlign w:val="center"/>
          </w:tcPr>
          <w:p>
            <w:pPr>
              <w:spacing w:before="79" w:after="79" w:line="276" w:lineRule="auto"/>
            </w:pPr>
            <w:r>
              <w:rPr>
                <w:rFonts w:ascii="Calibri" w:hAnsi="Calibri"/>
                <w:sz w:val="20"/>
              </w:rPr>
              <w:t>pollution = 1,34 fois le climat</w:t>
            </w:r>
          </w:p>
        </w:tc>
        <w:tc>
          <w:tcPr>
            <w:tcW w:type="dxa" w:w="3652"/>
            <w:vAlign w:val="center"/>
          </w:tcPr>
          <w:p>
            <w:pPr>
              <w:spacing w:before="79" w:after="79" w:line="276" w:lineRule="auto"/>
            </w:pPr>
            <w:r>
              <w:rPr>
                <w:rFonts w:ascii="Calibri" w:hAnsi="Calibri"/>
                <w:sz w:val="20"/>
              </w:rPr>
              <w:t>écarté : une seule étude, sans licence, et la pollution deviendrait proportionnelle au carbone</w:t>
            </w:r>
          </w:p>
        </w:tc>
      </w:tr>
    </w:tbl>
    <w:p>
      <w:pPr>
        <w:spacing w:before="57" w:after="227" w:line="288" w:lineRule="auto"/>
      </w:pPr>
      <w:r>
        <w:rPr>
          <w:rFonts w:ascii="Calibri" w:hAnsi="Calibri"/>
          <w:sz w:val="20"/>
        </w:rPr>
        <w:t>Recommandation de l'éditeur : adopter P5. Inat couvrirait alors toutes les pressions que décrit le RSEE, avec des facteurs ouverts et reproductibles, et une incertitude affichée. La note de méthode dirait en clair que l'écotoxicité à long terme des métaux n'est pas comptée. P5 remplace la recommandation de la première version du dossier, qui n'intégrait que l'eutrophisation terrestre : elle la contient. Elle lève aussi la réserve qui bloquait les seuils d'Inat et de Snat, puisque la pollution calculable est connue et faible.</w:t>
      </w:r>
    </w:p>
    <w:p>
      <w:pPr>
        <w:pStyle w:val="Heading1"/>
        <w:keepNext/>
        <w:spacing w:before="397" w:after="170"/>
      </w:pPr>
      <w:r>
        <w:rPr>
          <w:rFonts w:ascii="Poppins" w:hAnsi="Poppins" w:cs="Poppins" w:eastAsia="Poppins"/>
          <w:color w:val="1A4F9C"/>
        </w:rPr>
        <w:t>Annexe. Transposition prête à appliquer</w:t>
      </w:r>
    </w:p>
    <w:p>
      <w:pPr>
        <w:spacing w:before="57" w:after="227" w:line="288" w:lineRule="auto"/>
      </w:pPr>
      <w:r>
        <w:rPr>
          <w:rFonts w:ascii="Calibri" w:hAnsi="Calibri"/>
          <w:sz w:val="20"/>
        </w:rPr>
        <w:t>Si le conseil retient P5, la modification tient en une convention, cinq lignes de table et une équation ; aucune autre fiche ne change.</w:t>
      </w:r>
    </w:p>
    <w:p>
      <w:pPr>
        <w:spacing w:before="57" w:after="227" w:line="288" w:lineRule="auto"/>
      </w:pPr>
      <w:r>
        <w:rPr>
          <w:rFonts w:ascii="Calibri" w:hAnsi="Calibri"/>
          <w:sz w:val="20"/>
        </w:rPr>
        <w:t xml:space="preserve">Convention C-G8, nouvelle rédaction : « Les indicateurs de pollution du RSEE (106, 107, 108, 109, 116) sont convertis en m²HE·an par les facteurs de la table </w:t>
      </w:r>
      <w:r>
        <w:rPr>
          <w:rFonts w:ascii="Calibri" w:hAnsi="Calibri"/>
          <w:sz w:val="20"/>
        </w:rPr>
        <w:t>materiaux.csv</w:t>
      </w:r>
      <w:r>
        <w:rPr>
          <w:rFonts w:ascii="Calibri" w:hAnsi="Calibri"/>
          <w:sz w:val="20"/>
        </w:rPr>
        <w:t xml:space="preserve"> (clé </w:t>
      </w:r>
      <w:r>
        <w:rPr>
          <w:rFonts w:ascii="Calibri" w:hAnsi="Calibri"/>
          <w:sz w:val="20"/>
        </w:rPr>
        <w:t>pollution_&lt;code&gt;</w:t>
      </w:r>
      <w:r>
        <w:rPr>
          <w:rFonts w:ascii="Calibri" w:hAnsi="Calibri"/>
          <w:sz w:val="20"/>
        </w:rPr>
        <w:t xml:space="preserve">, paramètre </w:t>
      </w:r>
      <w:r>
        <w:rPr>
          <w:rFonts w:ascii="Calibri" w:hAnsi="Calibri"/>
          <w:sz w:val="20"/>
        </w:rPr>
        <w:t>facteur_biodiversite</w:t>
      </w:r>
      <w:r>
        <w:rPr>
          <w:rFonts w:ascii="Calibri" w:hAnsi="Calibri"/>
          <w:sz w:val="20"/>
        </w:rPr>
        <w:t>), une fraction d'espèces perdue sur un m² pendant un an valant un m²HE·an, et additionnés à Inat en un poste Inat_pol. L'écotoxicité à long terme des métaux n'est pas comptée. »</w:t>
      </w:r>
    </w:p>
    <w:p>
      <w:pPr>
        <w:keepNext/>
        <w:spacing w:before="57" w:after="227" w:line="288" w:lineRule="auto"/>
      </w:pPr>
      <w:r>
        <w:rPr>
          <w:rFonts w:ascii="Calibri" w:hAnsi="Calibri"/>
          <w:sz w:val="20"/>
        </w:rPr>
        <w:t xml:space="preserve">Lignes de </w:t>
      </w:r>
      <w:r>
        <w:rPr>
          <w:rFonts w:ascii="Calibri" w:hAnsi="Calibri"/>
          <w:sz w:val="20"/>
        </w:rPr>
        <w:t>donnees/materiaux.csv</w:t>
      </w:r>
      <w:r>
        <w:rPr>
          <w:rFonts w:ascii="Calibri" w:hAnsi="Calibri"/>
          <w:sz w:val="20"/>
        </w:rPr>
        <w:t xml:space="preserve"> (valeur centrale, bornes ; type transposition, convention C-G8, licence de chaque source)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384"/>
        <w:gridCol w:w="1801"/>
        <w:gridCol w:w="1214"/>
        <w:gridCol w:w="1273"/>
        <w:gridCol w:w="1273"/>
        <w:gridCol w:w="2688"/>
      </w:tblGrid>
      <w:tr>
        <w:trPr>
          <w:tblHeader/>
          <w:cantSplit/>
        </w:trPr>
        <w:tc>
          <w:tcPr>
            <w:tcW w:type="dxa" w:w="1385"/>
            <w:vAlign w:val="center"/>
            <w:shd w:val="clear" w:color="auto" w:fill="202335"/>
          </w:tcPr>
          <w:p>
            <w:pPr>
              <w:keepNext/>
              <w:spacing w:before="79" w:after="79" w:line="276" w:lineRule="auto"/>
            </w:pPr>
            <w:r>
              <w:rPr>
                <w:rFonts w:ascii="Calibri" w:hAnsi="Calibri"/>
                <w:b/>
                <w:color w:val="FFFFFF"/>
                <w:sz w:val="20"/>
              </w:rPr>
              <w:t>Clé</w:t>
            </w:r>
          </w:p>
        </w:tc>
        <w:tc>
          <w:tcPr>
            <w:tcW w:type="dxa" w:w="1802"/>
            <w:vAlign w:val="center"/>
            <w:shd w:val="clear" w:color="auto" w:fill="202335"/>
          </w:tcPr>
          <w:p>
            <w:pPr>
              <w:keepNext/>
              <w:spacing w:before="79" w:after="79" w:line="276" w:lineRule="auto"/>
            </w:pPr>
            <w:r>
              <w:rPr>
                <w:rFonts w:ascii="Calibri" w:hAnsi="Calibri"/>
                <w:b/>
                <w:color w:val="FFFFFF"/>
                <w:sz w:val="20"/>
              </w:rPr>
              <w:t>Unité</w:t>
            </w:r>
          </w:p>
        </w:tc>
        <w:tc>
          <w:tcPr>
            <w:tcW w:type="dxa" w:w="1215"/>
            <w:vAlign w:val="center"/>
            <w:shd w:val="clear" w:color="auto" w:fill="202335"/>
          </w:tcPr>
          <w:p>
            <w:pPr>
              <w:keepNext/>
              <w:spacing w:before="79" w:after="79" w:line="276" w:lineRule="auto"/>
              <w:jc w:val="center"/>
            </w:pPr>
            <w:r>
              <w:rPr>
                <w:rFonts w:ascii="Calibri" w:hAnsi="Calibri"/>
                <w:b/>
                <w:color w:val="FFFFFF"/>
                <w:sz w:val="20"/>
              </w:rPr>
              <w:t>Valeur</w:t>
            </w:r>
          </w:p>
        </w:tc>
        <w:tc>
          <w:tcPr>
            <w:tcW w:type="dxa" w:w="1274"/>
            <w:vAlign w:val="center"/>
            <w:shd w:val="clear" w:color="auto" w:fill="202335"/>
          </w:tcPr>
          <w:p>
            <w:pPr>
              <w:keepNext/>
              <w:spacing w:before="79" w:after="79" w:line="276" w:lineRule="auto"/>
              <w:jc w:val="center"/>
            </w:pPr>
            <w:r>
              <w:rPr>
                <w:rFonts w:ascii="Calibri" w:hAnsi="Calibri"/>
                <w:b/>
                <w:color w:val="FFFFFF"/>
                <w:sz w:val="20"/>
              </w:rPr>
              <w:t>Borne basse</w:t>
            </w:r>
          </w:p>
        </w:tc>
        <w:tc>
          <w:tcPr>
            <w:tcW w:type="dxa" w:w="1274"/>
            <w:vAlign w:val="center"/>
            <w:shd w:val="clear" w:color="auto" w:fill="202335"/>
          </w:tcPr>
          <w:p>
            <w:pPr>
              <w:keepNext/>
              <w:spacing w:before="79" w:after="79" w:line="276" w:lineRule="auto"/>
              <w:jc w:val="center"/>
            </w:pPr>
            <w:r>
              <w:rPr>
                <w:rFonts w:ascii="Calibri" w:hAnsi="Calibri"/>
                <w:b/>
                <w:color w:val="FFFFFF"/>
                <w:sz w:val="20"/>
              </w:rPr>
              <w:t>Borne haute</w:t>
            </w:r>
          </w:p>
        </w:tc>
        <w:tc>
          <w:tcPr>
            <w:tcW w:type="dxa" w:w="2689"/>
            <w:vAlign w:val="center"/>
            <w:shd w:val="clear" w:color="auto" w:fill="202335"/>
          </w:tcPr>
          <w:p>
            <w:pPr>
              <w:keepNext/>
              <w:spacing w:before="79" w:after="79" w:line="276" w:lineRule="auto"/>
            </w:pPr>
            <w:r>
              <w:rPr>
                <w:rFonts w:ascii="Calibri" w:hAnsi="Calibri"/>
                <w:b/>
                <w:color w:val="FFFFFF"/>
                <w:sz w:val="20"/>
              </w:rPr>
              <w:t>Source</w:t>
            </w:r>
          </w:p>
        </w:tc>
      </w:tr>
      <w:tr>
        <w:trPr>
          <w:cantSplit/>
        </w:trPr>
        <w:tc>
          <w:tcPr>
            <w:tcW w:type="dxa" w:w="1385"/>
            <w:vAlign w:val="center"/>
          </w:tcPr>
          <w:p>
            <w:pPr>
              <w:keepNext/>
              <w:spacing w:before="79" w:after="79" w:line="276" w:lineRule="auto"/>
            </w:pPr>
            <w:r>
              <w:rPr>
                <w:rFonts w:ascii="Calibri" w:hAnsi="Calibri"/>
                <w:sz w:val="20"/>
              </w:rPr>
              <w:t>pollution_106</w:t>
            </w:r>
          </w:p>
        </w:tc>
        <w:tc>
          <w:tcPr>
            <w:tcW w:type="dxa" w:w="1802"/>
            <w:vAlign w:val="center"/>
          </w:tcPr>
          <w:p>
            <w:pPr>
              <w:keepNext/>
              <w:spacing w:before="79" w:after="79" w:line="276" w:lineRule="auto"/>
            </w:pPr>
            <w:r>
              <w:rPr>
                <w:rFonts w:ascii="Calibri" w:hAnsi="Calibri"/>
                <w:sz w:val="20"/>
              </w:rPr>
              <w:t>m²HE·an par mol H+ éq.</w:t>
            </w:r>
          </w:p>
        </w:tc>
        <w:tc>
          <w:tcPr>
            <w:tcW w:type="dxa" w:w="1215"/>
            <w:vAlign w:val="center"/>
          </w:tcPr>
          <w:p>
            <w:pPr>
              <w:keepNext/>
              <w:spacing w:before="79" w:after="79" w:line="276" w:lineRule="auto"/>
              <w:jc w:val="center"/>
            </w:pPr>
            <w:r>
              <w:rPr>
                <w:rFonts w:ascii="Calibri" w:hAnsi="Calibri"/>
                <w:sz w:val="20"/>
              </w:rPr>
              <w:t>8,7</w:t>
            </w:r>
          </w:p>
        </w:tc>
        <w:tc>
          <w:tcPr>
            <w:tcW w:type="dxa" w:w="1274"/>
            <w:vAlign w:val="center"/>
          </w:tcPr>
          <w:p>
            <w:pPr>
              <w:keepNext/>
              <w:spacing w:before="79" w:after="79" w:line="276" w:lineRule="auto"/>
              <w:jc w:val="center"/>
            </w:pPr>
            <w:r>
              <w:rPr>
                <w:rFonts w:ascii="Calibri" w:hAnsi="Calibri"/>
                <w:sz w:val="20"/>
              </w:rPr>
              <w:t>7,0</w:t>
            </w:r>
          </w:p>
        </w:tc>
        <w:tc>
          <w:tcPr>
            <w:tcW w:type="dxa" w:w="1274"/>
            <w:vAlign w:val="center"/>
          </w:tcPr>
          <w:p>
            <w:pPr>
              <w:keepNext/>
              <w:spacing w:before="79" w:after="79" w:line="276" w:lineRule="auto"/>
              <w:jc w:val="center"/>
            </w:pPr>
            <w:r>
              <w:rPr>
                <w:rFonts w:ascii="Calibri" w:hAnsi="Calibri"/>
                <w:sz w:val="20"/>
              </w:rPr>
              <w:t>10,9</w:t>
            </w:r>
          </w:p>
        </w:tc>
        <w:tc>
          <w:tcPr>
            <w:tcW w:type="dxa" w:w="2689"/>
            <w:vAlign w:val="center"/>
          </w:tcPr>
          <w:p>
            <w:pPr>
              <w:keepNext/>
              <w:spacing w:before="79" w:after="79" w:line="276" w:lineRule="auto"/>
            </w:pPr>
            <w:r>
              <w:rPr>
                <w:rFonts w:ascii="Calibri" w:hAnsi="Calibri"/>
                <w:sz w:val="20"/>
              </w:rPr>
              <w:t>ReCiPe 2016 v1.1 (acidification terrestre, densité d'espèces) ; facteurs EF de dépassement cumulé (ÖKOBAU.DAT 01.03.010)</w:t>
            </w:r>
          </w:p>
        </w:tc>
      </w:tr>
      <w:tr>
        <w:trPr>
          <w:cantSplit/>
        </w:trPr>
        <w:tc>
          <w:tcPr>
            <w:tcW w:type="dxa" w:w="1385"/>
            <w:vAlign w:val="center"/>
          </w:tcPr>
          <w:p>
            <w:pPr>
              <w:keepNext/>
              <w:spacing w:before="79" w:after="79" w:line="276" w:lineRule="auto"/>
            </w:pPr>
            <w:r>
              <w:rPr>
                <w:rFonts w:ascii="Calibri" w:hAnsi="Calibri"/>
                <w:sz w:val="20"/>
              </w:rPr>
              <w:t>pollution_107</w:t>
            </w:r>
          </w:p>
        </w:tc>
        <w:tc>
          <w:tcPr>
            <w:tcW w:type="dxa" w:w="1802"/>
            <w:vAlign w:val="center"/>
          </w:tcPr>
          <w:p>
            <w:pPr>
              <w:keepNext/>
              <w:spacing w:before="79" w:after="79" w:line="276" w:lineRule="auto"/>
            </w:pPr>
            <w:r>
              <w:rPr>
                <w:rFonts w:ascii="Calibri" w:hAnsi="Calibri"/>
                <w:sz w:val="20"/>
              </w:rPr>
              <w:t>m²HE·an par kg P éq.</w:t>
            </w:r>
          </w:p>
        </w:tc>
        <w:tc>
          <w:tcPr>
            <w:tcW w:type="dxa" w:w="1215"/>
            <w:vAlign w:val="center"/>
          </w:tcPr>
          <w:p>
            <w:pPr>
              <w:keepNext/>
              <w:spacing w:before="79" w:after="79" w:line="276" w:lineRule="auto"/>
              <w:jc w:val="center"/>
            </w:pPr>
            <w:r>
              <w:rPr>
                <w:rFonts w:ascii="Calibri" w:hAnsi="Calibri"/>
                <w:sz w:val="20"/>
              </w:rPr>
              <w:t>109</w:t>
            </w:r>
          </w:p>
        </w:tc>
        <w:tc>
          <w:tcPr>
            <w:tcW w:type="dxa" w:w="1274"/>
            <w:vAlign w:val="center"/>
          </w:tcPr>
          <w:p>
            <w:pPr>
              <w:keepNext/>
              <w:spacing w:before="79" w:after="79" w:line="276" w:lineRule="auto"/>
              <w:jc w:val="center"/>
            </w:pPr>
            <w:r>
              <w:rPr>
                <w:rFonts w:ascii="Calibri" w:hAnsi="Calibri"/>
                <w:sz w:val="20"/>
              </w:rPr>
              <w:t>35</w:t>
            </w:r>
          </w:p>
        </w:tc>
        <w:tc>
          <w:tcPr>
            <w:tcW w:type="dxa" w:w="1274"/>
            <w:vAlign w:val="center"/>
          </w:tcPr>
          <w:p>
            <w:pPr>
              <w:keepNext/>
              <w:spacing w:before="79" w:after="79" w:line="276" w:lineRule="auto"/>
              <w:jc w:val="center"/>
            </w:pPr>
            <w:r>
              <w:rPr>
                <w:rFonts w:ascii="Calibri" w:hAnsi="Calibri"/>
                <w:sz w:val="20"/>
              </w:rPr>
              <w:t>340</w:t>
            </w:r>
          </w:p>
        </w:tc>
        <w:tc>
          <w:tcPr>
            <w:tcW w:type="dxa" w:w="2689"/>
            <w:vAlign w:val="center"/>
          </w:tcPr>
          <w:p>
            <w:pPr>
              <w:keepNext/>
              <w:spacing w:before="79" w:after="79" w:line="276" w:lineRule="auto"/>
            </w:pPr>
            <w:r>
              <w:rPr>
                <w:rFonts w:ascii="Calibri" w:hAnsi="Calibri"/>
                <w:sz w:val="20"/>
              </w:rPr>
              <w:t>ReCiPe 2016 v1.1 ; IMPACT World+ (Bulle et al. 2019)</w:t>
            </w:r>
          </w:p>
        </w:tc>
      </w:tr>
      <w:tr>
        <w:trPr>
          <w:cantSplit/>
        </w:trPr>
        <w:tc>
          <w:tcPr>
            <w:tcW w:type="dxa" w:w="1385"/>
            <w:vAlign w:val="center"/>
          </w:tcPr>
          <w:p>
            <w:pPr>
              <w:keepNext/>
              <w:spacing w:before="79" w:after="79" w:line="276" w:lineRule="auto"/>
            </w:pPr>
            <w:r>
              <w:rPr>
                <w:rFonts w:ascii="Calibri" w:hAnsi="Calibri"/>
                <w:sz w:val="20"/>
              </w:rPr>
              <w:t>pollution_108</w:t>
            </w:r>
          </w:p>
        </w:tc>
        <w:tc>
          <w:tcPr>
            <w:tcW w:type="dxa" w:w="1802"/>
            <w:vAlign w:val="center"/>
          </w:tcPr>
          <w:p>
            <w:pPr>
              <w:keepNext/>
              <w:spacing w:before="79" w:after="79" w:line="276" w:lineRule="auto"/>
            </w:pPr>
            <w:r>
              <w:rPr>
                <w:rFonts w:ascii="Calibri" w:hAnsi="Calibri"/>
                <w:sz w:val="20"/>
              </w:rPr>
              <w:t>m²HE·an par kg N éq.</w:t>
            </w:r>
          </w:p>
        </w:tc>
        <w:tc>
          <w:tcPr>
            <w:tcW w:type="dxa" w:w="1215"/>
            <w:vAlign w:val="center"/>
          </w:tcPr>
          <w:p>
            <w:pPr>
              <w:keepNext/>
              <w:spacing w:before="79" w:after="79" w:line="276" w:lineRule="auto"/>
              <w:jc w:val="center"/>
            </w:pPr>
            <w:r>
              <w:rPr>
                <w:rFonts w:ascii="Calibri" w:hAnsi="Calibri"/>
                <w:sz w:val="20"/>
              </w:rPr>
              <w:t>12,5</w:t>
            </w:r>
          </w:p>
        </w:tc>
        <w:tc>
          <w:tcPr>
            <w:tcW w:type="dxa" w:w="1274"/>
            <w:vAlign w:val="center"/>
          </w:tcPr>
          <w:p>
            <w:pPr>
              <w:keepNext/>
              <w:spacing w:before="79" w:after="79" w:line="276" w:lineRule="auto"/>
              <w:jc w:val="center"/>
            </w:pPr>
            <w:r>
              <w:rPr>
                <w:rFonts w:ascii="Calibri" w:hAnsi="Calibri"/>
                <w:sz w:val="20"/>
              </w:rPr>
              <w:t>9,4</w:t>
            </w:r>
          </w:p>
        </w:tc>
        <w:tc>
          <w:tcPr>
            <w:tcW w:type="dxa" w:w="1274"/>
            <w:vAlign w:val="center"/>
          </w:tcPr>
          <w:p>
            <w:pPr>
              <w:keepNext/>
              <w:spacing w:before="79" w:after="79" w:line="276" w:lineRule="auto"/>
              <w:jc w:val="center"/>
            </w:pPr>
            <w:r>
              <w:rPr>
                <w:rFonts w:ascii="Calibri" w:hAnsi="Calibri"/>
                <w:sz w:val="20"/>
              </w:rPr>
              <w:t>15,6</w:t>
            </w:r>
          </w:p>
        </w:tc>
        <w:tc>
          <w:tcPr>
            <w:tcW w:type="dxa" w:w="2689"/>
            <w:vAlign w:val="center"/>
          </w:tcPr>
          <w:p>
            <w:pPr>
              <w:keepNext/>
              <w:spacing w:before="79" w:after="79" w:line="276" w:lineRule="auto"/>
            </w:pPr>
            <w:r>
              <w:rPr>
                <w:rFonts w:ascii="Calibri" w:hAnsi="Calibri"/>
                <w:sz w:val="20"/>
              </w:rPr>
              <w:t>IMPACT World+, supplément, eutrophisation marine ; bornes de ± 25 % (convention C-I1)</w:t>
            </w:r>
          </w:p>
        </w:tc>
      </w:tr>
      <w:tr>
        <w:trPr>
          <w:cantSplit/>
        </w:trPr>
        <w:tc>
          <w:tcPr>
            <w:tcW w:type="dxa" w:w="1385"/>
            <w:vAlign w:val="center"/>
          </w:tcPr>
          <w:p>
            <w:pPr>
              <w:keepNext/>
              <w:spacing w:before="79" w:after="79" w:line="276" w:lineRule="auto"/>
            </w:pPr>
            <w:r>
              <w:rPr>
                <w:rFonts w:ascii="Calibri" w:hAnsi="Calibri"/>
                <w:sz w:val="20"/>
              </w:rPr>
              <w:t>pollution_109</w:t>
            </w:r>
          </w:p>
        </w:tc>
        <w:tc>
          <w:tcPr>
            <w:tcW w:type="dxa" w:w="1802"/>
            <w:vAlign w:val="center"/>
          </w:tcPr>
          <w:p>
            <w:pPr>
              <w:keepNext/>
              <w:spacing w:before="79" w:after="79" w:line="276" w:lineRule="auto"/>
            </w:pPr>
            <w:r>
              <w:rPr>
                <w:rFonts w:ascii="Calibri" w:hAnsi="Calibri"/>
                <w:sz w:val="20"/>
              </w:rPr>
              <w:t>m²HE·an par mol N éq.</w:t>
            </w:r>
          </w:p>
        </w:tc>
        <w:tc>
          <w:tcPr>
            <w:tcW w:type="dxa" w:w="1215"/>
            <w:vAlign w:val="center"/>
          </w:tcPr>
          <w:p>
            <w:pPr>
              <w:keepNext/>
              <w:spacing w:before="79" w:after="79" w:line="276" w:lineRule="auto"/>
              <w:jc w:val="center"/>
            </w:pPr>
            <w:r>
              <w:rPr>
                <w:rFonts w:ascii="Calibri" w:hAnsi="Calibri"/>
                <w:sz w:val="20"/>
              </w:rPr>
              <w:t>2,2</w:t>
            </w:r>
          </w:p>
        </w:tc>
        <w:tc>
          <w:tcPr>
            <w:tcW w:type="dxa" w:w="1274"/>
            <w:vAlign w:val="center"/>
          </w:tcPr>
          <w:p>
            <w:pPr>
              <w:keepNext/>
              <w:spacing w:before="79" w:after="79" w:line="276" w:lineRule="auto"/>
              <w:jc w:val="center"/>
            </w:pPr>
            <w:r>
              <w:rPr>
                <w:rFonts w:ascii="Calibri" w:hAnsi="Calibri"/>
                <w:sz w:val="20"/>
              </w:rPr>
              <w:t>1,5</w:t>
            </w:r>
          </w:p>
        </w:tc>
        <w:tc>
          <w:tcPr>
            <w:tcW w:type="dxa" w:w="1274"/>
            <w:vAlign w:val="center"/>
          </w:tcPr>
          <w:p>
            <w:pPr>
              <w:keepNext/>
              <w:spacing w:before="79" w:after="79" w:line="276" w:lineRule="auto"/>
              <w:jc w:val="center"/>
            </w:pPr>
            <w:r>
              <w:rPr>
                <w:rFonts w:ascii="Calibri" w:hAnsi="Calibri"/>
                <w:sz w:val="20"/>
              </w:rPr>
              <w:t>3,1</w:t>
            </w:r>
          </w:p>
        </w:tc>
        <w:tc>
          <w:tcPr>
            <w:tcW w:type="dxa" w:w="2689"/>
            <w:vAlign w:val="center"/>
          </w:tcPr>
          <w:p>
            <w:pPr>
              <w:keepNext/>
              <w:spacing w:before="79" w:after="79" w:line="276" w:lineRule="auto"/>
            </w:pPr>
            <w:r>
              <w:rPr>
                <w:rFonts w:ascii="Calibri" w:hAnsi="Calibri"/>
                <w:sz w:val="20"/>
              </w:rPr>
              <w:t>GLOBIO 3.5, tableau 4.1</w:t>
            </w:r>
          </w:p>
        </w:tc>
      </w:tr>
      <w:tr>
        <w:trPr>
          <w:cantSplit/>
        </w:trPr>
        <w:tc>
          <w:tcPr>
            <w:tcW w:type="dxa" w:w="1385"/>
            <w:vAlign w:val="center"/>
          </w:tcPr>
          <w:p>
            <w:pPr>
              <w:spacing w:before="79" w:after="79" w:line="276" w:lineRule="auto"/>
            </w:pPr>
            <w:r>
              <w:rPr>
                <w:rFonts w:ascii="Calibri" w:hAnsi="Calibri"/>
                <w:sz w:val="20"/>
              </w:rPr>
              <w:t>pollution_116</w:t>
            </w:r>
          </w:p>
        </w:tc>
        <w:tc>
          <w:tcPr>
            <w:tcW w:type="dxa" w:w="1802"/>
            <w:vAlign w:val="center"/>
          </w:tcPr>
          <w:p>
            <w:pPr>
              <w:spacing w:before="79" w:after="79" w:line="276" w:lineRule="auto"/>
            </w:pPr>
            <w:r>
              <w:rPr>
                <w:rFonts w:ascii="Calibri" w:hAnsi="Calibri"/>
                <w:sz w:val="20"/>
              </w:rPr>
              <w:t>m²HE·an par CTUe</w:t>
            </w:r>
          </w:p>
        </w:tc>
        <w:tc>
          <w:tcPr>
            <w:tcW w:type="dxa" w:w="1215"/>
            <w:vAlign w:val="center"/>
          </w:tcPr>
          <w:p>
            <w:pPr>
              <w:spacing w:before="79" w:after="79" w:line="276" w:lineRule="auto"/>
            </w:pPr>
            <w:r>
              <w:rPr>
                <w:rFonts w:ascii="Calibri" w:hAnsi="Calibri"/>
                <w:sz w:val="20"/>
              </w:rPr>
              <w:t>5,5 × 10⁻⁴</w:t>
            </w:r>
          </w:p>
        </w:tc>
        <w:tc>
          <w:tcPr>
            <w:tcW w:type="dxa" w:w="1274"/>
            <w:vAlign w:val="center"/>
          </w:tcPr>
          <w:p>
            <w:pPr>
              <w:spacing w:before="79" w:after="79" w:line="276" w:lineRule="auto"/>
            </w:pPr>
            <w:r>
              <w:rPr>
                <w:rFonts w:ascii="Calibri" w:hAnsi="Calibri"/>
                <w:sz w:val="20"/>
              </w:rPr>
              <w:t>1,4 × 10⁻⁴</w:t>
            </w:r>
          </w:p>
        </w:tc>
        <w:tc>
          <w:tcPr>
            <w:tcW w:type="dxa" w:w="1274"/>
            <w:vAlign w:val="center"/>
          </w:tcPr>
          <w:p>
            <w:pPr>
              <w:spacing w:before="79" w:after="79" w:line="276" w:lineRule="auto"/>
            </w:pPr>
            <w:r>
              <w:rPr>
                <w:rFonts w:ascii="Calibri" w:hAnsi="Calibri"/>
                <w:sz w:val="20"/>
              </w:rPr>
              <w:t>2,2 × 10⁻³</w:t>
            </w:r>
          </w:p>
        </w:tc>
        <w:tc>
          <w:tcPr>
            <w:tcW w:type="dxa" w:w="2689"/>
            <w:vAlign w:val="center"/>
          </w:tcPr>
          <w:p>
            <w:pPr>
              <w:spacing w:before="79" w:after="79" w:line="276" w:lineRule="auto"/>
            </w:pPr>
            <w:r>
              <w:rPr>
                <w:rFonts w:ascii="Calibri" w:hAnsi="Calibri"/>
                <w:sz w:val="20"/>
              </w:rPr>
              <w:t>IMPACT World+, supplément, écotoxicité des eaux douces ; plage d'un facteur 4 de part et d'autre, faute de base commune avec la variante EF d'USEtox</w:t>
            </w:r>
          </w:p>
        </w:tc>
      </w:tr>
    </w:tbl>
    <w:p>
      <w:pPr>
        <w:spacing w:before="57" w:after="227" w:line="288" w:lineRule="auto"/>
      </w:pPr>
      <w:r>
        <w:rPr>
          <w:rFonts w:ascii="Calibri" w:hAnsi="Calibri"/>
          <w:sz w:val="20"/>
        </w:rPr>
        <w:t>Valeurs centrales : moyenne géométrique des bornes quand les sources divergent.</w:t>
      </w:r>
    </w:p>
    <w:p>
      <w:pPr>
        <w:spacing w:before="57" w:after="227" w:line="288" w:lineRule="auto"/>
      </w:pPr>
      <w:r>
        <w:rPr>
          <w:rFonts w:ascii="Calibri" w:hAnsi="Calibri"/>
          <w:sz w:val="20"/>
        </w:rPr>
        <w:t xml:space="preserve">Fiche A36, équation ajoutée : (A36-2) Inat_pol = somme sur i de POL_i × F_i, avec F_i le facteur de l'indicateur i ; Inat = Inat_clim + Inat_sols + Inat_pol. Le récapitulatif standardisé reçoit un élément </w:t>
      </w:r>
      <w:r>
        <w:rPr>
          <w:rFonts w:ascii="Calibri" w:hAnsi="Calibri"/>
          <w:sz w:val="20"/>
        </w:rPr>
        <w:t>inat_pollution</w:t>
      </w:r>
      <w:r>
        <w:rPr>
          <w:rFonts w:ascii="Calibri" w:hAnsi="Calibri"/>
          <w:sz w:val="20"/>
        </w:rPr>
        <w:t xml:space="preserve"> en m²HE·an, et le catalogue dimensionnel cinq unités « m²HE·an par unité d'indicateur ».</w:t>
      </w:r>
    </w:p>
    <w:p>
      <w:pPr>
        <w:spacing w:before="57" w:after="227" w:line="288" w:lineRule="auto"/>
      </w:pPr>
      <w:r>
        <w:rPr>
          <w:rFonts w:ascii="Calibri" w:hAnsi="Calibri"/>
          <w:sz w:val="20"/>
        </w:rPr>
        <w:t>Effet sur les cas du banc : nul pour les cas sans indicateurs de pollution, qui sont tous les cas actuels ; un cas portant les indicateurs médians est à ajouter au banc.</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Pollution et biodiversité grise : ponts depuis les indicateurs du RSEE</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