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27" w:after="340"/>
      </w:pPr>
      <w:r>
        <w:rPr>
          <w:rFonts w:ascii="Poppins" w:hAnsi="Poppins" w:cs="Poppins" w:eastAsia="Poppins"/>
          <w:color w:val="1A4F9C"/>
        </w:rPr>
        <w:t>Guide du contributeur d'OpenNAT</w:t>
      </w:r>
    </w:p>
    <w:p>
      <w:pPr>
        <w:spacing w:before="57" w:after="227" w:line="288" w:lineRule="auto"/>
      </w:pPr>
      <w:r>
        <w:rPr>
          <w:rFonts w:ascii="Calibri" w:hAnsi="Calibri"/>
          <w:sz w:val="20"/>
        </w:rPr>
        <w:t>Méthode OpenNAT 1, moteur 0.2.0, données 1.2.1. 19 octobre 2026. Méthode éditée par NORMATYS, en attente de validation du Biodiversity Standard Council.</w:t>
      </w:r>
    </w:p>
    <w:p>
      <w:pPr>
        <w:spacing w:before="57" w:after="227" w:line="288" w:lineRule="auto"/>
      </w:pPr>
      <w:r>
        <w:rPr>
          <w:rFonts w:ascii="Calibri" w:hAnsi="Calibri"/>
          <w:sz w:val="20"/>
        </w:rPr>
        <w:t>Ce guide s'adresse à qui veut améliorer OpenNAT : écologue qui dispose d'une meilleure valeur pour un habitat, chercheur qui publie un facteur, bureau d'études qui relève une incohérence, développeur. Il dit surtout comment proposer une nouvelle valeur avec sa source, ce que le cahier des charges demande en premier.</w:t>
      </w:r>
    </w:p>
    <w:p>
      <w:pPr>
        <w:pStyle w:val="Heading1"/>
        <w:keepNext/>
        <w:spacing w:before="397" w:after="170"/>
      </w:pPr>
      <w:r>
        <w:rPr>
          <w:rFonts w:ascii="Poppins" w:hAnsi="Poppins" w:cs="Poppins" w:eastAsia="Poppins"/>
          <w:color w:val="1A4F9C"/>
        </w:rPr>
        <w:t>Trois règles</w:t>
      </w:r>
    </w:p>
    <w:p>
      <w:pPr>
        <w:spacing w:before="57" w:after="227" w:line="288" w:lineRule="auto"/>
      </w:pPr>
      <w:r>
        <w:rPr>
          <w:rFonts w:ascii="Calibri" w:hAnsi="Calibri"/>
          <w:sz w:val="20"/>
        </w:rPr>
        <w:t xml:space="preserve">1. Toute valeur a une source. Chaque nombre employé par le calcul est une ligne d'une table de </w:t>
      </w:r>
      <w:r>
        <w:rPr>
          <w:rFonts w:ascii="Calibri" w:hAnsi="Calibri"/>
          <w:sz w:val="20"/>
        </w:rPr>
        <w:t>donnees/</w:t>
      </w:r>
      <w:r>
        <w:rPr>
          <w:rFonts w:ascii="Calibri" w:hAnsi="Calibri"/>
          <w:sz w:val="20"/>
        </w:rPr>
        <w:t>, avec sa source, sa référence précise, sa licence et son type. Une ligne sans source fait échouer le chargement (exigence E1).</w:t>
      </w:r>
    </w:p>
    <w:p>
      <w:pPr>
        <w:spacing w:before="57" w:after="227" w:line="288" w:lineRule="auto"/>
      </w:pPr>
      <w:r>
        <w:rPr>
          <w:rFonts w:ascii="Calibri" w:hAnsi="Calibri"/>
          <w:sz w:val="20"/>
        </w:rPr>
        <w:t xml:space="preserve">2. Aucune valeur de méthode dans le code. Le moteur lit les tables ; un test parcourt le code et refuse tout nombre qui serait une valeur de méthode (exigence E2). Seules les conversions d'unités vivent dans </w:t>
      </w:r>
      <w:r>
        <w:rPr>
          <w:rFonts w:ascii="Calibri" w:hAnsi="Calibri"/>
          <w:sz w:val="20"/>
        </w:rPr>
        <w:t>opennat/unites.py</w:t>
      </w:r>
      <w:r>
        <w:rPr>
          <w:rFonts w:ascii="Calibri" w:hAnsi="Calibri"/>
          <w:sz w:val="20"/>
        </w:rPr>
        <w:t>.</w:t>
      </w:r>
    </w:p>
    <w:p>
      <w:pPr>
        <w:spacing w:before="57" w:after="227" w:line="288" w:lineRule="auto"/>
      </w:pPr>
      <w:r>
        <w:rPr>
          <w:rFonts w:ascii="Calibri" w:hAnsi="Calibri"/>
          <w:sz w:val="20"/>
        </w:rPr>
        <w:t xml:space="preserve">3. Toute convention a un numéro. Quand aucune source ne donne la valeur, OpenNAT la fixe par une convention numérotée (C-H1, C-G5…) décrite dans </w:t>
      </w:r>
      <w:r>
        <w:rPr>
          <w:rFonts w:ascii="Calibri" w:hAnsi="Calibri"/>
          <w:sz w:val="20"/>
        </w:rPr>
        <w:t>methode/conventions.md</w:t>
      </w:r>
      <w:r>
        <w:rPr>
          <w:rFonts w:ascii="Calibri" w:hAnsi="Calibri"/>
          <w:sz w:val="20"/>
        </w:rPr>
        <w:t>, avec son motif. Les conventions et les seuils sont soumis au Biodiversity Standard Council.</w:t>
      </w:r>
    </w:p>
    <w:p>
      <w:pPr>
        <w:pStyle w:val="Heading1"/>
        <w:keepNext/>
        <w:spacing w:before="397" w:after="170"/>
      </w:pPr>
      <w:r>
        <w:rPr>
          <w:rFonts w:ascii="Poppins" w:hAnsi="Poppins" w:cs="Poppins" w:eastAsia="Poppins"/>
          <w:color w:val="1A4F9C"/>
        </w:rPr>
        <w:t>Le format d'une ligne</w:t>
      </w:r>
    </w:p>
    <w:p>
      <w:pPr>
        <w:keepNext/>
        <w:spacing w:before="57" w:after="227" w:line="288" w:lineRule="auto"/>
      </w:pPr>
      <w:r>
        <w:rPr>
          <w:rFonts w:ascii="Calibri" w:hAnsi="Calibri"/>
          <w:sz w:val="20"/>
        </w:rPr>
        <w:t>Les tables sont des fichiers CSV en UTF-8, séparateur point-virgule, point décimal, treize colonnes :</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3162"/>
        <w:gridCol w:w="3913"/>
        <w:gridCol w:w="2561"/>
      </w:tblGrid>
      <w:tr>
        <w:trPr>
          <w:tblHeader/>
          <w:cantSplit/>
        </w:trPr>
        <w:tc>
          <w:tcPr>
            <w:tcW w:type="dxa" w:w="3162"/>
            <w:vAlign w:val="center"/>
            <w:shd w:val="clear" w:color="auto" w:fill="202335"/>
          </w:tcPr>
          <w:p>
            <w:pPr>
              <w:spacing w:before="79" w:after="79" w:line="276" w:lineRule="auto"/>
            </w:pPr>
            <w:r>
              <w:rPr>
                <w:rFonts w:ascii="Calibri" w:hAnsi="Calibri"/>
                <w:b/>
                <w:color w:val="FFFFFF"/>
                <w:sz w:val="20"/>
              </w:rPr>
              <w:t>Colonne</w:t>
            </w:r>
          </w:p>
        </w:tc>
        <w:tc>
          <w:tcPr>
            <w:tcW w:type="dxa" w:w="3913"/>
            <w:vAlign w:val="center"/>
            <w:shd w:val="clear" w:color="auto" w:fill="202335"/>
          </w:tcPr>
          <w:p>
            <w:pPr>
              <w:spacing w:before="79" w:after="79" w:line="276" w:lineRule="auto"/>
            </w:pPr>
            <w:r>
              <w:rPr>
                <w:rFonts w:ascii="Calibri" w:hAnsi="Calibri"/>
                <w:b/>
                <w:color w:val="FFFFFF"/>
                <w:sz w:val="20"/>
              </w:rPr>
              <w:t>Contenu</w:t>
            </w:r>
          </w:p>
        </w:tc>
        <w:tc>
          <w:tcPr>
            <w:tcW w:type="dxa" w:w="2562"/>
            <w:vAlign w:val="center"/>
            <w:shd w:val="clear" w:color="auto" w:fill="202335"/>
          </w:tcPr>
          <w:p>
            <w:pPr>
              <w:spacing w:before="79" w:after="79" w:line="276" w:lineRule="auto"/>
            </w:pPr>
            <w:r>
              <w:rPr>
                <w:rFonts w:ascii="Calibri" w:hAnsi="Calibri"/>
                <w:b/>
                <w:color w:val="FFFFFF"/>
                <w:sz w:val="20"/>
              </w:rPr>
              <w:t>Exemple</w:t>
            </w:r>
          </w:p>
        </w:tc>
      </w:tr>
      <w:tr>
        <w:trPr>
          <w:cantSplit/>
        </w:trPr>
        <w:tc>
          <w:tcPr>
            <w:tcW w:type="dxa" w:w="3162"/>
            <w:vAlign w:val="center"/>
          </w:tcPr>
          <w:p>
            <w:pPr>
              <w:spacing w:before="79" w:after="79" w:line="276" w:lineRule="auto"/>
            </w:pPr>
            <w:r>
              <w:rPr>
                <w:rFonts w:ascii="Calibri" w:hAnsi="Calibri"/>
                <w:sz w:val="20"/>
              </w:rPr>
              <w:t>cle</w:t>
            </w:r>
          </w:p>
        </w:tc>
        <w:tc>
          <w:tcPr>
            <w:tcW w:type="dxa" w:w="3913"/>
            <w:vAlign w:val="center"/>
          </w:tcPr>
          <w:p>
            <w:pPr>
              <w:spacing w:before="79" w:after="79" w:line="276" w:lineRule="auto"/>
            </w:pPr>
            <w:r>
              <w:rPr>
                <w:rFonts w:ascii="Calibri" w:hAnsi="Calibri"/>
                <w:sz w:val="20"/>
              </w:rPr>
              <w:t xml:space="preserve">objet décrit : code d'habitat, classe, régime, ou </w:t>
            </w:r>
            <w:r>
              <w:rPr>
                <w:rFonts w:ascii="Calibri" w:hAnsi="Calibri"/>
                <w:sz w:val="20"/>
              </w:rPr>
              <w:t>*</w:t>
            </w:r>
            <w:r>
              <w:rPr>
                <w:rFonts w:ascii="Calibri" w:hAnsi="Calibri"/>
                <w:sz w:val="20"/>
              </w:rPr>
              <w:t xml:space="preserve"> pour une valeur générale</w:t>
            </w:r>
          </w:p>
        </w:tc>
        <w:tc>
          <w:tcPr>
            <w:tcW w:type="dxa" w:w="2562"/>
            <w:vAlign w:val="center"/>
          </w:tcPr>
          <w:p>
            <w:pPr>
              <w:spacing w:before="79" w:after="79" w:line="276" w:lineRule="auto"/>
            </w:pPr>
            <w:r>
              <w:rPr>
                <w:rFonts w:ascii="Calibri" w:hAnsi="Calibri"/>
                <w:sz w:val="20"/>
              </w:rPr>
              <w:t>foret</w:t>
            </w:r>
          </w:p>
        </w:tc>
      </w:tr>
      <w:tr>
        <w:trPr>
          <w:cantSplit/>
        </w:trPr>
        <w:tc>
          <w:tcPr>
            <w:tcW w:type="dxa" w:w="3162"/>
            <w:vAlign w:val="center"/>
          </w:tcPr>
          <w:p>
            <w:pPr>
              <w:spacing w:before="79" w:after="79" w:line="276" w:lineRule="auto"/>
            </w:pPr>
            <w:r>
              <w:rPr>
                <w:rFonts w:ascii="Calibri" w:hAnsi="Calibri"/>
                <w:sz w:val="20"/>
              </w:rPr>
              <w:t>parametre</w:t>
            </w:r>
          </w:p>
        </w:tc>
        <w:tc>
          <w:tcPr>
            <w:tcW w:type="dxa" w:w="3913"/>
            <w:vAlign w:val="center"/>
          </w:tcPr>
          <w:p>
            <w:pPr>
              <w:spacing w:before="79" w:after="79" w:line="276" w:lineRule="auto"/>
            </w:pPr>
            <w:r>
              <w:rPr>
                <w:rFonts w:ascii="Calibri" w:hAnsi="Calibri"/>
                <w:sz w:val="20"/>
              </w:rPr>
              <w:t>grandeur, en minuscules sans accent</w:t>
            </w:r>
          </w:p>
        </w:tc>
        <w:tc>
          <w:tcPr>
            <w:tcW w:type="dxa" w:w="2562"/>
            <w:vAlign w:val="center"/>
          </w:tcPr>
          <w:p>
            <w:pPr>
              <w:spacing w:before="79" w:after="79" w:line="276" w:lineRule="auto"/>
            </w:pPr>
            <w:r>
              <w:rPr>
                <w:rFonts w:ascii="Calibri" w:hAnsi="Calibri"/>
                <w:sz w:val="20"/>
              </w:rPr>
              <w:t>production_biologique</w:t>
            </w:r>
          </w:p>
        </w:tc>
      </w:tr>
      <w:tr>
        <w:trPr>
          <w:cantSplit/>
        </w:trPr>
        <w:tc>
          <w:tcPr>
            <w:tcW w:type="dxa" w:w="3162"/>
            <w:vAlign w:val="center"/>
          </w:tcPr>
          <w:p>
            <w:pPr>
              <w:spacing w:before="79" w:after="79" w:line="276" w:lineRule="auto"/>
            </w:pPr>
            <w:r>
              <w:rPr>
                <w:rFonts w:ascii="Calibri" w:hAnsi="Calibri"/>
                <w:sz w:val="20"/>
              </w:rPr>
              <w:t>valeur</w:t>
            </w:r>
          </w:p>
        </w:tc>
        <w:tc>
          <w:tcPr>
            <w:tcW w:type="dxa" w:w="3913"/>
            <w:vAlign w:val="center"/>
          </w:tcPr>
          <w:p>
            <w:pPr>
              <w:spacing w:before="79" w:after="79" w:line="276" w:lineRule="auto"/>
            </w:pPr>
            <w:r>
              <w:rPr>
                <w:rFonts w:ascii="Calibri" w:hAnsi="Calibri"/>
                <w:sz w:val="20"/>
              </w:rPr>
              <w:t>valeur centrale</w:t>
            </w:r>
          </w:p>
        </w:tc>
        <w:tc>
          <w:tcPr>
            <w:tcW w:type="dxa" w:w="2562"/>
            <w:vAlign w:val="center"/>
          </w:tcPr>
          <w:p>
            <w:pPr>
              <w:spacing w:before="79" w:after="79" w:line="276" w:lineRule="auto"/>
              <w:jc w:val="center"/>
            </w:pPr>
            <w:r>
              <w:rPr>
                <w:rFonts w:ascii="Calibri" w:hAnsi="Calibri"/>
                <w:sz w:val="20"/>
              </w:rPr>
              <w:t>5.4</w:t>
            </w:r>
          </w:p>
        </w:tc>
      </w:tr>
      <w:tr>
        <w:trPr>
          <w:cantSplit/>
        </w:trPr>
        <w:tc>
          <w:tcPr>
            <w:tcW w:type="dxa" w:w="3162"/>
            <w:vAlign w:val="center"/>
          </w:tcPr>
          <w:p>
            <w:pPr>
              <w:spacing w:before="79" w:after="79" w:line="276" w:lineRule="auto"/>
            </w:pPr>
            <w:r>
              <w:rPr>
                <w:rFonts w:ascii="Calibri" w:hAnsi="Calibri"/>
                <w:sz w:val="20"/>
              </w:rPr>
              <w:t>unite</w:t>
            </w:r>
          </w:p>
        </w:tc>
        <w:tc>
          <w:tcPr>
            <w:tcW w:type="dxa" w:w="3913"/>
            <w:vAlign w:val="center"/>
          </w:tcPr>
          <w:p>
            <w:pPr>
              <w:spacing w:before="79" w:after="79" w:line="276" w:lineRule="auto"/>
            </w:pPr>
            <w:r>
              <w:rPr>
                <w:rFonts w:ascii="Calibri" w:hAnsi="Calibri"/>
                <w:sz w:val="20"/>
              </w:rPr>
              <w:t>unité, prise dans le catalogue dimensionnel</w:t>
            </w:r>
          </w:p>
        </w:tc>
        <w:tc>
          <w:tcPr>
            <w:tcW w:type="dxa" w:w="2562"/>
            <w:vAlign w:val="center"/>
          </w:tcPr>
          <w:p>
            <w:pPr>
              <w:spacing w:before="79" w:after="79" w:line="276" w:lineRule="auto"/>
            </w:pPr>
            <w:r>
              <w:rPr>
                <w:rFonts w:ascii="Calibri" w:hAnsi="Calibri"/>
                <w:sz w:val="20"/>
              </w:rPr>
              <w:t>m³ par ha et par an</w:t>
            </w:r>
          </w:p>
        </w:tc>
      </w:tr>
      <w:tr>
        <w:trPr>
          <w:cantSplit/>
        </w:trPr>
        <w:tc>
          <w:tcPr>
            <w:tcW w:type="dxa" w:w="3162"/>
            <w:vAlign w:val="center"/>
          </w:tcPr>
          <w:p>
            <w:pPr>
              <w:spacing w:before="79" w:after="79" w:line="276" w:lineRule="auto"/>
            </w:pPr>
            <w:r>
              <w:rPr>
                <w:rFonts w:ascii="Calibri" w:hAnsi="Calibri"/>
                <w:sz w:val="20"/>
              </w:rPr>
              <w:t>incertitude_min</w:t>
            </w:r>
            <w:r>
              <w:rPr>
                <w:rFonts w:ascii="Calibri" w:hAnsi="Calibri"/>
                <w:sz w:val="20"/>
              </w:rPr>
              <w:t xml:space="preserve">, </w:t>
            </w:r>
            <w:r>
              <w:rPr>
                <w:rFonts w:ascii="Calibri" w:hAnsi="Calibri"/>
                <w:sz w:val="20"/>
              </w:rPr>
              <w:t>incertitude_max</w:t>
            </w:r>
          </w:p>
        </w:tc>
        <w:tc>
          <w:tcPr>
            <w:tcW w:type="dxa" w:w="3913"/>
            <w:vAlign w:val="center"/>
          </w:tcPr>
          <w:p>
            <w:pPr>
              <w:spacing w:before="79" w:after="79" w:line="276" w:lineRule="auto"/>
            </w:pPr>
            <w:r>
              <w:rPr>
                <w:rFonts w:ascii="Calibri" w:hAnsi="Calibri"/>
                <w:sz w:val="20"/>
              </w:rPr>
              <w:t>bornes de la loi triangulaire tirée par l'analyse d'incertitude ; égales à la valeur si elle est exacte</w:t>
            </w:r>
          </w:p>
        </w:tc>
        <w:tc>
          <w:tcPr>
            <w:tcW w:type="dxa" w:w="2562"/>
            <w:vAlign w:val="center"/>
          </w:tcPr>
          <w:p>
            <w:pPr>
              <w:spacing w:before="79" w:after="79" w:line="276" w:lineRule="auto"/>
              <w:jc w:val="center"/>
            </w:pPr>
            <w:r>
              <w:rPr>
                <w:rFonts w:ascii="Calibri" w:hAnsi="Calibri"/>
                <w:sz w:val="20"/>
              </w:rPr>
              <w:t>4.0</w:t>
            </w:r>
            <w:r>
              <w:rPr>
                <w:rFonts w:ascii="Calibri" w:hAnsi="Calibri"/>
                <w:sz w:val="20"/>
              </w:rPr>
              <w:t xml:space="preserve">, </w:t>
            </w:r>
            <w:r>
              <w:rPr>
                <w:rFonts w:ascii="Calibri" w:hAnsi="Calibri"/>
                <w:sz w:val="20"/>
              </w:rPr>
              <w:t>7.5</w:t>
            </w:r>
          </w:p>
        </w:tc>
      </w:tr>
      <w:tr>
        <w:trPr>
          <w:cantSplit/>
        </w:trPr>
        <w:tc>
          <w:tcPr>
            <w:tcW w:type="dxa" w:w="3162"/>
            <w:vAlign w:val="center"/>
          </w:tcPr>
          <w:p>
            <w:pPr>
              <w:spacing w:before="79" w:after="79" w:line="276" w:lineRule="auto"/>
            </w:pPr>
            <w:r>
              <w:rPr>
                <w:rFonts w:ascii="Calibri" w:hAnsi="Calibri"/>
                <w:sz w:val="20"/>
              </w:rPr>
              <w:t>source</w:t>
            </w:r>
          </w:p>
        </w:tc>
        <w:tc>
          <w:tcPr>
            <w:tcW w:type="dxa" w:w="3913"/>
            <w:vAlign w:val="center"/>
          </w:tcPr>
          <w:p>
            <w:pPr>
              <w:spacing w:before="79" w:after="79" w:line="276" w:lineRule="auto"/>
            </w:pPr>
            <w:r>
              <w:rPr>
                <w:rFonts w:ascii="Calibri" w:hAnsi="Calibri"/>
                <w:sz w:val="20"/>
              </w:rPr>
              <w:t>auteurs, année, titre</w:t>
            </w:r>
          </w:p>
        </w:tc>
        <w:tc>
          <w:tcPr>
            <w:tcW w:type="dxa" w:w="2562"/>
            <w:vAlign w:val="center"/>
          </w:tcPr>
          <w:p>
            <w:pPr>
              <w:spacing w:before="79" w:after="79" w:line="276" w:lineRule="auto"/>
            </w:pPr>
          </w:p>
        </w:tc>
      </w:tr>
      <w:tr>
        <w:trPr>
          <w:cantSplit/>
        </w:trPr>
        <w:tc>
          <w:tcPr>
            <w:tcW w:type="dxa" w:w="3162"/>
            <w:vAlign w:val="center"/>
          </w:tcPr>
          <w:p>
            <w:pPr>
              <w:spacing w:before="79" w:after="79" w:line="276" w:lineRule="auto"/>
            </w:pPr>
            <w:r>
              <w:rPr>
                <w:rFonts w:ascii="Calibri" w:hAnsi="Calibri"/>
                <w:sz w:val="20"/>
              </w:rPr>
              <w:t>reference_precise</w:t>
            </w:r>
          </w:p>
        </w:tc>
        <w:tc>
          <w:tcPr>
            <w:tcW w:type="dxa" w:w="3913"/>
            <w:vAlign w:val="center"/>
          </w:tcPr>
          <w:p>
            <w:pPr>
              <w:spacing w:before="79" w:after="79" w:line="276" w:lineRule="auto"/>
            </w:pPr>
            <w:r>
              <w:rPr>
                <w:rFonts w:ascii="Calibri" w:hAnsi="Calibri"/>
                <w:sz w:val="20"/>
              </w:rPr>
              <w:t>page, tableau, équation, ligne ou onglet</w:t>
            </w:r>
          </w:p>
        </w:tc>
        <w:tc>
          <w:tcPr>
            <w:tcW w:type="dxa" w:w="2562"/>
            <w:vAlign w:val="center"/>
          </w:tcPr>
          <w:p>
            <w:pPr>
              <w:spacing w:before="79" w:after="79" w:line="276" w:lineRule="auto"/>
            </w:pPr>
          </w:p>
        </w:tc>
      </w:tr>
      <w:tr>
        <w:trPr>
          <w:cantSplit/>
        </w:trPr>
        <w:tc>
          <w:tcPr>
            <w:tcW w:type="dxa" w:w="3162"/>
            <w:vAlign w:val="center"/>
          </w:tcPr>
          <w:p>
            <w:pPr>
              <w:spacing w:before="79" w:after="79" w:line="276" w:lineRule="auto"/>
            </w:pPr>
            <w:r>
              <w:rPr>
                <w:rFonts w:ascii="Calibri" w:hAnsi="Calibri"/>
                <w:sz w:val="20"/>
              </w:rPr>
              <w:t>url</w:t>
            </w:r>
          </w:p>
        </w:tc>
        <w:tc>
          <w:tcPr>
            <w:tcW w:type="dxa" w:w="3913"/>
            <w:vAlign w:val="center"/>
          </w:tcPr>
          <w:p>
            <w:pPr>
              <w:spacing w:before="79" w:after="79" w:line="276" w:lineRule="auto"/>
            </w:pPr>
            <w:r>
              <w:rPr>
                <w:rFonts w:ascii="Calibri" w:hAnsi="Calibri"/>
                <w:sz w:val="20"/>
              </w:rPr>
              <w:t>adresse du document ou de la donnée</w:t>
            </w:r>
          </w:p>
        </w:tc>
        <w:tc>
          <w:tcPr>
            <w:tcW w:type="dxa" w:w="2562"/>
            <w:vAlign w:val="center"/>
          </w:tcPr>
          <w:p>
            <w:pPr>
              <w:spacing w:before="79" w:after="79" w:line="276" w:lineRule="auto"/>
            </w:pPr>
          </w:p>
        </w:tc>
      </w:tr>
      <w:tr>
        <w:trPr>
          <w:cantSplit/>
        </w:trPr>
        <w:tc>
          <w:tcPr>
            <w:tcW w:type="dxa" w:w="3162"/>
            <w:vAlign w:val="center"/>
          </w:tcPr>
          <w:p>
            <w:pPr>
              <w:spacing w:before="79" w:after="79" w:line="276" w:lineRule="auto"/>
            </w:pPr>
            <w:r>
              <w:rPr>
                <w:rFonts w:ascii="Calibri" w:hAnsi="Calibri"/>
                <w:sz w:val="20"/>
              </w:rPr>
              <w:t>licence</w:t>
            </w:r>
          </w:p>
        </w:tc>
        <w:tc>
          <w:tcPr>
            <w:tcW w:type="dxa" w:w="3913"/>
            <w:vAlign w:val="center"/>
          </w:tcPr>
          <w:p>
            <w:pPr>
              <w:spacing w:before="79" w:after="79" w:line="276" w:lineRule="auto"/>
            </w:pPr>
            <w:r>
              <w:rPr>
                <w:rFonts w:ascii="Calibri" w:hAnsi="Calibri"/>
                <w:sz w:val="20"/>
              </w:rPr>
              <w:t>licence de la source, ou motif de reprise</w:t>
            </w:r>
          </w:p>
        </w:tc>
        <w:tc>
          <w:tcPr>
            <w:tcW w:type="dxa" w:w="2562"/>
            <w:vAlign w:val="center"/>
          </w:tcPr>
          <w:p>
            <w:pPr>
              <w:spacing w:before="79" w:after="79" w:line="276" w:lineRule="auto"/>
            </w:pPr>
            <w:r>
              <w:rPr>
                <w:rFonts w:ascii="Calibri" w:hAnsi="Calibri"/>
                <w:sz w:val="20"/>
              </w:rPr>
              <w:t>Licence Ouverte 2.0</w:t>
            </w:r>
          </w:p>
        </w:tc>
      </w:tr>
      <w:tr>
        <w:trPr>
          <w:cantSplit/>
        </w:trPr>
        <w:tc>
          <w:tcPr>
            <w:tcW w:type="dxa" w:w="3162"/>
            <w:vAlign w:val="center"/>
          </w:tcPr>
          <w:p>
            <w:pPr>
              <w:spacing w:before="79" w:after="79" w:line="276" w:lineRule="auto"/>
            </w:pPr>
            <w:r>
              <w:rPr>
                <w:rFonts w:ascii="Calibri" w:hAnsi="Calibri"/>
                <w:sz w:val="20"/>
              </w:rPr>
              <w:t>type</w:t>
            </w:r>
          </w:p>
        </w:tc>
        <w:tc>
          <w:tcPr>
            <w:tcW w:type="dxa" w:w="3913"/>
            <w:vAlign w:val="center"/>
          </w:tcPr>
          <w:p>
            <w:pPr>
              <w:spacing w:before="79" w:after="79" w:line="276" w:lineRule="auto"/>
            </w:pPr>
            <w:r>
              <w:rPr>
                <w:rFonts w:ascii="Calibri" w:hAnsi="Calibri"/>
                <w:sz w:val="20"/>
              </w:rPr>
              <w:t>primaire</w:t>
            </w:r>
            <w:r>
              <w:rPr>
                <w:rFonts w:ascii="Calibri" w:hAnsi="Calibri"/>
                <w:sz w:val="20"/>
              </w:rPr>
              <w:t xml:space="preserve">, </w:t>
            </w:r>
            <w:r>
              <w:rPr>
                <w:rFonts w:ascii="Calibri" w:hAnsi="Calibri"/>
                <w:sz w:val="20"/>
              </w:rPr>
              <w:t>secondaire</w:t>
            </w:r>
            <w:r>
              <w:rPr>
                <w:rFonts w:ascii="Calibri" w:hAnsi="Calibri"/>
                <w:sz w:val="20"/>
              </w:rPr>
              <w:t xml:space="preserve">, </w:t>
            </w:r>
            <w:r>
              <w:rPr>
                <w:rFonts w:ascii="Calibri" w:hAnsi="Calibri"/>
                <w:sz w:val="20"/>
              </w:rPr>
              <w:t>transposition</w:t>
            </w:r>
            <w:r>
              <w:rPr>
                <w:rFonts w:ascii="Calibri" w:hAnsi="Calibri"/>
                <w:sz w:val="20"/>
              </w:rPr>
              <w:t xml:space="preserve"> ou </w:t>
            </w:r>
            <w:r>
              <w:rPr>
                <w:rFonts w:ascii="Calibri" w:hAnsi="Calibri"/>
                <w:sz w:val="20"/>
              </w:rPr>
              <w:t>convention</w:t>
            </w:r>
          </w:p>
        </w:tc>
        <w:tc>
          <w:tcPr>
            <w:tcW w:type="dxa" w:w="2562"/>
            <w:vAlign w:val="center"/>
          </w:tcPr>
          <w:p>
            <w:pPr>
              <w:spacing w:before="79" w:after="79" w:line="276" w:lineRule="auto"/>
            </w:pPr>
          </w:p>
        </w:tc>
      </w:tr>
      <w:tr>
        <w:trPr>
          <w:cantSplit/>
        </w:trPr>
        <w:tc>
          <w:tcPr>
            <w:tcW w:type="dxa" w:w="3162"/>
            <w:vAlign w:val="center"/>
          </w:tcPr>
          <w:p>
            <w:pPr>
              <w:spacing w:before="79" w:after="79" w:line="276" w:lineRule="auto"/>
            </w:pPr>
            <w:r>
              <w:rPr>
                <w:rFonts w:ascii="Calibri" w:hAnsi="Calibri"/>
                <w:sz w:val="20"/>
              </w:rPr>
              <w:t>convention</w:t>
            </w:r>
          </w:p>
        </w:tc>
        <w:tc>
          <w:tcPr>
            <w:tcW w:type="dxa" w:w="3913"/>
            <w:vAlign w:val="center"/>
          </w:tcPr>
          <w:p>
            <w:pPr>
              <w:spacing w:before="79" w:after="79" w:line="276" w:lineRule="auto"/>
            </w:pPr>
            <w:r>
              <w:rPr>
                <w:rFonts w:ascii="Calibri" w:hAnsi="Calibri"/>
                <w:sz w:val="20"/>
              </w:rPr>
              <w:t>numéro de convention, obligatoire pour une transposition ou une convention</w:t>
            </w:r>
          </w:p>
        </w:tc>
        <w:tc>
          <w:tcPr>
            <w:tcW w:type="dxa" w:w="2562"/>
            <w:vAlign w:val="center"/>
          </w:tcPr>
          <w:p>
            <w:pPr>
              <w:spacing w:before="79" w:after="79" w:line="276" w:lineRule="auto"/>
            </w:pPr>
            <w:r>
              <w:rPr>
                <w:rFonts w:ascii="Calibri" w:hAnsi="Calibri"/>
                <w:sz w:val="20"/>
              </w:rPr>
              <w:t>C-G4</w:t>
            </w:r>
          </w:p>
        </w:tc>
      </w:tr>
      <w:tr>
        <w:trPr>
          <w:cantSplit/>
        </w:trPr>
        <w:tc>
          <w:tcPr>
            <w:tcW w:type="dxa" w:w="3162"/>
            <w:vAlign w:val="center"/>
          </w:tcPr>
          <w:p>
            <w:pPr>
              <w:spacing w:before="79" w:after="79" w:line="276" w:lineRule="auto"/>
            </w:pPr>
            <w:r>
              <w:rPr>
                <w:rFonts w:ascii="Calibri" w:hAnsi="Calibri"/>
                <w:sz w:val="20"/>
              </w:rPr>
              <w:t>justification</w:t>
            </w:r>
          </w:p>
        </w:tc>
        <w:tc>
          <w:tcPr>
            <w:tcW w:type="dxa" w:w="3913"/>
            <w:vAlign w:val="center"/>
          </w:tcPr>
          <w:p>
            <w:pPr>
              <w:spacing w:before="79" w:after="79" w:line="276" w:lineRule="auto"/>
            </w:pPr>
            <w:r>
              <w:rPr>
                <w:rFonts w:ascii="Calibri" w:hAnsi="Calibri"/>
                <w:sz w:val="20"/>
              </w:rPr>
              <w:t>une phrase : pourquoi cette valeur pour cet objet</w:t>
            </w:r>
          </w:p>
        </w:tc>
        <w:tc>
          <w:tcPr>
            <w:tcW w:type="dxa" w:w="2562"/>
            <w:vAlign w:val="center"/>
          </w:tcPr>
          <w:p>
            <w:pPr>
              <w:spacing w:before="79" w:after="79" w:line="276" w:lineRule="auto"/>
            </w:pPr>
          </w:p>
        </w:tc>
      </w:tr>
    </w:tbl>
    <w:p>
      <w:pPr>
        <w:keepNext/>
        <w:spacing w:before="57" w:after="227" w:line="288" w:lineRule="auto"/>
      </w:pPr>
      <w:r>
        <w:rPr>
          <w:rFonts w:ascii="Calibri" w:hAnsi="Calibri"/>
          <w:sz w:val="20"/>
        </w:rPr>
        <w:t>Les quatre types :</w:t>
      </w:r>
    </w:p>
    <w:p>
      <w:pPr>
        <w:pStyle w:val="ListBullet"/>
        <w:keepNext/>
        <w:spacing w:before="45" w:after="79" w:line="288" w:lineRule="auto"/>
        <w:jc w:val="both"/>
      </w:pPr>
      <w:r>
        <w:rPr>
          <w:rFonts w:ascii="Calibri" w:hAnsi="Calibri"/>
          <w:sz w:val="20"/>
        </w:rPr>
        <w:t>primaire : la valeur est lue telle quelle dans la source, pour l'objet décrit ;</w:t>
      </w:r>
    </w:p>
    <w:p>
      <w:pPr>
        <w:pStyle w:val="ListBullet"/>
        <w:keepNext/>
        <w:spacing w:before="45" w:after="79" w:line="288" w:lineRule="auto"/>
        <w:jc w:val="both"/>
      </w:pPr>
      <w:r>
        <w:rPr>
          <w:rFonts w:ascii="Calibri" w:hAnsi="Calibri"/>
          <w:sz w:val="20"/>
        </w:rPr>
        <w:t>secondaire : la valeur vient d'une compilation ou d'une revue qui cite la source primaire ;</w:t>
      </w:r>
    </w:p>
    <w:p>
      <w:pPr>
        <w:pStyle w:val="ListBullet"/>
        <w:keepNext/>
        <w:spacing w:before="45" w:after="79" w:line="288" w:lineRule="auto"/>
        <w:jc w:val="both"/>
      </w:pPr>
      <w:r>
        <w:rPr>
          <w:rFonts w:ascii="Calibri" w:hAnsi="Calibri"/>
          <w:sz w:val="20"/>
        </w:rPr>
        <w:t>transposition : la valeur est lue dans une source faite pour un autre objet, un autre pays ou une autre échelle, et convertie selon une convention écrite (par exemple, valeurs de biotope allemandes ramenées entre 0 et 1, convention C-H1) ;</w:t>
      </w:r>
    </w:p>
    <w:p>
      <w:pPr>
        <w:pStyle w:val="ListBullet"/>
        <w:keepNext w:val="0"/>
        <w:spacing w:before="45" w:after="79" w:line="288" w:lineRule="auto"/>
        <w:jc w:val="both"/>
      </w:pPr>
      <w:r>
        <w:rPr>
          <w:rFonts w:ascii="Calibri" w:hAnsi="Calibri"/>
          <w:sz w:val="20"/>
        </w:rPr>
        <w:t>convention : la valeur est fixée par OpenNAT, faute de source ; la justification dit pourquoi celle-ci.</w:t>
      </w:r>
    </w:p>
    <w:p>
      <w:pPr>
        <w:spacing w:before="57" w:after="227" w:line="288" w:lineRule="auto"/>
      </w:pPr>
      <w:r>
        <w:rPr>
          <w:rFonts w:ascii="Calibri" w:hAnsi="Calibri"/>
          <w:sz w:val="20"/>
        </w:rPr>
        <w:t xml:space="preserve">La valeur doit être comprise entre ses deux bornes. L'unité doit figurer au catalogue de </w:t>
      </w:r>
      <w:r>
        <w:rPr>
          <w:rFonts w:ascii="Calibri" w:hAnsi="Calibri"/>
          <w:sz w:val="20"/>
        </w:rPr>
        <w:t>opennat/dimensions.py</w:t>
      </w:r>
      <w:r>
        <w:rPr>
          <w:rFonts w:ascii="Calibri" w:hAnsi="Calibri"/>
          <w:sz w:val="20"/>
        </w:rPr>
        <w:t xml:space="preserve"> ; une unité nouvelle s'y déclare avec ses dimensions (longueur, masse, temps, température, habitat équivalent), ce qui permet au contrôle dimensionnel de vérifier les équations où elle entre.</w:t>
      </w:r>
    </w:p>
    <w:p>
      <w:pPr>
        <w:pStyle w:val="Heading1"/>
        <w:keepNext/>
        <w:spacing w:before="397" w:after="170"/>
      </w:pPr>
      <w:r>
        <w:rPr>
          <w:rFonts w:ascii="Poppins" w:hAnsi="Poppins" w:cs="Poppins" w:eastAsia="Poppins"/>
          <w:color w:val="1A4F9C"/>
        </w:rPr>
        <w:t>Licences</w:t>
      </w:r>
    </w:p>
    <w:p>
      <w:pPr>
        <w:spacing w:before="57" w:after="227" w:line="288" w:lineRule="auto"/>
      </w:pPr>
      <w:r>
        <w:rPr>
          <w:rFonts w:ascii="Calibri" w:hAnsi="Calibri"/>
          <w:sz w:val="20"/>
        </w:rPr>
        <w:t>OpenNAT est diffusé sous licence libre : texte et tables sous CC BY 4.0, moteur sous AGPL. Une valeur n'y entre que si sa reprise est permise. Sont admises les sources sous licence ouverte (Licence Ouverte 2.0, Open Government Licence, CC BY), les textes réglementaires, et la citation d'une valeur publiée avec sa référence. Ne sont pas admises les données dont la licence interdit la réutilisation ou la notation : c'est le cas des fiches INIES, dont la licence du service web interdit tout classement ou notation des déclarations environnementales. En cas de doute, écrire la licence telle qu'on la lit et le signaler dans la proposition.</w:t>
      </w:r>
    </w:p>
    <w:p>
      <w:pPr>
        <w:pStyle w:val="Heading1"/>
        <w:keepNext/>
        <w:pageBreakBefore/>
        <w:spacing w:before="397" w:after="170"/>
      </w:pPr>
      <w:r>
        <w:rPr>
          <w:rFonts w:ascii="Poppins" w:hAnsi="Poppins" w:cs="Poppins" w:eastAsia="Poppins"/>
          <w:color w:val="1A4F9C"/>
        </w:rPr>
        <w:t>Où vit chaque table</w:t>
      </w:r>
    </w:p>
    <w:p>
      <w:pPr>
        <w:spacing w:before="57" w:after="227" w:line="288" w:lineRule="auto"/>
      </w:pPr>
      <w:r>
        <w:rPr>
          <w:rFonts w:ascii="Calibri" w:hAnsi="Calibri"/>
          <w:sz w:val="20"/>
        </w:rPr>
        <w:t xml:space="preserve">Certaines tables s'écrivent à la main ; d'autres sont produites par un script depuis des sources recopiées dans </w:t>
      </w:r>
      <w:r>
        <w:rPr>
          <w:rFonts w:ascii="Calibri" w:hAnsi="Calibri"/>
          <w:sz w:val="20"/>
        </w:rPr>
        <w:t>sources/</w:t>
      </w:r>
      <w:r>
        <w:rPr>
          <w:rFonts w:ascii="Calibri" w:hAnsi="Calibri"/>
          <w:sz w:val="20"/>
        </w:rPr>
        <w:t>. Pour ces dernières, on modifie le script ou la source extraite, jamais le CSV, qui serait écrasé à la reconstruction.</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3212"/>
        <w:gridCol w:w="3212"/>
        <w:gridCol w:w="3212"/>
      </w:tblGrid>
      <w:tr>
        <w:trPr>
          <w:tblHeader/>
          <w:cantSplit/>
        </w:trPr>
        <w:tc>
          <w:tcPr>
            <w:tcW w:type="dxa" w:w="3213"/>
            <w:vAlign w:val="center"/>
            <w:shd w:val="clear" w:color="auto" w:fill="202335"/>
          </w:tcPr>
          <w:p>
            <w:pPr>
              <w:keepNext/>
              <w:spacing w:before="79" w:after="79" w:line="276" w:lineRule="auto"/>
            </w:pPr>
            <w:r>
              <w:rPr>
                <w:rFonts w:ascii="Calibri" w:hAnsi="Calibri"/>
                <w:b/>
                <w:color w:val="FFFFFF"/>
                <w:sz w:val="20"/>
              </w:rPr>
              <w:t>Table</w:t>
            </w:r>
          </w:p>
        </w:tc>
        <w:tc>
          <w:tcPr>
            <w:tcW w:type="dxa" w:w="3213"/>
            <w:vAlign w:val="center"/>
            <w:shd w:val="clear" w:color="auto" w:fill="202335"/>
          </w:tcPr>
          <w:p>
            <w:pPr>
              <w:keepNext/>
              <w:spacing w:before="79" w:after="79" w:line="276" w:lineRule="auto"/>
            </w:pPr>
            <w:r>
              <w:rPr>
                <w:rFonts w:ascii="Calibri" w:hAnsi="Calibri"/>
                <w:b/>
                <w:color w:val="FFFFFF"/>
                <w:sz w:val="20"/>
              </w:rPr>
              <w:t>Contenu</w:t>
            </w:r>
          </w:p>
        </w:tc>
        <w:tc>
          <w:tcPr>
            <w:tcW w:type="dxa" w:w="3213"/>
            <w:vAlign w:val="center"/>
            <w:shd w:val="clear" w:color="auto" w:fill="202335"/>
          </w:tcPr>
          <w:p>
            <w:pPr>
              <w:keepNext/>
              <w:spacing w:before="79" w:after="79" w:line="276" w:lineRule="auto"/>
            </w:pPr>
            <w:r>
              <w:rPr>
                <w:rFonts w:ascii="Calibri" w:hAnsi="Calibri"/>
                <w:b/>
                <w:color w:val="FFFFFF"/>
                <w:sz w:val="20"/>
              </w:rPr>
              <w:t>Modifier</w:t>
            </w:r>
          </w:p>
        </w:tc>
      </w:tr>
      <w:tr>
        <w:trPr>
          <w:cantSplit/>
        </w:trPr>
        <w:tc>
          <w:tcPr>
            <w:tcW w:type="dxa" w:w="3213"/>
            <w:vAlign w:val="center"/>
          </w:tcPr>
          <w:p>
            <w:pPr>
              <w:keepNext/>
              <w:spacing w:before="79" w:after="79" w:line="276" w:lineRule="auto"/>
            </w:pPr>
            <w:r>
              <w:rPr>
                <w:rFonts w:ascii="Calibri" w:hAnsi="Calibri"/>
                <w:sz w:val="20"/>
              </w:rPr>
              <w:t>habitats.csv</w:t>
            </w:r>
          </w:p>
        </w:tc>
        <w:tc>
          <w:tcPr>
            <w:tcW w:type="dxa" w:w="3213"/>
            <w:vAlign w:val="center"/>
          </w:tcPr>
          <w:p>
            <w:pPr>
              <w:keepNext/>
              <w:spacing w:before="79" w:after="79" w:line="276" w:lineRule="auto"/>
            </w:pPr>
            <w:r>
              <w:rPr>
                <w:rFonts w:ascii="Calibri" w:hAnsi="Calibri"/>
                <w:sz w:val="20"/>
              </w:rPr>
              <w:t>valeurs intrinsèques, délais, difficultés, plafonds par type d'habitat</w:t>
            </w:r>
          </w:p>
        </w:tc>
        <w:tc>
          <w:tcPr>
            <w:tcW w:type="dxa" w:w="3213"/>
            <w:vAlign w:val="center"/>
          </w:tcPr>
          <w:p>
            <w:pPr>
              <w:keepNext/>
              <w:spacing w:before="79" w:after="79" w:line="276" w:lineRule="auto"/>
            </w:pPr>
            <w:r>
              <w:rPr>
                <w:rFonts w:ascii="Calibri" w:hAnsi="Calibri"/>
                <w:sz w:val="20"/>
              </w:rPr>
              <w:t>outils/construire_habitats.py</w:t>
            </w:r>
            <w:r>
              <w:rPr>
                <w:rFonts w:ascii="Calibri" w:hAnsi="Calibri"/>
                <w:sz w:val="20"/>
              </w:rPr>
              <w:t xml:space="preserve"> et </w:t>
            </w:r>
            <w:r>
              <w:rPr>
                <w:rFonts w:ascii="Calibri" w:hAnsi="Calibri"/>
                <w:sz w:val="20"/>
              </w:rPr>
              <w:t>nomenclature_habitats.csv</w:t>
            </w:r>
          </w:p>
        </w:tc>
      </w:tr>
      <w:tr>
        <w:trPr>
          <w:cantSplit/>
        </w:trPr>
        <w:tc>
          <w:tcPr>
            <w:tcW w:type="dxa" w:w="3213"/>
            <w:vAlign w:val="center"/>
          </w:tcPr>
          <w:p>
            <w:pPr>
              <w:keepNext/>
              <w:spacing w:before="79" w:after="79" w:line="276" w:lineRule="auto"/>
            </w:pPr>
            <w:r>
              <w:rPr>
                <w:rFonts w:ascii="Calibri" w:hAnsi="Calibri"/>
                <w:sz w:val="20"/>
              </w:rPr>
              <w:t>nomenclature_habitats.csv</w:t>
            </w:r>
          </w:p>
        </w:tc>
        <w:tc>
          <w:tcPr>
            <w:tcW w:type="dxa" w:w="3213"/>
            <w:vAlign w:val="center"/>
          </w:tcPr>
          <w:p>
            <w:pPr>
              <w:keepNext/>
              <w:spacing w:before="79" w:after="79" w:line="276" w:lineRule="auto"/>
            </w:pPr>
            <w:r>
              <w:rPr>
                <w:rFonts w:ascii="Calibri" w:hAnsi="Calibri"/>
                <w:sz w:val="20"/>
              </w:rPr>
              <w:t>types OpenNAT, correspondances EUNIS, BKompV et métrique anglaise, grille d'état</w:t>
            </w:r>
          </w:p>
        </w:tc>
        <w:tc>
          <w:tcPr>
            <w:tcW w:type="dxa" w:w="3213"/>
            <w:vAlign w:val="center"/>
          </w:tcPr>
          <w:p>
            <w:pPr>
              <w:keepNext/>
              <w:spacing w:before="79" w:after="79" w:line="276" w:lineRule="auto"/>
            </w:pPr>
            <w:r>
              <w:rPr>
                <w:rFonts w:ascii="Calibri" w:hAnsi="Calibri"/>
                <w:sz w:val="20"/>
              </w:rPr>
              <w:t xml:space="preserve">à la main ; colonne </w:t>
            </w:r>
            <w:r>
              <w:rPr>
                <w:rFonts w:ascii="Calibri" w:hAnsi="Calibri"/>
                <w:sz w:val="20"/>
              </w:rPr>
              <w:t>grille_etat</w:t>
            </w:r>
            <w:r>
              <w:rPr>
                <w:rFonts w:ascii="Calibri" w:hAnsi="Calibri"/>
                <w:sz w:val="20"/>
              </w:rPr>
              <w:t xml:space="preserve"> par </w:t>
            </w:r>
            <w:r>
              <w:rPr>
                <w:rFonts w:ascii="Calibri" w:hAnsi="Calibri"/>
                <w:sz w:val="20"/>
              </w:rPr>
              <w:t>outils/construire_grilles.py</w:t>
            </w:r>
          </w:p>
        </w:tc>
      </w:tr>
      <w:tr>
        <w:trPr>
          <w:cantSplit/>
        </w:trPr>
        <w:tc>
          <w:tcPr>
            <w:tcW w:type="dxa" w:w="3213"/>
            <w:vAlign w:val="center"/>
          </w:tcPr>
          <w:p>
            <w:pPr>
              <w:keepNext/>
              <w:spacing w:before="79" w:after="79" w:line="276" w:lineRule="auto"/>
            </w:pPr>
            <w:r>
              <w:rPr>
                <w:rFonts w:ascii="Calibri" w:hAnsi="Calibri"/>
                <w:sz w:val="20"/>
              </w:rPr>
              <w:t>sols.csv</w:t>
            </w:r>
          </w:p>
        </w:tc>
        <w:tc>
          <w:tcPr>
            <w:tcW w:type="dxa" w:w="3213"/>
            <w:vAlign w:val="center"/>
          </w:tcPr>
          <w:p>
            <w:pPr>
              <w:keepNext/>
              <w:spacing w:before="79" w:after="79" w:line="276" w:lineRule="auto"/>
            </w:pPr>
            <w:r>
              <w:rPr>
                <w:rFonts w:ascii="Calibri" w:hAnsi="Calibri"/>
                <w:sz w:val="20"/>
              </w:rPr>
              <w:t>coefficients de nature de surface</w:t>
            </w:r>
          </w:p>
        </w:tc>
        <w:tc>
          <w:tcPr>
            <w:tcW w:type="dxa" w:w="3213"/>
            <w:vAlign w:val="center"/>
          </w:tcPr>
          <w:p>
            <w:pPr>
              <w:keepNext/>
              <w:spacing w:before="79" w:after="79" w:line="276" w:lineRule="auto"/>
            </w:pPr>
            <w:r>
              <w:rPr>
                <w:rFonts w:ascii="Calibri" w:hAnsi="Calibri"/>
                <w:sz w:val="20"/>
              </w:rPr>
              <w:t>outils/construire_sols.py</w:t>
            </w:r>
          </w:p>
        </w:tc>
      </w:tr>
      <w:tr>
        <w:trPr>
          <w:cantSplit/>
        </w:trPr>
        <w:tc>
          <w:tcPr>
            <w:tcW w:type="dxa" w:w="3213"/>
            <w:vAlign w:val="center"/>
          </w:tcPr>
          <w:p>
            <w:pPr>
              <w:keepNext/>
              <w:spacing w:before="79" w:after="79" w:line="276" w:lineRule="auto"/>
            </w:pPr>
            <w:r>
              <w:rPr>
                <w:rFonts w:ascii="Calibri" w:hAnsi="Calibri"/>
                <w:sz w:val="20"/>
              </w:rPr>
              <w:t>climat.csv</w:t>
            </w:r>
            <w:r>
              <w:rPr>
                <w:rFonts w:ascii="Calibri" w:hAnsi="Calibri"/>
                <w:sz w:val="20"/>
              </w:rPr>
              <w:t xml:space="preserve"> et </w:t>
            </w:r>
            <w:r>
              <w:rPr>
                <w:rFonts w:ascii="Calibri" w:hAnsi="Calibri"/>
                <w:sz w:val="20"/>
              </w:rPr>
              <w:t>climat/*.csv.gz</w:t>
            </w:r>
          </w:p>
        </w:tc>
        <w:tc>
          <w:tcPr>
            <w:tcW w:type="dxa" w:w="3213"/>
            <w:vAlign w:val="center"/>
          </w:tcPr>
          <w:p>
            <w:pPr>
              <w:keepNext/>
              <w:spacing w:before="79" w:after="79" w:line="276" w:lineRule="auto"/>
            </w:pPr>
            <w:r>
              <w:rPr>
                <w:rFonts w:ascii="Calibri" w:hAnsi="Calibri"/>
                <w:sz w:val="20"/>
              </w:rPr>
              <w:t>stations, normales de pluie, fichiers horaires prospectifs</w:t>
            </w:r>
          </w:p>
        </w:tc>
        <w:tc>
          <w:tcPr>
            <w:tcW w:type="dxa" w:w="3213"/>
            <w:vAlign w:val="center"/>
          </w:tcPr>
          <w:p>
            <w:pPr>
              <w:keepNext/>
              <w:spacing w:before="79" w:after="79" w:line="276" w:lineRule="auto"/>
            </w:pPr>
            <w:r>
              <w:rPr>
                <w:rFonts w:ascii="Calibri" w:hAnsi="Calibri"/>
                <w:sz w:val="20"/>
              </w:rPr>
              <w:t>outils/construire_climat.py</w:t>
            </w:r>
          </w:p>
        </w:tc>
      </w:tr>
      <w:tr>
        <w:trPr>
          <w:cantSplit/>
        </w:trPr>
        <w:tc>
          <w:tcPr>
            <w:tcW w:type="dxa" w:w="3213"/>
            <w:vAlign w:val="center"/>
          </w:tcPr>
          <w:p>
            <w:pPr>
              <w:keepNext/>
              <w:spacing w:before="79" w:after="79" w:line="276" w:lineRule="auto"/>
            </w:pPr>
            <w:r>
              <w:rPr>
                <w:rFonts w:ascii="Calibri" w:hAnsi="Calibri"/>
                <w:sz w:val="20"/>
              </w:rPr>
              <w:t>hydrique.csv</w:t>
            </w:r>
            <w:r>
              <w:rPr>
                <w:rFonts w:ascii="Calibri" w:hAnsi="Calibri"/>
                <w:sz w:val="20"/>
              </w:rPr>
              <w:t xml:space="preserve">, </w:t>
            </w:r>
            <w:r>
              <w:rPr>
                <w:rFonts w:ascii="Calibri" w:hAnsi="Calibri"/>
                <w:sz w:val="20"/>
              </w:rPr>
              <w:t>eclairage.csv</w:t>
            </w:r>
            <w:r>
              <w:rPr>
                <w:rFonts w:ascii="Calibri" w:hAnsi="Calibri"/>
                <w:sz w:val="20"/>
              </w:rPr>
              <w:t xml:space="preserve">, </w:t>
            </w:r>
            <w:r>
              <w:rPr>
                <w:rFonts w:ascii="Calibri" w:hAnsi="Calibri"/>
                <w:sz w:val="20"/>
              </w:rPr>
              <w:t>succession.csv</w:t>
            </w:r>
            <w:r>
              <w:rPr>
                <w:rFonts w:ascii="Calibri" w:hAnsi="Calibri"/>
                <w:sz w:val="20"/>
              </w:rPr>
              <w:t xml:space="preserve">, </w:t>
            </w:r>
            <w:r>
              <w:rPr>
                <w:rFonts w:ascii="Calibri" w:hAnsi="Calibri"/>
                <w:sz w:val="20"/>
              </w:rPr>
              <w:t>chantier.csv</w:t>
            </w:r>
          </w:p>
        </w:tc>
        <w:tc>
          <w:tcPr>
            <w:tcW w:type="dxa" w:w="3213"/>
            <w:vAlign w:val="center"/>
          </w:tcPr>
          <w:p>
            <w:pPr>
              <w:keepNext/>
              <w:spacing w:before="79" w:after="79" w:line="276" w:lineRule="auto"/>
            </w:pPr>
            <w:r>
              <w:rPr>
                <w:rFonts w:ascii="Calibri" w:hAnsi="Calibri"/>
                <w:sz w:val="20"/>
              </w:rPr>
              <w:t>modules dynamiques</w:t>
            </w:r>
          </w:p>
        </w:tc>
        <w:tc>
          <w:tcPr>
            <w:tcW w:type="dxa" w:w="3213"/>
            <w:vAlign w:val="center"/>
          </w:tcPr>
          <w:p>
            <w:pPr>
              <w:keepNext/>
              <w:spacing w:before="79" w:after="79" w:line="276" w:lineRule="auto"/>
            </w:pPr>
            <w:r>
              <w:rPr>
                <w:rFonts w:ascii="Calibri" w:hAnsi="Calibri"/>
                <w:sz w:val="20"/>
              </w:rPr>
              <w:t>outils/construire_dynamique.py</w:t>
            </w:r>
          </w:p>
        </w:tc>
      </w:tr>
      <w:tr>
        <w:trPr>
          <w:cantSplit/>
        </w:trPr>
        <w:tc>
          <w:tcPr>
            <w:tcW w:type="dxa" w:w="3213"/>
            <w:vAlign w:val="center"/>
          </w:tcPr>
          <w:p>
            <w:pPr>
              <w:keepNext/>
              <w:spacing w:before="79" w:after="79" w:line="276" w:lineRule="auto"/>
            </w:pPr>
            <w:r>
              <w:rPr>
                <w:rFonts w:ascii="Calibri" w:hAnsi="Calibri"/>
                <w:sz w:val="20"/>
              </w:rPr>
              <w:t>constantes.csv</w:t>
            </w:r>
          </w:p>
        </w:tc>
        <w:tc>
          <w:tcPr>
            <w:tcW w:type="dxa" w:w="3213"/>
            <w:vAlign w:val="center"/>
          </w:tcPr>
          <w:p>
            <w:pPr>
              <w:keepNext/>
              <w:spacing w:before="79" w:after="79" w:line="276" w:lineRule="auto"/>
            </w:pPr>
            <w:r>
              <w:rPr>
                <w:rFonts w:ascii="Calibri" w:hAnsi="Calibri"/>
                <w:sz w:val="20"/>
              </w:rPr>
              <w:t>constantes des équations publiées (FAO-56, ISO 2533), raccourcis, contrôles, incertitude</w:t>
            </w:r>
          </w:p>
        </w:tc>
        <w:tc>
          <w:tcPr>
            <w:tcW w:type="dxa" w:w="3213"/>
            <w:vAlign w:val="center"/>
          </w:tcPr>
          <w:p>
            <w:pPr>
              <w:keepNext/>
              <w:spacing w:before="79" w:after="79" w:line="276" w:lineRule="auto"/>
            </w:pPr>
            <w:r>
              <w:rPr>
                <w:rFonts w:ascii="Calibri" w:hAnsi="Calibri"/>
                <w:sz w:val="20"/>
              </w:rPr>
              <w:t>outils/construire_constantes.py</w:t>
            </w:r>
          </w:p>
        </w:tc>
      </w:tr>
      <w:tr>
        <w:trPr>
          <w:cantSplit/>
        </w:trPr>
        <w:tc>
          <w:tcPr>
            <w:tcW w:type="dxa" w:w="3213"/>
            <w:vAlign w:val="center"/>
          </w:tcPr>
          <w:p>
            <w:pPr>
              <w:keepNext/>
              <w:spacing w:before="79" w:after="79" w:line="276" w:lineRule="auto"/>
            </w:pPr>
            <w:r>
              <w:rPr>
                <w:rFonts w:ascii="Calibri" w:hAnsi="Calibri"/>
                <w:sz w:val="20"/>
              </w:rPr>
              <w:t>contexte.csv</w:t>
            </w:r>
            <w:r>
              <w:rPr>
                <w:rFonts w:ascii="Calibri" w:hAnsi="Calibri"/>
                <w:sz w:val="20"/>
              </w:rPr>
              <w:t xml:space="preserve">, </w:t>
            </w:r>
            <w:r>
              <w:rPr>
                <w:rFonts w:ascii="Calibri" w:hAnsi="Calibri"/>
                <w:sz w:val="20"/>
              </w:rPr>
              <w:t>seuils.csv</w:t>
            </w:r>
            <w:r>
              <w:rPr>
                <w:rFonts w:ascii="Calibri" w:hAnsi="Calibri"/>
                <w:sz w:val="20"/>
              </w:rPr>
              <w:t xml:space="preserve">, </w:t>
            </w:r>
            <w:r>
              <w:rPr>
                <w:rFonts w:ascii="Calibri" w:hAnsi="Calibri"/>
                <w:sz w:val="20"/>
              </w:rPr>
              <w:t>connectivite.csv</w:t>
            </w:r>
            <w:r>
              <w:rPr>
                <w:rFonts w:ascii="Calibri" w:hAnsi="Calibri"/>
                <w:sz w:val="20"/>
              </w:rPr>
              <w:t xml:space="preserve">, </w:t>
            </w:r>
            <w:r>
              <w:rPr>
                <w:rFonts w:ascii="Calibri" w:hAnsi="Calibri"/>
                <w:sz w:val="20"/>
              </w:rPr>
              <w:t>nuisances.csv</w:t>
            </w:r>
            <w:r>
              <w:rPr>
                <w:rFonts w:ascii="Calibri" w:hAnsi="Calibri"/>
                <w:sz w:val="20"/>
              </w:rPr>
              <w:t xml:space="preserve">, </w:t>
            </w:r>
            <w:r>
              <w:rPr>
                <w:rFonts w:ascii="Calibri" w:hAnsi="Calibri"/>
                <w:sz w:val="20"/>
              </w:rPr>
              <w:t>eau.csv</w:t>
            </w:r>
            <w:r>
              <w:rPr>
                <w:rFonts w:ascii="Calibri" w:hAnsi="Calibri"/>
                <w:sz w:val="20"/>
              </w:rPr>
              <w:t xml:space="preserve">, </w:t>
            </w:r>
            <w:r>
              <w:rPr>
                <w:rFonts w:ascii="Calibri" w:hAnsi="Calibri"/>
                <w:sz w:val="20"/>
              </w:rPr>
              <w:t>materiaux.csv</w:t>
            </w:r>
            <w:r>
              <w:rPr>
                <w:rFonts w:ascii="Calibri" w:hAnsi="Calibri"/>
                <w:sz w:val="20"/>
              </w:rPr>
              <w:t xml:space="preserve">, </w:t>
            </w:r>
            <w:r>
              <w:rPr>
                <w:rFonts w:ascii="Calibri" w:hAnsi="Calibri"/>
                <w:sz w:val="20"/>
              </w:rPr>
              <w:t>etat_criteres.csv</w:t>
            </w:r>
          </w:p>
        </w:tc>
        <w:tc>
          <w:tcPr>
            <w:tcW w:type="dxa" w:w="3213"/>
            <w:vAlign w:val="center"/>
          </w:tcPr>
          <w:p>
            <w:pPr>
              <w:keepNext/>
              <w:spacing w:before="79" w:after="79" w:line="276" w:lineRule="auto"/>
            </w:pPr>
            <w:r>
              <w:rPr>
                <w:rFonts w:ascii="Calibri" w:hAnsi="Calibri"/>
                <w:sz w:val="20"/>
              </w:rPr>
              <w:t>contexte, seuils, connectivité, nuisances, eau, biodiversité grise, critères d'état</w:t>
            </w:r>
          </w:p>
        </w:tc>
        <w:tc>
          <w:tcPr>
            <w:tcW w:type="dxa" w:w="3213"/>
            <w:vAlign w:val="center"/>
          </w:tcPr>
          <w:p>
            <w:pPr>
              <w:keepNext/>
              <w:spacing w:before="79" w:after="79" w:line="276" w:lineRule="auto"/>
            </w:pPr>
            <w:r>
              <w:rPr>
                <w:rFonts w:ascii="Calibri" w:hAnsi="Calibri"/>
                <w:sz w:val="20"/>
              </w:rPr>
              <w:t>à la main</w:t>
            </w:r>
          </w:p>
        </w:tc>
      </w:tr>
      <w:tr>
        <w:trPr>
          <w:cantSplit/>
        </w:trPr>
        <w:tc>
          <w:tcPr>
            <w:tcW w:type="dxa" w:w="3213"/>
            <w:vAlign w:val="center"/>
          </w:tcPr>
          <w:p>
            <w:pPr>
              <w:spacing w:before="79" w:after="79" w:line="276" w:lineRule="auto"/>
            </w:pPr>
            <w:r>
              <w:rPr>
                <w:rFonts w:ascii="Calibri" w:hAnsi="Calibri"/>
                <w:sz w:val="20"/>
              </w:rPr>
              <w:t>conventions.csv</w:t>
            </w:r>
          </w:p>
        </w:tc>
        <w:tc>
          <w:tcPr>
            <w:tcW w:type="dxa" w:w="3213"/>
            <w:vAlign w:val="center"/>
          </w:tcPr>
          <w:p>
            <w:pPr>
              <w:spacing w:before="79" w:after="79" w:line="276" w:lineRule="auto"/>
            </w:pPr>
            <w:r>
              <w:rPr>
                <w:rFonts w:ascii="Calibri" w:hAnsi="Calibri"/>
                <w:sz w:val="20"/>
              </w:rPr>
              <w:t>liste des conventions et de leur statut</w:t>
            </w:r>
          </w:p>
        </w:tc>
        <w:tc>
          <w:tcPr>
            <w:tcW w:type="dxa" w:w="3213"/>
            <w:vAlign w:val="center"/>
          </w:tcPr>
          <w:p>
            <w:pPr>
              <w:spacing w:before="79" w:after="79" w:line="276" w:lineRule="auto"/>
            </w:pPr>
            <w:r>
              <w:rPr>
                <w:rFonts w:ascii="Calibri" w:hAnsi="Calibri"/>
                <w:sz w:val="20"/>
              </w:rPr>
              <w:t xml:space="preserve">à la main, avec </w:t>
            </w:r>
            <w:r>
              <w:rPr>
                <w:rFonts w:ascii="Calibri" w:hAnsi="Calibri"/>
                <w:sz w:val="20"/>
              </w:rPr>
              <w:t>methode/conventions.md</w:t>
            </w:r>
          </w:p>
        </w:tc>
      </w:tr>
    </w:tbl>
    <w:p>
      <w:pPr>
        <w:pStyle w:val="Heading1"/>
        <w:keepNext/>
        <w:spacing w:before="397" w:after="170"/>
      </w:pPr>
      <w:r>
        <w:rPr>
          <w:rFonts w:ascii="Poppins" w:hAnsi="Poppins" w:cs="Poppins" w:eastAsia="Poppins"/>
          <w:color w:val="1A4F9C"/>
        </w:rPr>
        <w:t>Proposer une valeur : la marche à suivre</w:t>
      </w:r>
    </w:p>
    <w:p>
      <w:pPr>
        <w:spacing w:before="57" w:after="227" w:line="288" w:lineRule="auto"/>
      </w:pPr>
      <w:r>
        <w:rPr>
          <w:rFonts w:ascii="Calibri" w:hAnsi="Calibri"/>
          <w:sz w:val="20"/>
        </w:rPr>
        <w:t xml:space="preserve">1. Trouver la ligne. La partie 2 de l'édition complète (données conventionnelles) liste chaque valeur avec sa table, sa clé et son paramètre ; </w:t>
      </w:r>
      <w:r>
        <w:rPr>
          <w:rFonts w:ascii="Calibri" w:hAnsi="Calibri"/>
          <w:sz w:val="20"/>
        </w:rPr>
        <w:t>grep</w:t>
      </w:r>
      <w:r>
        <w:rPr>
          <w:rFonts w:ascii="Calibri" w:hAnsi="Calibri"/>
          <w:sz w:val="20"/>
        </w:rPr>
        <w:t xml:space="preserve"> dans </w:t>
      </w:r>
      <w:r>
        <w:rPr>
          <w:rFonts w:ascii="Calibri" w:hAnsi="Calibri"/>
          <w:sz w:val="20"/>
        </w:rPr>
        <w:t>donnees/</w:t>
      </w:r>
      <w:r>
        <w:rPr>
          <w:rFonts w:ascii="Calibri" w:hAnsi="Calibri"/>
          <w:sz w:val="20"/>
        </w:rPr>
        <w:t xml:space="preserve"> fait le reste.</w:t>
      </w:r>
    </w:p>
    <w:p>
      <w:pPr>
        <w:spacing w:before="57" w:after="227" w:line="288" w:lineRule="auto"/>
      </w:pPr>
      <w:r>
        <w:rPr>
          <w:rFonts w:ascii="Calibri" w:hAnsi="Calibri"/>
          <w:sz w:val="20"/>
        </w:rPr>
        <w:t>2. Réunir la source : référence complète, emplacement précis de la valeur, adresse, licence. Pour une transposition, écrire la conversion. Pour les bornes, prendre l'intervalle publié ; à défaut, l'étendue des valeurs de la source ; à défaut, des bornes égales à la valeur et une justification qui le dit.</w:t>
      </w:r>
    </w:p>
    <w:p>
      <w:pPr>
        <w:spacing w:before="57" w:after="227" w:line="288" w:lineRule="auto"/>
      </w:pPr>
      <w:r>
        <w:rPr>
          <w:rFonts w:ascii="Calibri" w:hAnsi="Calibri"/>
          <w:sz w:val="20"/>
        </w:rPr>
        <w:t>3. Modifier la ligne, ou le script de construction et le relancer. Ne changer qu'une chose à la fois.</w:t>
      </w:r>
    </w:p>
    <w:p>
      <w:pPr>
        <w:keepNext/>
        <w:spacing w:before="57" w:after="227" w:line="288" w:lineRule="auto"/>
      </w:pPr>
      <w:r>
        <w:rPr>
          <w:rFonts w:ascii="Calibri" w:hAnsi="Calibri"/>
          <w:sz w:val="20"/>
        </w:rPr>
        <w:t>4. Contrôler les tables :</w:t>
      </w:r>
    </w:p>
    <w:p>
      <w:pPr>
        <w:spacing w:before="57" w:after="227" w:line="288" w:lineRule="auto"/>
      </w:pPr>
      <w:r>
        <w:rPr>
          <w:rFonts w:ascii="Calibri" w:hAnsi="Calibri"/>
          <w:sz w:val="20"/>
        </w:rPr>
        <w:t>python outils/controle_donnees.py</w:t>
      </w:r>
    </w:p>
    <w:p>
      <w:pPr>
        <w:spacing w:before="57" w:after="227" w:line="288" w:lineRule="auto"/>
      </w:pPr>
      <w:r>
        <w:rPr>
          <w:rFonts w:ascii="Calibri" w:hAnsi="Calibri"/>
          <w:sz w:val="20"/>
        </w:rPr>
        <w:t>python -m opennat controle</w:t>
      </w:r>
    </w:p>
    <w:p>
      <w:pPr>
        <w:spacing w:before="57" w:after="227" w:line="288" w:lineRule="auto"/>
      </w:pPr>
      <w:r>
        <w:rPr>
          <w:rFonts w:ascii="Calibri" w:hAnsi="Calibri"/>
          <w:sz w:val="20"/>
        </w:rPr>
        <w:t>Le premier vérifie les treize colonnes, la source, le type, le numéro de convention et les bornes, et réécrit le rapport de couverture (</w:t>
      </w:r>
      <w:r>
        <w:rPr>
          <w:rFonts w:ascii="Calibri" w:hAnsi="Calibri"/>
          <w:sz w:val="20"/>
        </w:rPr>
        <w:t>donnees/rapport_couverture.md</w:t>
      </w:r>
      <w:r>
        <w:rPr>
          <w:rFonts w:ascii="Calibri" w:hAnsi="Calibri"/>
          <w:sz w:val="20"/>
        </w:rPr>
        <w:t>) ; le second recharge les tables et vérifie la cohérence des unités dans les équations.</w:t>
      </w:r>
    </w:p>
    <w:p>
      <w:pPr>
        <w:keepNext/>
        <w:spacing w:before="57" w:after="227" w:line="288" w:lineRule="auto"/>
      </w:pPr>
      <w:r>
        <w:rPr>
          <w:rFonts w:ascii="Calibri" w:hAnsi="Calibri"/>
          <w:sz w:val="20"/>
        </w:rPr>
        <w:t>5. Mesurer l'effet. Le carnet de référence lit les mêmes tables que le moteur, par un code indépendant :</w:t>
      </w:r>
    </w:p>
    <w:p>
      <w:pPr>
        <w:spacing w:before="57" w:after="227" w:line="288" w:lineRule="auto"/>
      </w:pPr>
      <w:r>
        <w:rPr>
          <w:rFonts w:ascii="Calibri" w:hAnsi="Calibri"/>
          <w:sz w:val="20"/>
        </w:rPr>
        <w:t>python banc/convertir_cas.py</w:t>
      </w:r>
    </w:p>
    <w:p>
      <w:pPr>
        <w:spacing w:before="57" w:after="227" w:line="288" w:lineRule="auto"/>
      </w:pPr>
      <w:r>
        <w:rPr>
          <w:rFonts w:ascii="Calibri" w:hAnsi="Calibri"/>
          <w:sz w:val="20"/>
        </w:rPr>
        <w:t>python -m banc.comparer</w:t>
      </w:r>
    </w:p>
    <w:p>
      <w:pPr>
        <w:spacing w:before="57" w:after="227" w:line="288" w:lineRule="auto"/>
      </w:pPr>
      <w:r>
        <w:rPr>
          <w:rFonts w:ascii="Calibri" w:hAnsi="Calibri"/>
          <w:sz w:val="20"/>
        </w:rPr>
        <w:t>python -m banc.regression</w:t>
      </w:r>
    </w:p>
    <w:p>
      <w:pPr>
        <w:spacing w:before="57" w:after="227" w:line="288" w:lineRule="auto"/>
      </w:pPr>
      <w:r>
        <w:rPr>
          <w:rFonts w:ascii="Calibri" w:hAnsi="Calibri"/>
          <w:sz w:val="20"/>
        </w:rPr>
        <w:t>La première commande recalcule les résultats attendus des 73 cas avec le carnet ; la deuxième vérifie que le moteur les retrouve toujours à 0,1 % ; la troisième liste chaque grandeur qui a bougé par rapport à l'instantané de non-régression, et signale le changement d'empreinte des tables.</w:t>
      </w:r>
    </w:p>
    <w:p>
      <w:pPr>
        <w:spacing w:before="57" w:after="227" w:line="288" w:lineRule="auto"/>
      </w:pPr>
      <w:r>
        <w:rPr>
          <w:rFonts w:ascii="Calibri" w:hAnsi="Calibri"/>
          <w:sz w:val="20"/>
        </w:rPr>
        <w:t xml:space="preserve">6. Inscrire la version. Ajouter au </w:t>
      </w:r>
      <w:r>
        <w:rPr>
          <w:rFonts w:ascii="Calibri" w:hAnsi="Calibri"/>
          <w:sz w:val="20"/>
        </w:rPr>
        <w:t>JOURNAL_DES_VERSIONS.md</w:t>
      </w:r>
      <w:r>
        <w:rPr>
          <w:rFonts w:ascii="Calibri" w:hAnsi="Calibri"/>
          <w:sz w:val="20"/>
        </w:rPr>
        <w:t xml:space="preserve"> une version des données avec la date, l'empreinte affichée par </w:t>
      </w:r>
      <w:r>
        <w:rPr>
          <w:rFonts w:ascii="Calibri" w:hAnsi="Calibri"/>
          <w:sz w:val="20"/>
        </w:rPr>
        <w:t>python -m opennat controle</w:t>
      </w:r>
      <w:r>
        <w:rPr>
          <w:rFonts w:ascii="Calibri" w:hAnsi="Calibri"/>
          <w:sz w:val="20"/>
        </w:rPr>
        <w:t>, chaque ligne modifiée (avant, après, source) et l'effet sur les huit cas tests. Puis régénérer l'instantané (</w:t>
      </w:r>
      <w:r>
        <w:rPr>
          <w:rFonts w:ascii="Calibri" w:hAnsi="Calibri"/>
          <w:sz w:val="20"/>
        </w:rPr>
        <w:t>python -m banc.regression --ecrire</w:t>
      </w:r>
      <w:r>
        <w:rPr>
          <w:rFonts w:ascii="Calibri" w:hAnsi="Calibri"/>
          <w:sz w:val="20"/>
        </w:rPr>
        <w:t xml:space="preserve">) et lancer </w:t>
      </w:r>
      <w:r>
        <w:rPr>
          <w:rFonts w:ascii="Calibri" w:hAnsi="Calibri"/>
          <w:sz w:val="20"/>
        </w:rPr>
        <w:t>python -m pytest</w:t>
      </w:r>
      <w:r>
        <w:rPr>
          <w:rFonts w:ascii="Calibri" w:hAnsi="Calibri"/>
          <w:sz w:val="20"/>
        </w:rPr>
        <w:t>.</w:t>
      </w:r>
    </w:p>
    <w:p>
      <w:pPr>
        <w:spacing w:before="57" w:after="227" w:line="288" w:lineRule="auto"/>
      </w:pPr>
      <w:r>
        <w:rPr>
          <w:rFonts w:ascii="Calibri" w:hAnsi="Calibri"/>
          <w:sz w:val="20"/>
        </w:rPr>
        <w:t xml:space="preserve">7. Soumettre la modification en un seul commit, message en français au format des commits conventionnels, par exemple </w:t>
      </w:r>
      <w:r>
        <w:rPr>
          <w:rFonts w:ascii="Calibri" w:hAnsi="Calibri"/>
          <w:sz w:val="20"/>
        </w:rPr>
        <w:t>fix(donnees): production biologique des forêts tempérées d'après &lt;source&gt;</w:t>
      </w:r>
      <w:r>
        <w:rPr>
          <w:rFonts w:ascii="Calibri" w:hAnsi="Calibri"/>
          <w:sz w:val="20"/>
        </w:rPr>
        <w:t>, avec le journal, l'instantané et le rapport de couverture.</w:t>
      </w:r>
    </w:p>
    <w:p>
      <w:pPr>
        <w:spacing w:before="57" w:after="227" w:line="288" w:lineRule="auto"/>
      </w:pPr>
      <w:r>
        <w:rPr>
          <w:rFonts w:ascii="Calibri" w:hAnsi="Calibri"/>
          <w:sz w:val="20"/>
        </w:rPr>
        <w:t>La décision d'intégrer une valeur appartient à l'éditeur de la méthode, NORMATYS. Une valeur primaire qui remplace une convention ou une transposition est le cas le plus simple. Une nouvelle convention, ou un changement de seuil, passe devant le Biodiversity Standard Council.</w:t>
      </w:r>
    </w:p>
    <w:p>
      <w:pPr>
        <w:pStyle w:val="Heading1"/>
        <w:keepNext/>
        <w:spacing w:before="397" w:after="170"/>
      </w:pPr>
      <w:r>
        <w:rPr>
          <w:rFonts w:ascii="Poppins" w:hAnsi="Poppins" w:cs="Poppins" w:eastAsia="Poppins"/>
          <w:color w:val="1A4F9C"/>
        </w:rPr>
        <w:t>Modèle de proposition</w:t>
      </w:r>
    </w:p>
    <w:p>
      <w:pPr>
        <w:keepNext/>
        <w:spacing w:before="57" w:after="227" w:line="288" w:lineRule="auto"/>
      </w:pPr>
      <w:r>
        <w:rPr>
          <w:rFonts w:ascii="Calibri" w:hAnsi="Calibri"/>
          <w:sz w:val="20"/>
        </w:rPr>
        <w:t>Une proposition, qu'elle arrive par un commit ou par écrit, tient en un tableau :</w:t>
      </w:r>
    </w:p>
    <w:tbl>
      <w:tblPr>
        <w:tblStyle w:val="TableGrid"/>
        <w:tblW w:type="auto" w:w="0"/>
        <w:jc w:val="center"/>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Layout w:type="fixed"/>
      </w:tblPr>
      <w:tblGrid>
        <w:gridCol w:w="3433"/>
        <w:gridCol w:w="6204"/>
      </w:tblGrid>
      <w:tr>
        <w:trPr>
          <w:tblHeader/>
          <w:cantSplit/>
        </w:trPr>
        <w:tc>
          <w:tcPr>
            <w:tcW w:type="dxa" w:w="3433"/>
            <w:vAlign w:val="center"/>
            <w:shd w:val="clear" w:color="auto" w:fill="202335"/>
          </w:tcPr>
          <w:p>
            <w:pPr>
              <w:keepNext/>
              <w:spacing w:before="79" w:after="79" w:line="276" w:lineRule="auto"/>
            </w:pPr>
            <w:r>
              <w:rPr>
                <w:rFonts w:ascii="Calibri" w:hAnsi="Calibri"/>
                <w:b/>
                <w:color w:val="FFFFFF"/>
                <w:sz w:val="20"/>
              </w:rPr>
              <w:t>Rubrique</w:t>
            </w:r>
          </w:p>
        </w:tc>
        <w:tc>
          <w:tcPr>
            <w:tcW w:type="dxa" w:w="6205"/>
            <w:vAlign w:val="center"/>
            <w:shd w:val="clear" w:color="auto" w:fill="202335"/>
          </w:tcPr>
          <w:p>
            <w:pPr>
              <w:keepNext/>
              <w:spacing w:before="79" w:after="79" w:line="276" w:lineRule="auto"/>
            </w:pPr>
            <w:r>
              <w:rPr>
                <w:rFonts w:ascii="Calibri" w:hAnsi="Calibri"/>
                <w:b/>
                <w:color w:val="FFFFFF"/>
                <w:sz w:val="20"/>
              </w:rPr>
              <w:t>À remplir</w:t>
            </w:r>
          </w:p>
        </w:tc>
      </w:tr>
      <w:tr>
        <w:trPr>
          <w:cantSplit/>
        </w:trPr>
        <w:tc>
          <w:tcPr>
            <w:tcW w:type="dxa" w:w="3433"/>
            <w:vAlign w:val="center"/>
          </w:tcPr>
          <w:p>
            <w:pPr>
              <w:keepNext/>
              <w:spacing w:before="79" w:after="79" w:line="276" w:lineRule="auto"/>
            </w:pPr>
            <w:r>
              <w:rPr>
                <w:rFonts w:ascii="Calibri" w:hAnsi="Calibri"/>
                <w:sz w:val="20"/>
              </w:rPr>
              <w:t>Ligne visée</w:t>
            </w:r>
          </w:p>
        </w:tc>
        <w:tc>
          <w:tcPr>
            <w:tcW w:type="dxa" w:w="6205"/>
            <w:vAlign w:val="center"/>
          </w:tcPr>
          <w:p>
            <w:pPr>
              <w:keepNext/>
              <w:spacing w:before="79" w:after="79" w:line="276" w:lineRule="auto"/>
            </w:pPr>
            <w:r>
              <w:rPr>
                <w:rFonts w:ascii="Calibri" w:hAnsi="Calibri"/>
                <w:sz w:val="20"/>
              </w:rPr>
              <w:t>table, clé, paramètre</w:t>
            </w:r>
          </w:p>
        </w:tc>
      </w:tr>
      <w:tr>
        <w:trPr>
          <w:cantSplit/>
        </w:trPr>
        <w:tc>
          <w:tcPr>
            <w:tcW w:type="dxa" w:w="3433"/>
            <w:vAlign w:val="center"/>
          </w:tcPr>
          <w:p>
            <w:pPr>
              <w:keepNext/>
              <w:spacing w:before="79" w:after="79" w:line="276" w:lineRule="auto"/>
            </w:pPr>
            <w:r>
              <w:rPr>
                <w:rFonts w:ascii="Calibri" w:hAnsi="Calibri"/>
                <w:sz w:val="20"/>
              </w:rPr>
              <w:t>Valeur actuelle</w:t>
            </w:r>
          </w:p>
        </w:tc>
        <w:tc>
          <w:tcPr>
            <w:tcW w:type="dxa" w:w="6205"/>
            <w:vAlign w:val="center"/>
          </w:tcPr>
          <w:p>
            <w:pPr>
              <w:keepNext/>
              <w:spacing w:before="79" w:after="79" w:line="276" w:lineRule="auto"/>
            </w:pPr>
            <w:r>
              <w:rPr>
                <w:rFonts w:ascii="Calibri" w:hAnsi="Calibri"/>
                <w:sz w:val="20"/>
              </w:rPr>
              <w:t>valeur, bornes, type, convention</w:t>
            </w:r>
          </w:p>
        </w:tc>
      </w:tr>
      <w:tr>
        <w:trPr>
          <w:cantSplit/>
        </w:trPr>
        <w:tc>
          <w:tcPr>
            <w:tcW w:type="dxa" w:w="3433"/>
            <w:vAlign w:val="center"/>
          </w:tcPr>
          <w:p>
            <w:pPr>
              <w:keepNext/>
              <w:spacing w:before="79" w:after="79" w:line="276" w:lineRule="auto"/>
            </w:pPr>
            <w:r>
              <w:rPr>
                <w:rFonts w:ascii="Calibri" w:hAnsi="Calibri"/>
                <w:sz w:val="20"/>
              </w:rPr>
              <w:t>Valeur proposée</w:t>
            </w:r>
          </w:p>
        </w:tc>
        <w:tc>
          <w:tcPr>
            <w:tcW w:type="dxa" w:w="6205"/>
            <w:vAlign w:val="center"/>
          </w:tcPr>
          <w:p>
            <w:pPr>
              <w:keepNext/>
              <w:spacing w:before="79" w:after="79" w:line="276" w:lineRule="auto"/>
            </w:pPr>
            <w:r>
              <w:rPr>
                <w:rFonts w:ascii="Calibri" w:hAnsi="Calibri"/>
                <w:sz w:val="20"/>
              </w:rPr>
              <w:t>valeur, bornes, unité</w:t>
            </w:r>
          </w:p>
        </w:tc>
      </w:tr>
      <w:tr>
        <w:trPr>
          <w:cantSplit/>
        </w:trPr>
        <w:tc>
          <w:tcPr>
            <w:tcW w:type="dxa" w:w="3433"/>
            <w:vAlign w:val="center"/>
          </w:tcPr>
          <w:p>
            <w:pPr>
              <w:keepNext/>
              <w:spacing w:before="79" w:after="79" w:line="276" w:lineRule="auto"/>
            </w:pPr>
            <w:r>
              <w:rPr>
                <w:rFonts w:ascii="Calibri" w:hAnsi="Calibri"/>
                <w:sz w:val="20"/>
              </w:rPr>
              <w:t>Source</w:t>
            </w:r>
          </w:p>
        </w:tc>
        <w:tc>
          <w:tcPr>
            <w:tcW w:type="dxa" w:w="6205"/>
            <w:vAlign w:val="center"/>
          </w:tcPr>
          <w:p>
            <w:pPr>
              <w:keepNext/>
              <w:spacing w:before="79" w:after="79" w:line="276" w:lineRule="auto"/>
            </w:pPr>
            <w:r>
              <w:rPr>
                <w:rFonts w:ascii="Calibri" w:hAnsi="Calibri"/>
                <w:sz w:val="20"/>
              </w:rPr>
              <w:t>auteurs, année, titre, page ou tableau, adresse</w:t>
            </w:r>
          </w:p>
        </w:tc>
      </w:tr>
      <w:tr>
        <w:trPr>
          <w:cantSplit/>
        </w:trPr>
        <w:tc>
          <w:tcPr>
            <w:tcW w:type="dxa" w:w="3433"/>
            <w:vAlign w:val="center"/>
          </w:tcPr>
          <w:p>
            <w:pPr>
              <w:keepNext/>
              <w:spacing w:before="79" w:after="79" w:line="276" w:lineRule="auto"/>
            </w:pPr>
            <w:r>
              <w:rPr>
                <w:rFonts w:ascii="Calibri" w:hAnsi="Calibri"/>
                <w:sz w:val="20"/>
              </w:rPr>
              <w:t>Licence</w:t>
            </w:r>
          </w:p>
        </w:tc>
        <w:tc>
          <w:tcPr>
            <w:tcW w:type="dxa" w:w="6205"/>
            <w:vAlign w:val="center"/>
          </w:tcPr>
          <w:p>
            <w:pPr>
              <w:keepNext/>
              <w:spacing w:before="79" w:after="79" w:line="276" w:lineRule="auto"/>
            </w:pPr>
            <w:r>
              <w:rPr>
                <w:rFonts w:ascii="Calibri" w:hAnsi="Calibri"/>
                <w:sz w:val="20"/>
              </w:rPr>
              <w:t>licence lue, ou motif de reprise</w:t>
            </w:r>
          </w:p>
        </w:tc>
      </w:tr>
      <w:tr>
        <w:trPr>
          <w:cantSplit/>
        </w:trPr>
        <w:tc>
          <w:tcPr>
            <w:tcW w:type="dxa" w:w="3433"/>
            <w:vAlign w:val="center"/>
          </w:tcPr>
          <w:p>
            <w:pPr>
              <w:keepNext/>
              <w:spacing w:before="79" w:after="79" w:line="276" w:lineRule="auto"/>
            </w:pPr>
            <w:r>
              <w:rPr>
                <w:rFonts w:ascii="Calibri" w:hAnsi="Calibri"/>
                <w:sz w:val="20"/>
              </w:rPr>
              <w:t>Type</w:t>
            </w:r>
          </w:p>
        </w:tc>
        <w:tc>
          <w:tcPr>
            <w:tcW w:type="dxa" w:w="6205"/>
            <w:vAlign w:val="center"/>
          </w:tcPr>
          <w:p>
            <w:pPr>
              <w:keepNext/>
              <w:spacing w:before="79" w:after="79" w:line="276" w:lineRule="auto"/>
            </w:pPr>
            <w:r>
              <w:rPr>
                <w:rFonts w:ascii="Calibri" w:hAnsi="Calibri"/>
                <w:sz w:val="20"/>
              </w:rPr>
              <w:t>primaire, secondaire, transposition (avec la conversion) ou convention (avec le motif)</w:t>
            </w:r>
          </w:p>
        </w:tc>
      </w:tr>
      <w:tr>
        <w:trPr>
          <w:cantSplit/>
        </w:trPr>
        <w:tc>
          <w:tcPr>
            <w:tcW w:type="dxa" w:w="3433"/>
            <w:vAlign w:val="center"/>
          </w:tcPr>
          <w:p>
            <w:pPr>
              <w:keepNext/>
              <w:spacing w:before="79" w:after="79" w:line="276" w:lineRule="auto"/>
            </w:pPr>
            <w:r>
              <w:rPr>
                <w:rFonts w:ascii="Calibri" w:hAnsi="Calibri"/>
                <w:sz w:val="20"/>
              </w:rPr>
              <w:t>Effet mesuré</w:t>
            </w:r>
          </w:p>
        </w:tc>
        <w:tc>
          <w:tcPr>
            <w:tcW w:type="dxa" w:w="6205"/>
            <w:vAlign w:val="center"/>
          </w:tcPr>
          <w:p>
            <w:pPr>
              <w:keepNext/>
              <w:spacing w:before="79" w:after="79" w:line="276" w:lineRule="auto"/>
            </w:pPr>
            <w:r>
              <w:rPr>
                <w:rFonts w:ascii="Calibri" w:hAnsi="Calibri"/>
                <w:sz w:val="20"/>
              </w:rPr>
              <w:t>grandeurs des huit cas tests avant et après (</w:t>
            </w:r>
            <w:r>
              <w:rPr>
                <w:rFonts w:ascii="Calibri" w:hAnsi="Calibri"/>
                <w:sz w:val="20"/>
              </w:rPr>
              <w:t>python -m banc.regression</w:t>
            </w:r>
            <w:r>
              <w:rPr>
                <w:rFonts w:ascii="Calibri" w:hAnsi="Calibri"/>
                <w:sz w:val="20"/>
              </w:rPr>
              <w:t>)</w:t>
            </w:r>
          </w:p>
        </w:tc>
      </w:tr>
      <w:tr>
        <w:trPr>
          <w:cantSplit/>
        </w:trPr>
        <w:tc>
          <w:tcPr>
            <w:tcW w:type="dxa" w:w="3433"/>
            <w:vAlign w:val="center"/>
          </w:tcPr>
          <w:p>
            <w:pPr>
              <w:spacing w:before="79" w:after="79" w:line="276" w:lineRule="auto"/>
            </w:pPr>
            <w:r>
              <w:rPr>
                <w:rFonts w:ascii="Calibri" w:hAnsi="Calibri"/>
                <w:sz w:val="20"/>
              </w:rPr>
              <w:t>Proposé par</w:t>
            </w:r>
          </w:p>
        </w:tc>
        <w:tc>
          <w:tcPr>
            <w:tcW w:type="dxa" w:w="6205"/>
            <w:vAlign w:val="center"/>
          </w:tcPr>
          <w:p>
            <w:pPr>
              <w:spacing w:before="79" w:after="79" w:line="276" w:lineRule="auto"/>
            </w:pPr>
            <w:r>
              <w:rPr>
                <w:rFonts w:ascii="Calibri" w:hAnsi="Calibri"/>
                <w:sz w:val="20"/>
              </w:rPr>
              <w:t>nom, organisme, date</w:t>
            </w:r>
          </w:p>
        </w:tc>
      </w:tr>
    </w:tbl>
    <w:p>
      <w:pPr>
        <w:pStyle w:val="Heading1"/>
        <w:keepNext/>
        <w:spacing w:before="397" w:after="170"/>
      </w:pPr>
      <w:r>
        <w:rPr>
          <w:rFonts w:ascii="Poppins" w:hAnsi="Poppins" w:cs="Poppins" w:eastAsia="Poppins"/>
          <w:color w:val="1A4F9C"/>
        </w:rPr>
        <w:t>Ajouter un type d'habitat</w:t>
      </w:r>
    </w:p>
    <w:p>
      <w:pPr>
        <w:spacing w:before="57" w:after="227" w:line="288" w:lineRule="auto"/>
      </w:pPr>
      <w:r>
        <w:rPr>
          <w:rFonts w:ascii="Calibri" w:hAnsi="Calibri"/>
          <w:sz w:val="20"/>
        </w:rPr>
        <w:t xml:space="preserve">Un type nouveau demande une ligne dans </w:t>
      </w:r>
      <w:r>
        <w:rPr>
          <w:rFonts w:ascii="Calibri" w:hAnsi="Calibri"/>
          <w:sz w:val="20"/>
        </w:rPr>
        <w:t>nomenclature_habitats.csv</w:t>
      </w:r>
      <w:r>
        <w:rPr>
          <w:rFonts w:ascii="Calibri" w:hAnsi="Calibri"/>
          <w:sz w:val="20"/>
        </w:rPr>
        <w:t xml:space="preserve"> (code, libellé, correspondances EUNIS, BKompV et métrique anglaise, justification), la reconstruction de </w:t>
      </w:r>
      <w:r>
        <w:rPr>
          <w:rFonts w:ascii="Calibri" w:hAnsi="Calibri"/>
          <w:sz w:val="20"/>
        </w:rPr>
        <w:t>habitats.csv</w:t>
      </w:r>
      <w:r>
        <w:rPr>
          <w:rFonts w:ascii="Calibri" w:hAnsi="Calibri"/>
          <w:sz w:val="20"/>
        </w:rPr>
        <w:t>, la grille d'état (</w:t>
      </w:r>
      <w:r>
        <w:rPr>
          <w:rFonts w:ascii="Calibri" w:hAnsi="Calibri"/>
          <w:sz w:val="20"/>
        </w:rPr>
        <w:t>outils/construire_grilles.py</w:t>
      </w:r>
      <w:r>
        <w:rPr>
          <w:rFonts w:ascii="Calibri" w:hAnsi="Calibri"/>
          <w:sz w:val="20"/>
        </w:rPr>
        <w:t>), puis le contrôle et le banc comme ci-dessus. La partie 4 de l'édition (fiches habitats) se régénère d'elle-même.</w:t>
      </w:r>
    </w:p>
    <w:p>
      <w:pPr>
        <w:pStyle w:val="Heading1"/>
        <w:keepNext/>
        <w:spacing w:before="397" w:after="170"/>
      </w:pPr>
      <w:r>
        <w:rPr>
          <w:rFonts w:ascii="Poppins" w:hAnsi="Poppins" w:cs="Poppins" w:eastAsia="Poppins"/>
          <w:color w:val="1A4F9C"/>
        </w:rPr>
        <w:t>Ajouter un cas au banc</w:t>
      </w:r>
    </w:p>
    <w:p>
      <w:pPr>
        <w:spacing w:before="57" w:after="227" w:line="288" w:lineRule="auto"/>
      </w:pPr>
      <w:r>
        <w:rPr>
          <w:rFonts w:ascii="Calibri" w:hAnsi="Calibri"/>
          <w:sz w:val="20"/>
        </w:rPr>
        <w:t xml:space="preserve">Un cas se décrit dans </w:t>
      </w:r>
      <w:r>
        <w:rPr>
          <w:rFonts w:ascii="Calibri" w:hAnsi="Calibri"/>
          <w:sz w:val="20"/>
        </w:rPr>
        <w:t>outils/edition/cas_validation.py</w:t>
      </w:r>
      <w:r>
        <w:rPr>
          <w:rFonts w:ascii="Calibri" w:hAnsi="Calibri"/>
          <w:sz w:val="20"/>
        </w:rPr>
        <w:t xml:space="preserve">, </w:t>
      </w:r>
      <w:r>
        <w:rPr>
          <w:rFonts w:ascii="Calibri" w:hAnsi="Calibri"/>
          <w:sz w:val="20"/>
        </w:rPr>
        <w:t>cas_complementaires.py</w:t>
      </w:r>
      <w:r>
        <w:rPr>
          <w:rFonts w:ascii="Calibri" w:hAnsi="Calibri"/>
          <w:sz w:val="20"/>
        </w:rPr>
        <w:t xml:space="preserve"> ou </w:t>
      </w:r>
      <w:r>
        <w:rPr>
          <w:rFonts w:ascii="Calibri" w:hAnsi="Calibri"/>
          <w:sz w:val="20"/>
        </w:rPr>
        <w:t>cas_dynamiques.py</w:t>
      </w:r>
      <w:r>
        <w:rPr>
          <w:rFonts w:ascii="Calibri" w:hAnsi="Calibri"/>
          <w:sz w:val="20"/>
        </w:rPr>
        <w:t xml:space="preserve">. </w:t>
      </w:r>
      <w:r>
        <w:rPr>
          <w:rFonts w:ascii="Calibri" w:hAnsi="Calibri"/>
          <w:sz w:val="20"/>
        </w:rPr>
        <w:t>python banc/convertir_cas.py</w:t>
      </w:r>
      <w:r>
        <w:rPr>
          <w:rFonts w:ascii="Calibri" w:hAnsi="Calibri"/>
          <w:sz w:val="20"/>
        </w:rPr>
        <w:t xml:space="preserve"> l'écrit en fichier projet dans </w:t>
      </w:r>
      <w:r>
        <w:rPr>
          <w:rFonts w:ascii="Calibri" w:hAnsi="Calibri"/>
          <w:sz w:val="20"/>
        </w:rPr>
        <w:t>banc/cas/</w:t>
      </w:r>
      <w:r>
        <w:rPr>
          <w:rFonts w:ascii="Calibri" w:hAnsi="Calibri"/>
          <w:sz w:val="20"/>
        </w:rPr>
        <w:t xml:space="preserve"> et calcule ses résultats attendus par le carnet ; il entre ensuite dans le banc et dans l'instantané de non-régression (</w:t>
      </w:r>
      <w:r>
        <w:rPr>
          <w:rFonts w:ascii="Calibri" w:hAnsi="Calibri"/>
          <w:sz w:val="20"/>
        </w:rPr>
        <w:t>python -m banc.regression --ecrire</w:t>
      </w:r>
      <w:r>
        <w:rPr>
          <w:rFonts w:ascii="Calibri" w:hAnsi="Calibri"/>
          <w:sz w:val="20"/>
        </w:rPr>
        <w:t xml:space="preserve">). Un cas qui illustre une propriété (« ajouter de la pleine terre ne dégrade pas Cnat ») a plutôt sa place dans </w:t>
      </w:r>
      <w:r>
        <w:rPr>
          <w:rFonts w:ascii="Calibri" w:hAnsi="Calibri"/>
          <w:sz w:val="20"/>
        </w:rPr>
        <w:t>tests/test_proprietes.py</w:t>
      </w:r>
      <w:r>
        <w:rPr>
          <w:rFonts w:ascii="Calibri" w:hAnsi="Calibri"/>
          <w:sz w:val="20"/>
        </w:rPr>
        <w:t>.</w:t>
      </w:r>
    </w:p>
    <w:p>
      <w:pPr>
        <w:pStyle w:val="Heading1"/>
        <w:keepNext/>
        <w:spacing w:before="397" w:after="170"/>
      </w:pPr>
      <w:r>
        <w:rPr>
          <w:rFonts w:ascii="Poppins" w:hAnsi="Poppins" w:cs="Poppins" w:eastAsia="Poppins"/>
          <w:color w:val="1A4F9C"/>
        </w:rPr>
        <w:t>Contribuer au code</w:t>
      </w:r>
    </w:p>
    <w:p>
      <w:pPr>
        <w:pStyle w:val="ListBullet"/>
        <w:keepNext/>
        <w:spacing w:before="45" w:after="79" w:line="288" w:lineRule="auto"/>
        <w:jc w:val="both"/>
      </w:pPr>
      <w:r>
        <w:rPr>
          <w:rFonts w:ascii="Calibri" w:hAnsi="Calibri"/>
          <w:sz w:val="20"/>
        </w:rPr>
        <w:t>Chaque fonction de calcul cite sa fiche (</w:t>
      </w:r>
      <w:r>
        <w:rPr>
          <w:rFonts w:ascii="Calibri" w:hAnsi="Calibri"/>
          <w:sz w:val="20"/>
        </w:rPr>
        <w:t>Fiche A33 [G2]</w:t>
      </w:r>
      <w:r>
        <w:rPr>
          <w:rFonts w:ascii="Calibri" w:hAnsi="Calibri"/>
          <w:sz w:val="20"/>
        </w:rPr>
        <w:t>) et chaque équation son numéro (</w:t>
      </w:r>
      <w:r>
        <w:rPr>
          <w:rFonts w:ascii="Calibri" w:hAnsi="Calibri"/>
          <w:sz w:val="20"/>
        </w:rPr>
        <w:t># (A33-2)</w:t>
      </w:r>
      <w:r>
        <w:rPr>
          <w:rFonts w:ascii="Calibri" w:hAnsi="Calibri"/>
          <w:sz w:val="20"/>
        </w:rPr>
        <w:t>) ; un test le vérifie.</w:t>
      </w:r>
    </w:p>
    <w:p>
      <w:pPr>
        <w:pStyle w:val="ListBullet"/>
        <w:keepNext/>
        <w:spacing w:before="45" w:after="79" w:line="288" w:lineRule="auto"/>
        <w:jc w:val="both"/>
      </w:pPr>
      <w:r>
        <w:rPr>
          <w:rFonts w:ascii="Calibri" w:hAnsi="Calibri"/>
          <w:sz w:val="20"/>
        </w:rPr>
        <w:t xml:space="preserve">Aucun nombre de méthode dans le code ; une constante nouvelle va dans </w:t>
      </w:r>
      <w:r>
        <w:rPr>
          <w:rFonts w:ascii="Calibri" w:hAnsi="Calibri"/>
          <w:sz w:val="20"/>
        </w:rPr>
        <w:t>constantes.csv</w:t>
      </w:r>
      <w:r>
        <w:rPr>
          <w:rFonts w:ascii="Calibri" w:hAnsi="Calibri"/>
          <w:sz w:val="20"/>
        </w:rPr>
        <w:t xml:space="preserve"> par </w:t>
      </w:r>
      <w:r>
        <w:rPr>
          <w:rFonts w:ascii="Calibri" w:hAnsi="Calibri"/>
          <w:sz w:val="20"/>
        </w:rPr>
        <w:t>outils/construire_constantes.py</w:t>
      </w:r>
      <w:r>
        <w:rPr>
          <w:rFonts w:ascii="Calibri" w:hAnsi="Calibri"/>
          <w:sz w:val="20"/>
        </w:rPr>
        <w:t>, avec sa source.</w:t>
      </w:r>
    </w:p>
    <w:p>
      <w:pPr>
        <w:pStyle w:val="ListBullet"/>
        <w:keepNext/>
        <w:spacing w:before="45" w:after="79" w:line="288" w:lineRule="auto"/>
        <w:jc w:val="both"/>
      </w:pPr>
      <w:r>
        <w:rPr>
          <w:rFonts w:ascii="Calibri" w:hAnsi="Calibri"/>
          <w:sz w:val="20"/>
        </w:rPr>
        <w:t xml:space="preserve">Le même code sert aux valeurs centrales et aux tirages : écrire avec les fonctions de </w:t>
      </w:r>
      <w:r>
        <w:rPr>
          <w:rFonts w:ascii="Calibri" w:hAnsi="Calibri"/>
          <w:sz w:val="20"/>
        </w:rPr>
        <w:t>opennat/numerique.py</w:t>
      </w:r>
      <w:r>
        <w:rPr>
          <w:rFonts w:ascii="Calibri" w:hAnsi="Calibri"/>
          <w:sz w:val="20"/>
        </w:rPr>
        <w:t xml:space="preserve"> (</w:t>
      </w:r>
      <w:r>
        <w:rPr>
          <w:rFonts w:ascii="Calibri" w:hAnsi="Calibri"/>
          <w:sz w:val="20"/>
        </w:rPr>
        <w:t>mini</w:t>
      </w:r>
      <w:r>
        <w:rPr>
          <w:rFonts w:ascii="Calibri" w:hAnsi="Calibri"/>
          <w:sz w:val="20"/>
        </w:rPr>
        <w:t xml:space="preserve">, </w:t>
      </w:r>
      <w:r>
        <w:rPr>
          <w:rFonts w:ascii="Calibri" w:hAnsi="Calibri"/>
          <w:sz w:val="20"/>
        </w:rPr>
        <w:t>maxi</w:t>
      </w:r>
      <w:r>
        <w:rPr>
          <w:rFonts w:ascii="Calibri" w:hAnsi="Calibri"/>
          <w:sz w:val="20"/>
        </w:rPr>
        <w:t xml:space="preserve">, </w:t>
      </w:r>
      <w:r>
        <w:rPr>
          <w:rFonts w:ascii="Calibri" w:hAnsi="Calibri"/>
          <w:sz w:val="20"/>
        </w:rPr>
        <w:t>si</w:t>
      </w:r>
      <w:r>
        <w:rPr>
          <w:rFonts w:ascii="Calibri" w:hAnsi="Calibri"/>
          <w:sz w:val="20"/>
        </w:rPr>
        <w:t xml:space="preserve">, </w:t>
      </w:r>
      <w:r>
        <w:rPr>
          <w:rFonts w:ascii="Calibri" w:hAnsi="Calibri"/>
          <w:sz w:val="20"/>
        </w:rPr>
        <w:t>borne</w:t>
      </w:r>
      <w:r>
        <w:rPr>
          <w:rFonts w:ascii="Calibri" w:hAnsi="Calibri"/>
          <w:sz w:val="20"/>
        </w:rPr>
        <w:t xml:space="preserve">) plutôt qu'avec </w:t>
      </w:r>
      <w:r>
        <w:rPr>
          <w:rFonts w:ascii="Calibri" w:hAnsi="Calibri"/>
          <w:sz w:val="20"/>
        </w:rPr>
        <w:t>min</w:t>
      </w:r>
      <w:r>
        <w:rPr>
          <w:rFonts w:ascii="Calibri" w:hAnsi="Calibri"/>
          <w:sz w:val="20"/>
        </w:rPr>
        <w:t xml:space="preserve">, </w:t>
      </w:r>
      <w:r>
        <w:rPr>
          <w:rFonts w:ascii="Calibri" w:hAnsi="Calibri"/>
          <w:sz w:val="20"/>
        </w:rPr>
        <w:t>max</w:t>
      </w:r>
      <w:r>
        <w:rPr>
          <w:rFonts w:ascii="Calibri" w:hAnsi="Calibri"/>
          <w:sz w:val="20"/>
        </w:rPr>
        <w:t xml:space="preserve"> ou </w:t>
      </w:r>
      <w:r>
        <w:rPr>
          <w:rFonts w:ascii="Calibri" w:hAnsi="Calibri"/>
          <w:sz w:val="20"/>
        </w:rPr>
        <w:t>if</w:t>
      </w:r>
      <w:r>
        <w:rPr>
          <w:rFonts w:ascii="Calibri" w:hAnsi="Calibri"/>
          <w:sz w:val="20"/>
        </w:rPr>
        <w:t xml:space="preserve"> sur une valeur tirée.</w:t>
      </w:r>
    </w:p>
    <w:p>
      <w:pPr>
        <w:pStyle w:val="ListBullet"/>
        <w:keepNext/>
        <w:spacing w:before="45" w:after="79" w:line="288" w:lineRule="auto"/>
        <w:jc w:val="both"/>
      </w:pPr>
      <w:r>
        <w:rPr>
          <w:rFonts w:ascii="Calibri" w:hAnsi="Calibri"/>
          <w:sz w:val="20"/>
        </w:rPr>
        <w:t>python -m pytest</w:t>
      </w:r>
      <w:r>
        <w:rPr>
          <w:rFonts w:ascii="Calibri" w:hAnsi="Calibri"/>
          <w:sz w:val="20"/>
        </w:rPr>
        <w:t xml:space="preserve"> doit passer en entier, banc et non-régression compris.</w:t>
      </w:r>
    </w:p>
    <w:p>
      <w:pPr>
        <w:pStyle w:val="ListBullet"/>
        <w:keepNext w:val="0"/>
        <w:spacing w:before="45" w:after="79" w:line="288" w:lineRule="auto"/>
        <w:jc w:val="both"/>
      </w:pPr>
      <w:r>
        <w:rPr>
          <w:rFonts w:ascii="Calibri" w:hAnsi="Calibri"/>
          <w:sz w:val="20"/>
        </w:rPr>
        <w:t xml:space="preserve">En-tête de licence </w:t>
      </w:r>
      <w:r>
        <w:rPr>
          <w:rFonts w:ascii="Calibri" w:hAnsi="Calibri"/>
          <w:sz w:val="20"/>
        </w:rPr>
        <w:t>SPDX-License-Identifier: AGPL-3.0-or-later</w:t>
      </w:r>
      <w:r>
        <w:rPr>
          <w:rFonts w:ascii="Calibri" w:hAnsi="Calibri"/>
          <w:sz w:val="20"/>
        </w:rPr>
        <w:t xml:space="preserve"> sur chaque fichier.</w:t>
      </w:r>
    </w:p>
    <w:p>
      <w:pPr>
        <w:pStyle w:val="Heading1"/>
        <w:keepNext/>
        <w:spacing w:before="397" w:after="170"/>
      </w:pPr>
      <w:r>
        <w:rPr>
          <w:rFonts w:ascii="Poppins" w:hAnsi="Poppins" w:cs="Poppins" w:eastAsia="Poppins"/>
          <w:color w:val="1A4F9C"/>
        </w:rPr>
        <w:t>Numéros de version</w:t>
      </w:r>
    </w:p>
    <w:p>
      <w:pPr>
        <w:pStyle w:val="ListBullet"/>
        <w:keepNext/>
        <w:spacing w:before="45" w:after="79" w:line="288" w:lineRule="auto"/>
        <w:jc w:val="both"/>
      </w:pPr>
      <w:r>
        <w:rPr>
          <w:rFonts w:ascii="Calibri" w:hAnsi="Calibri"/>
          <w:sz w:val="20"/>
        </w:rPr>
        <w:t>Méthode : OpenNAT 1 tant que le texte garde ses équations ; une révision change la date et s'inscrit au journal ; une équation modifiée fait OpenNAT 2.</w:t>
      </w:r>
    </w:p>
    <w:p>
      <w:pPr>
        <w:pStyle w:val="ListBullet"/>
        <w:keepNext/>
        <w:spacing w:before="45" w:after="79" w:line="288" w:lineRule="auto"/>
        <w:jc w:val="both"/>
      </w:pPr>
      <w:r>
        <w:rPr>
          <w:rFonts w:ascii="Calibri" w:hAnsi="Calibri"/>
          <w:sz w:val="20"/>
        </w:rPr>
        <w:t>Données : 1.2.1 aujourd'hui. Le troisième chiffre change pour une correction sans effet sur un résultat (unité, libellé, source) ; le deuxième pour une valeur ou une ligne ajoutée ; le premier quand la structure des tables change. L'empreinte des tables identifie chaque version.</w:t>
      </w:r>
    </w:p>
    <w:p>
      <w:pPr>
        <w:pStyle w:val="ListBullet"/>
        <w:keepNext w:val="0"/>
        <w:spacing w:before="45" w:after="79" w:line="288" w:lineRule="auto"/>
        <w:jc w:val="both"/>
      </w:pPr>
      <w:r>
        <w:rPr>
          <w:rFonts w:ascii="Calibri" w:hAnsi="Calibri"/>
          <w:sz w:val="20"/>
        </w:rPr>
        <w:t>Moteur : 0.2.0 aujourd'hui, versions sémantiques ; il passera en 1.0.0 à la validation de la méthode.</w:t>
      </w:r>
    </w:p>
    <w:p>
      <w:pPr>
        <w:spacing w:before="57" w:after="227" w:line="288" w:lineRule="auto"/>
      </w:pPr>
      <w:r>
        <w:rPr>
          <w:rFonts w:ascii="Calibri" w:hAnsi="Calibri"/>
          <w:sz w:val="20"/>
        </w:rPr>
        <w:t xml:space="preserve">Le </w:t>
      </w:r>
      <w:r>
        <w:rPr>
          <w:rFonts w:ascii="Calibri" w:hAnsi="Calibri"/>
          <w:sz w:val="20"/>
        </w:rPr>
        <w:t>JOURNAL_DES_VERSIONS.md</w:t>
      </w:r>
      <w:r>
        <w:rPr>
          <w:rFonts w:ascii="Calibri" w:hAnsi="Calibri"/>
          <w:sz w:val="20"/>
        </w:rPr>
        <w:t xml:space="preserve"> tient l'historique des trois.</w:t>
      </w:r>
    </w:p>
    <w:sectPr w:rsidR="00FC693F" w:rsidRPr="0006063C" w:rsidSect="00034616">
      <w:footerReference w:type="default" r:id="rId9"/>
      <w:headerReference w:type="first" r:id="rId10"/>
      <w:footerReference w:type="first" r:id="rId11"/>
      <w:headerReference w:type="default" r:id="rId12"/>
      <w:pgSz w:w="11906" w:h="16838"/>
      <w:pgMar w:top="1587" w:right="1134" w:bottom="1247" w:left="1134" w:header="283"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Page </w:t>
    </w:r>
    <w:r>
      <w:rPr>
        <w:rFonts w:ascii="Calibri" w:hAnsi="Calibri"/>
        <w:color w:val="595959"/>
        <w:sz w:val="16"/>
      </w:rPr>
      <w:fldChar w:fldCharType="begin"/>
    </w:r>
    <w:r>
      <w:rPr>
        <w:rFonts w:ascii="Calibri" w:hAnsi="Calibri"/>
        <w:color w:val="595959"/>
        <w:sz w:val="16"/>
      </w:rPr>
      <w:instrText xml:space="preserve"> PAGE </w:instrText>
    </w:r>
    <w:r>
      <w:rPr>
        <w:rFonts w:ascii="Calibri" w:hAnsi="Calibri"/>
        <w:color w:val="595959"/>
        <w:sz w:val="16"/>
      </w:rPr>
      <w:fldChar w:fldCharType="separate"/>
    </w:r>
    <w:r>
      <w:rPr>
        <w:rFonts w:ascii="Calibri" w:hAnsi="Calibri"/>
        <w:color w:val="595959"/>
        <w:sz w:val="16"/>
      </w:rPr>
      <w:t>1</w:t>
    </w:r>
    <w:r>
      <w:rPr>
        <w:rFonts w:ascii="Calibri" w:hAnsi="Calibri"/>
        <w:color w:val="595959"/>
        <w:sz w:val="16"/>
      </w:rPr>
      <w:fldChar w:fldCharType="end"/>
    </w:r>
    <w:r>
      <w:rPr>
        <w:rFonts w:ascii="Calibri" w:hAnsi="Calibri"/>
        <w:color w:val="595959"/>
        <w:sz w:val="16"/>
      </w:rPr>
      <w:t xml:space="preserve"> sur </w:t>
    </w:r>
    <w:r>
      <w:rPr>
        <w:rFonts w:ascii="Calibri" w:hAnsi="Calibri"/>
        <w:color w:val="595959"/>
        <w:sz w:val="16"/>
      </w:rPr>
      <w:fldChar w:fldCharType="begin"/>
    </w:r>
    <w:r>
      <w:rPr>
        <w:rFonts w:ascii="Calibri" w:hAnsi="Calibri"/>
        <w:color w:val="595959"/>
        <w:sz w:val="16"/>
      </w:rPr>
      <w:instrText xml:space="preserve"> NUMPAGES </w:instrText>
    </w:r>
    <w:r>
      <w:rPr>
        <w:rFonts w:ascii="Calibri" w:hAnsi="Calibri"/>
        <w:color w:val="595959"/>
        <w:sz w:val="16"/>
      </w:rPr>
      <w:fldChar w:fldCharType="separate"/>
    </w:r>
    <w:r>
      <w:rPr>
        <w:rFonts w:ascii="Calibri" w:hAnsi="Calibri"/>
        <w:color w:val="595959"/>
        <w:sz w:val="16"/>
      </w:rPr>
      <w:t>1</w:t>
    </w:r>
    <w:r>
      <w:rPr>
        <w:rFonts w:ascii="Calibri" w:hAnsi="Calibri"/>
        <w:color w:val="595959"/>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1850" w:lineRule="exact"/>
    </w:pPr>
    <w:r>
      <w:drawing>
        <wp:anchor distT="0" distB="0" distL="0" distR="0" simplePos="0" relativeHeight="0" behindDoc="1" locked="1" layoutInCell="1" allowOverlap="1">
          <wp:simplePos x="0" y="0"/>
          <wp:positionH relativeFrom="page">
            <wp:posOffset>0</wp:posOffset>
          </wp:positionH>
          <wp:positionV relativeFrom="page">
            <wp:posOffset>9625065</wp:posOffset>
          </wp:positionV>
          <wp:extent cx="7560000" cy="1066935"/>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ied.png"/>
                  <pic:cNvPicPr/>
                </pic:nvPicPr>
                <pic:blipFill>
                  <a:blip r:embed="rId1"/>
                  <a:stretch>
                    <a:fillRect/>
                  </a:stretch>
                </pic:blipFill>
                <pic:spPr>
                  <a:xfrm>
                    <a:off x="0" y="0"/>
                    <a:ext cx="7560000" cy="1066935"/>
                  </a:xfrm>
                  <a:prstGeom prst="rect"/>
                </pic:spPr>
              </pic:pic>
            </a:graphicData>
          </a:graphic>
        </wp:anchor>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309" w:lineRule="exac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429694"/>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entete.png"/>
                  <pic:cNvPicPr/>
                </pic:nvPicPr>
                <pic:blipFill>
                  <a:blip r:embed="rId1"/>
                  <a:stretch>
                    <a:fillRect/>
                  </a:stretch>
                </pic:blipFill>
                <pic:spPr>
                  <a:xfrm>
                    <a:off x="0" y="0"/>
                    <a:ext cx="7560000" cy="1429694"/>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702887"/>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suite.png"/>
                  <pic:cNvPicPr/>
                </pic:nvPicPr>
                <pic:blipFill>
                  <a:blip r:embed="rId1"/>
                  <a:stretch>
                    <a:fillRect/>
                  </a:stretch>
                </pic:blipFill>
                <pic:spPr>
                  <a:xfrm>
                    <a:off x="0" y="0"/>
                    <a:ext cx="7560000" cy="10702887"/>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720" w:hanging="360"/>
      </w:pPr>
      <w:rPr>
        <w:rFonts w:ascii="OpenSymbol" w:hAnsi="OpenSymbol" w:cs="Open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13" w:after="113" w:line="240" w:lineRule="auto"/>
      <w:ind w:left="0" w:right="0" w:firstLine="0"/>
    </w:pPr>
    <w:rPr>
      <w:rFonts w:ascii="Calibri" w:hAnsi="Calibri" w:eastAsia="Calibri" w:cs="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Poppins" w:hAnsi="Poppins" w:eastAsia="Poppins" w:cs="Poppins"/>
      <w:b/>
      <w:bCs/>
      <w:i w:val="0"/>
      <w:color w:val="1A4F9C"/>
      <w:sz w:val="2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Poppins" w:hAnsi="Poppins" w:eastAsia="Poppins" w:cs="Poppins"/>
      <w:b/>
      <w:bCs/>
      <w:i w:val="0"/>
      <w:color w:val="1E7A4A"/>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Poppins" w:hAnsi="Poppins" w:eastAsia="Poppins" w:cs="Poppins"/>
      <w:b/>
      <w:bCs/>
      <w:i w:val="0"/>
      <w:color w:val="20233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jc w:val="center"/>
    </w:pPr>
    <w:rPr>
      <w:rFonts w:ascii="Poppins" w:hAnsi="Poppins" w:eastAsia="Poppins" w:cs="Poppins"/>
      <w:b/>
      <w:i w:val="0"/>
      <w:color w:val="1A4F9C"/>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0"/>
    </w:pPr>
    <w:rPr>
      <w:rFonts w:ascii="Calibri" w:hAnsi="Calibri" w:eastAsia="Calibri" w:cs="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du contributeur d'OpenNAT</dc:title>
  <dc:subject/>
  <dc:creator>NORMATYS</dc:creator>
  <cp:keywords/>
  <dc:description>generated by python-docx</dc:description>
  <cp:lastModifiedBy/>
  <cp:revision>1</cp:revision>
  <dcterms:created xsi:type="dcterms:W3CDTF">2013-12-23T23:15:00Z</dcterms:created>
  <dcterms:modified xsi:type="dcterms:W3CDTF">2013-12-23T23:15:00Z</dcterms:modified>
  <cp:category/>
  <dc:language>fr-FR</dc:language>
</cp:coreProperties>
</file>