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Journal des versions d'OpenNAT</w:t>
      </w:r>
    </w:p>
    <w:p>
      <w:pPr>
        <w:spacing w:before="57" w:after="227" w:line="288" w:lineRule="auto"/>
      </w:pPr>
      <w:r>
        <w:rPr>
          <w:rFonts w:ascii="Calibri" w:hAnsi="Calibri"/>
          <w:sz w:val="20"/>
        </w:rPr>
        <w:t>Trois objets ont chacun leur version : le texte de la méthode, les tables de données et le moteur. Un résultat se rattache aux trois : la fiche de synthèse et le RSNat portent la version de la méthode et du moteur, et l'empreinte des tables, qui désigne une version des données ci-dessous. Les règles de numérotation sont dans le guide du contributeur. Méthode en attente de validation du Biodiversity Standard Council ; aucune version n'est publiée.</w:t>
      </w:r>
    </w:p>
    <w:p>
      <w:pPr>
        <w:pStyle w:val="Heading1"/>
        <w:keepNext/>
        <w:spacing w:before="397" w:after="170"/>
      </w:pPr>
      <w:r>
        <w:rPr>
          <w:rFonts w:ascii="Poppins" w:hAnsi="Poppins" w:cs="Poppins" w:eastAsia="Poppins"/>
          <w:color w:val="1A4F9C"/>
        </w:rPr>
        <w:t>Version en vigueur</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129"/>
        <w:gridCol w:w="4962"/>
        <w:gridCol w:w="2545"/>
      </w:tblGrid>
      <w:tr>
        <w:trPr>
          <w:tblHeader/>
          <w:cantSplit/>
        </w:trPr>
        <w:tc>
          <w:tcPr>
            <w:tcW w:type="dxa" w:w="2130"/>
            <w:vAlign w:val="center"/>
            <w:shd w:val="clear" w:color="auto" w:fill="202335"/>
          </w:tcPr>
          <w:p>
            <w:pPr>
              <w:keepNext/>
              <w:spacing w:before="79" w:after="79" w:line="276" w:lineRule="auto"/>
            </w:pPr>
            <w:r>
              <w:rPr>
                <w:rFonts w:ascii="Calibri" w:hAnsi="Calibri"/>
                <w:b/>
                <w:color w:val="FFFFFF"/>
                <w:sz w:val="20"/>
              </w:rPr>
              <w:t>Objet</w:t>
            </w:r>
          </w:p>
        </w:tc>
        <w:tc>
          <w:tcPr>
            <w:tcW w:type="dxa" w:w="4962"/>
            <w:vAlign w:val="center"/>
            <w:shd w:val="clear" w:color="auto" w:fill="202335"/>
          </w:tcPr>
          <w:p>
            <w:pPr>
              <w:keepNext/>
              <w:spacing w:before="79" w:after="79" w:line="276" w:lineRule="auto"/>
              <w:jc w:val="center"/>
            </w:pPr>
            <w:r>
              <w:rPr>
                <w:rFonts w:ascii="Calibri" w:hAnsi="Calibri"/>
                <w:b/>
                <w:color w:val="FFFFFF"/>
                <w:sz w:val="20"/>
              </w:rPr>
              <w:t>Version</w:t>
            </w:r>
          </w:p>
        </w:tc>
        <w:tc>
          <w:tcPr>
            <w:tcW w:type="dxa" w:w="2546"/>
            <w:vAlign w:val="center"/>
            <w:shd w:val="clear" w:color="auto" w:fill="202335"/>
          </w:tcPr>
          <w:p>
            <w:pPr>
              <w:keepNext/>
              <w:spacing w:before="79" w:after="79" w:line="276" w:lineRule="auto"/>
            </w:pPr>
            <w:r>
              <w:rPr>
                <w:rFonts w:ascii="Calibri" w:hAnsi="Calibri"/>
                <w:b/>
                <w:color w:val="FFFFFF"/>
                <w:sz w:val="20"/>
              </w:rPr>
              <w:t>Date</w:t>
            </w:r>
          </w:p>
        </w:tc>
      </w:tr>
      <w:tr>
        <w:trPr>
          <w:cantSplit/>
        </w:trPr>
        <w:tc>
          <w:tcPr>
            <w:tcW w:type="dxa" w:w="2130"/>
            <w:vAlign w:val="center"/>
          </w:tcPr>
          <w:p>
            <w:pPr>
              <w:keepNext/>
              <w:spacing w:before="79" w:after="79" w:line="276" w:lineRule="auto"/>
            </w:pPr>
            <w:r>
              <w:rPr>
                <w:rFonts w:ascii="Calibri" w:hAnsi="Calibri"/>
                <w:sz w:val="20"/>
              </w:rPr>
              <w:t>Méthode</w:t>
            </w:r>
          </w:p>
        </w:tc>
        <w:tc>
          <w:tcPr>
            <w:tcW w:type="dxa" w:w="4962"/>
            <w:vAlign w:val="center"/>
          </w:tcPr>
          <w:p>
            <w:pPr>
              <w:keepNext/>
              <w:spacing w:before="79" w:after="79" w:line="276" w:lineRule="auto"/>
            </w:pPr>
            <w:r>
              <w:rPr>
                <w:rFonts w:ascii="Calibri" w:hAnsi="Calibri"/>
                <w:sz w:val="20"/>
              </w:rPr>
              <w:t>OpenNAT 1, révision du 19 octobre 2026</w:t>
            </w:r>
          </w:p>
        </w:tc>
        <w:tc>
          <w:tcPr>
            <w:tcW w:type="dxa" w:w="2546"/>
            <w:vAlign w:val="center"/>
          </w:tcPr>
          <w:p>
            <w:pPr>
              <w:keepNext/>
              <w:spacing w:before="79" w:after="79" w:line="276" w:lineRule="auto"/>
            </w:pPr>
            <w:r>
              <w:rPr>
                <w:rFonts w:ascii="Calibri" w:hAnsi="Calibri"/>
                <w:sz w:val="20"/>
              </w:rPr>
              <w:t>19/10/2026</w:t>
            </w:r>
          </w:p>
        </w:tc>
      </w:tr>
      <w:tr>
        <w:trPr>
          <w:cantSplit/>
        </w:trPr>
        <w:tc>
          <w:tcPr>
            <w:tcW w:type="dxa" w:w="2130"/>
            <w:vAlign w:val="center"/>
          </w:tcPr>
          <w:p>
            <w:pPr>
              <w:keepNext/>
              <w:spacing w:before="79" w:after="79" w:line="276" w:lineRule="auto"/>
            </w:pPr>
            <w:r>
              <w:rPr>
                <w:rFonts w:ascii="Calibri" w:hAnsi="Calibri"/>
                <w:sz w:val="20"/>
              </w:rPr>
              <w:t>Données</w:t>
            </w:r>
          </w:p>
        </w:tc>
        <w:tc>
          <w:tcPr>
            <w:tcW w:type="dxa" w:w="4962"/>
            <w:vAlign w:val="center"/>
          </w:tcPr>
          <w:p>
            <w:pPr>
              <w:keepNext/>
              <w:spacing w:before="79" w:after="79" w:line="276" w:lineRule="auto"/>
              <w:jc w:val="center"/>
            </w:pPr>
            <w:r>
              <w:rPr>
                <w:rFonts w:ascii="Calibri" w:hAnsi="Calibri"/>
                <w:sz w:val="20"/>
              </w:rPr>
              <w:t>1.2.1</w:t>
            </w:r>
          </w:p>
        </w:tc>
        <w:tc>
          <w:tcPr>
            <w:tcW w:type="dxa" w:w="2546"/>
            <w:vAlign w:val="center"/>
          </w:tcPr>
          <w:p>
            <w:pPr>
              <w:keepNext/>
              <w:spacing w:before="79" w:after="79" w:line="276" w:lineRule="auto"/>
            </w:pPr>
            <w:r>
              <w:rPr>
                <w:rFonts w:ascii="Calibri" w:hAnsi="Calibri"/>
                <w:sz w:val="20"/>
              </w:rPr>
              <w:t>19/10/2026</w:t>
            </w:r>
          </w:p>
        </w:tc>
      </w:tr>
      <w:tr>
        <w:trPr>
          <w:cantSplit/>
        </w:trPr>
        <w:tc>
          <w:tcPr>
            <w:tcW w:type="dxa" w:w="2130"/>
            <w:vAlign w:val="center"/>
          </w:tcPr>
          <w:p>
            <w:pPr>
              <w:spacing w:before="79" w:after="79" w:line="276" w:lineRule="auto"/>
            </w:pPr>
            <w:r>
              <w:rPr>
                <w:rFonts w:ascii="Calibri" w:hAnsi="Calibri"/>
                <w:sz w:val="20"/>
              </w:rPr>
              <w:t>Moteur</w:t>
            </w:r>
          </w:p>
        </w:tc>
        <w:tc>
          <w:tcPr>
            <w:tcW w:type="dxa" w:w="4962"/>
            <w:vAlign w:val="center"/>
          </w:tcPr>
          <w:p>
            <w:pPr>
              <w:spacing w:before="79" w:after="79" w:line="276" w:lineRule="auto"/>
              <w:jc w:val="center"/>
            </w:pPr>
            <w:r>
              <w:rPr>
                <w:rFonts w:ascii="Calibri" w:hAnsi="Calibri"/>
                <w:sz w:val="20"/>
              </w:rPr>
              <w:t>0.2.0</w:t>
            </w:r>
          </w:p>
        </w:tc>
        <w:tc>
          <w:tcPr>
            <w:tcW w:type="dxa" w:w="2546"/>
            <w:vAlign w:val="center"/>
          </w:tcPr>
          <w:p>
            <w:pPr>
              <w:spacing w:before="79" w:after="79" w:line="276" w:lineRule="auto"/>
            </w:pPr>
            <w:r>
              <w:rPr>
                <w:rFonts w:ascii="Calibri" w:hAnsi="Calibri"/>
                <w:sz w:val="20"/>
              </w:rPr>
              <w:t>19/10/2026</w:t>
            </w:r>
          </w:p>
        </w:tc>
      </w:tr>
    </w:tbl>
    <w:p>
      <w:pPr>
        <w:spacing w:before="57" w:after="227" w:line="288" w:lineRule="auto"/>
      </w:pPr>
      <w:r>
        <w:rPr>
          <w:rFonts w:ascii="Calibri" w:hAnsi="Calibri"/>
          <w:sz w:val="20"/>
        </w:rPr>
        <w:t xml:space="preserve">Empreinte des tables de la version 1.2.1 : </w:t>
      </w:r>
      <w:r>
        <w:rPr>
          <w:rFonts w:ascii="Calibri" w:hAnsi="Calibri"/>
          <w:sz w:val="20"/>
        </w:rPr>
        <w:t>b320e8edd30696e070f202454ebece37b96b7b7f38f8bb0c6463f52db555c6de</w:t>
      </w:r>
    </w:p>
    <w:p>
      <w:pPr>
        <w:spacing w:before="57" w:after="227" w:line="288" w:lineRule="auto"/>
      </w:pPr>
      <w:r>
        <w:rPr>
          <w:rFonts w:ascii="Calibri" w:hAnsi="Calibri"/>
          <w:sz w:val="20"/>
        </w:rPr>
        <w:t>python -m opennat controle</w:t>
      </w:r>
      <w:r>
        <w:rPr>
          <w:rFonts w:ascii="Calibri" w:hAnsi="Calibri"/>
          <w:sz w:val="20"/>
        </w:rPr>
        <w:t xml:space="preserve"> affiche l'empreinte des tables présentes ; si elle ne figure pas dans ce journal, les tables ont été modifiées sans être versionnées.</w:t>
      </w:r>
    </w:p>
    <w:p>
      <w:pPr>
        <w:pStyle w:val="Heading1"/>
        <w:keepNext/>
        <w:spacing w:before="397" w:after="170"/>
      </w:pPr>
      <w:r>
        <w:rPr>
          <w:rFonts w:ascii="Poppins" w:hAnsi="Poppins" w:cs="Poppins" w:eastAsia="Poppins"/>
          <w:color w:val="1A4F9C"/>
        </w:rPr>
        <w:t>Méthode</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858"/>
        <w:gridCol w:w="1314"/>
        <w:gridCol w:w="4114"/>
        <w:gridCol w:w="2350"/>
      </w:tblGrid>
      <w:tr>
        <w:trPr>
          <w:tblHeader/>
          <w:cantSplit/>
        </w:trPr>
        <w:tc>
          <w:tcPr>
            <w:tcW w:type="dxa" w:w="1859"/>
            <w:vAlign w:val="center"/>
            <w:shd w:val="clear" w:color="auto" w:fill="202335"/>
          </w:tcPr>
          <w:p>
            <w:pPr>
              <w:spacing w:before="79" w:after="79" w:line="276" w:lineRule="auto"/>
            </w:pPr>
            <w:r>
              <w:rPr>
                <w:rFonts w:ascii="Calibri" w:hAnsi="Calibri"/>
                <w:b/>
                <w:color w:val="FFFFFF"/>
                <w:sz w:val="20"/>
              </w:rPr>
              <w:t>Révision</w:t>
            </w:r>
          </w:p>
        </w:tc>
        <w:tc>
          <w:tcPr>
            <w:tcW w:type="dxa" w:w="1314"/>
            <w:vAlign w:val="center"/>
            <w:shd w:val="clear" w:color="auto" w:fill="202335"/>
          </w:tcPr>
          <w:p>
            <w:pPr>
              <w:spacing w:before="79" w:after="79" w:line="276" w:lineRule="auto"/>
            </w:pPr>
            <w:r>
              <w:rPr>
                <w:rFonts w:ascii="Calibri" w:hAnsi="Calibri"/>
                <w:b/>
                <w:color w:val="FFFFFF"/>
                <w:sz w:val="20"/>
              </w:rPr>
              <w:t>Lot</w:t>
            </w:r>
          </w:p>
        </w:tc>
        <w:tc>
          <w:tcPr>
            <w:tcW w:type="dxa" w:w="4114"/>
            <w:vAlign w:val="center"/>
            <w:shd w:val="clear" w:color="auto" w:fill="202335"/>
          </w:tcPr>
          <w:p>
            <w:pPr>
              <w:spacing w:before="79" w:after="79" w:line="276" w:lineRule="auto"/>
            </w:pPr>
            <w:r>
              <w:rPr>
                <w:rFonts w:ascii="Calibri" w:hAnsi="Calibri"/>
                <w:b/>
                <w:color w:val="FFFFFF"/>
                <w:sz w:val="20"/>
              </w:rPr>
              <w:t>Changements</w:t>
            </w:r>
          </w:p>
        </w:tc>
        <w:tc>
          <w:tcPr>
            <w:tcW w:type="dxa" w:w="2351"/>
            <w:vAlign w:val="center"/>
            <w:shd w:val="clear" w:color="auto" w:fill="202335"/>
          </w:tcPr>
          <w:p>
            <w:pPr>
              <w:spacing w:before="79" w:after="79" w:line="276" w:lineRule="auto"/>
            </w:pPr>
            <w:r>
              <w:rPr>
                <w:rFonts w:ascii="Calibri" w:hAnsi="Calibri"/>
                <w:b/>
                <w:color w:val="FFFFFF"/>
                <w:sz w:val="20"/>
              </w:rPr>
              <w:t>Commit</w:t>
            </w:r>
          </w:p>
        </w:tc>
      </w:tr>
      <w:tr>
        <w:trPr>
          <w:cantSplit/>
        </w:trPr>
        <w:tc>
          <w:tcPr>
            <w:tcW w:type="dxa" w:w="1859"/>
            <w:vAlign w:val="center"/>
          </w:tcPr>
          <w:p>
            <w:pPr>
              <w:spacing w:before="79" w:after="79" w:line="276" w:lineRule="auto"/>
            </w:pPr>
            <w:r>
              <w:rPr>
                <w:rFonts w:ascii="Calibri" w:hAnsi="Calibri"/>
                <w:sz w:val="20"/>
              </w:rPr>
              <w:t>18/10/2026</w:t>
            </w:r>
          </w:p>
        </w:tc>
        <w:tc>
          <w:tcPr>
            <w:tcW w:type="dxa" w:w="1314"/>
            <w:vAlign w:val="center"/>
          </w:tcPr>
          <w:p>
            <w:pPr>
              <w:spacing w:before="79" w:after="79" w:line="276" w:lineRule="auto"/>
              <w:jc w:val="center"/>
            </w:pPr>
            <w:r>
              <w:rPr>
                <w:rFonts w:ascii="Calibri" w:hAnsi="Calibri"/>
                <w:sz w:val="20"/>
              </w:rPr>
              <w:t>1</w:t>
            </w:r>
          </w:p>
        </w:tc>
        <w:tc>
          <w:tcPr>
            <w:tcW w:type="dxa" w:w="4114"/>
            <w:vAlign w:val="center"/>
          </w:tcPr>
          <w:p>
            <w:pPr>
              <w:spacing w:before="79" w:after="79" w:line="276" w:lineRule="auto"/>
            </w:pPr>
            <w:r>
              <w:rPr>
                <w:rFonts w:ascii="Calibri" w:hAnsi="Calibri"/>
                <w:sz w:val="20"/>
              </w:rPr>
              <w:t>Texte de la méthode OpenNAT v1 (indicateurs Cnat, Inat, Snat, Bnat ; étapes E1 à E5 ; modules S, H, C, N, E, T, G), conventions, bibliographie, exemple de l'annexe C vérifié</w:t>
            </w:r>
          </w:p>
        </w:tc>
        <w:tc>
          <w:tcPr>
            <w:tcW w:type="dxa" w:w="2351"/>
            <w:vAlign w:val="center"/>
          </w:tcPr>
          <w:p>
            <w:pPr>
              <w:spacing w:before="79" w:after="79" w:line="276" w:lineRule="auto"/>
            </w:pPr>
            <w:r>
              <w:rPr>
                <w:rFonts w:ascii="Calibri" w:hAnsi="Calibri"/>
                <w:sz w:val="20"/>
              </w:rPr>
              <w:t>63aa634</w:t>
            </w:r>
          </w:p>
        </w:tc>
      </w:tr>
      <w:tr>
        <w:trPr>
          <w:cantSplit/>
        </w:trPr>
        <w:tc>
          <w:tcPr>
            <w:tcW w:type="dxa" w:w="1859"/>
            <w:vAlign w:val="center"/>
          </w:tcPr>
          <w:p>
            <w:pPr>
              <w:spacing w:before="79" w:after="79" w:line="276" w:lineRule="auto"/>
            </w:pPr>
            <w:r>
              <w:rPr>
                <w:rFonts w:ascii="Calibri" w:hAnsi="Calibri"/>
                <w:sz w:val="20"/>
              </w:rPr>
              <w:t>18/10/2026</w:t>
            </w:r>
          </w:p>
        </w:tc>
        <w:tc>
          <w:tcPr>
            <w:tcW w:type="dxa" w:w="1314"/>
            <w:vAlign w:val="center"/>
          </w:tcPr>
          <w:p>
            <w:pPr>
              <w:spacing w:before="79" w:after="79" w:line="276" w:lineRule="auto"/>
            </w:pPr>
            <w:r>
              <w:rPr>
                <w:rFonts w:ascii="Calibri" w:hAnsi="Calibri"/>
                <w:sz w:val="20"/>
              </w:rPr>
              <w:t>1 bis</w:t>
            </w:r>
          </w:p>
        </w:tc>
        <w:tc>
          <w:tcPr>
            <w:tcW w:type="dxa" w:w="4114"/>
            <w:vAlign w:val="center"/>
          </w:tcPr>
          <w:p>
            <w:pPr>
              <w:spacing w:before="79" w:after="79" w:line="276" w:lineRule="auto"/>
            </w:pPr>
            <w:r>
              <w:rPr>
                <w:rFonts w:ascii="Calibri" w:hAnsi="Calibri"/>
                <w:sz w:val="20"/>
              </w:rPr>
              <w:t>Édition complète : données conventionnelles (partie 2), 42 fiches algorithmes (partie 3), 191 fiches habitats (partie 4), fiches d'application (partie 5), protocoles de relevé (partie 6), RSNat (partie 7), huit cas de validation (partie 8)</w:t>
            </w:r>
          </w:p>
        </w:tc>
        <w:tc>
          <w:tcPr>
            <w:tcW w:type="dxa" w:w="2351"/>
            <w:vAlign w:val="center"/>
          </w:tcPr>
          <w:p>
            <w:pPr>
              <w:spacing w:before="79" w:after="79" w:line="276" w:lineRule="auto"/>
            </w:pPr>
            <w:r>
              <w:rPr>
                <w:rFonts w:ascii="Calibri" w:hAnsi="Calibri"/>
                <w:sz w:val="20"/>
              </w:rPr>
              <w:t>b513b98</w:t>
            </w:r>
          </w:p>
        </w:tc>
      </w:tr>
      <w:tr>
        <w:trPr>
          <w:cantSplit/>
        </w:trPr>
        <w:tc>
          <w:tcPr>
            <w:tcW w:type="dxa" w:w="1859"/>
            <w:vAlign w:val="center"/>
          </w:tcPr>
          <w:p>
            <w:pPr>
              <w:spacing w:before="79" w:after="79" w:line="276" w:lineRule="auto"/>
            </w:pPr>
            <w:r>
              <w:rPr>
                <w:rFonts w:ascii="Calibri" w:hAnsi="Calibri"/>
                <w:sz w:val="20"/>
              </w:rPr>
              <w:t>18/10/2026</w:t>
            </w:r>
          </w:p>
        </w:tc>
        <w:tc>
          <w:tcPr>
            <w:tcW w:type="dxa" w:w="1314"/>
            <w:vAlign w:val="center"/>
          </w:tcPr>
          <w:p>
            <w:pPr>
              <w:spacing w:before="79" w:after="79" w:line="276" w:lineRule="auto"/>
            </w:pPr>
            <w:r>
              <w:rPr>
                <w:rFonts w:ascii="Calibri" w:hAnsi="Calibri"/>
                <w:sz w:val="20"/>
              </w:rPr>
              <w:t>1 bis</w:t>
            </w:r>
          </w:p>
        </w:tc>
        <w:tc>
          <w:tcPr>
            <w:tcW w:type="dxa" w:w="4114"/>
            <w:vAlign w:val="center"/>
          </w:tcPr>
          <w:p>
            <w:pPr>
              <w:spacing w:before="79" w:after="79" w:line="276" w:lineRule="auto"/>
            </w:pPr>
            <w:r>
              <w:rPr>
                <w:rFonts w:ascii="Calibri" w:hAnsi="Calibri"/>
                <w:sz w:val="20"/>
              </w:rPr>
              <w:t>Toute unité de valeur non nulle relève d'une tache (fiches A17 et A19) ; annexe C recalculée</w:t>
            </w:r>
          </w:p>
        </w:tc>
        <w:tc>
          <w:tcPr>
            <w:tcW w:type="dxa" w:w="2351"/>
            <w:vAlign w:val="center"/>
          </w:tcPr>
          <w:p>
            <w:pPr>
              <w:spacing w:before="79" w:after="79" w:line="276" w:lineRule="auto"/>
            </w:pPr>
            <w:r>
              <w:rPr>
                <w:rFonts w:ascii="Calibri" w:hAnsi="Calibri"/>
                <w:sz w:val="20"/>
              </w:rPr>
              <w:t>d90ec71</w:t>
            </w:r>
          </w:p>
        </w:tc>
      </w:tr>
      <w:tr>
        <w:trPr>
          <w:cantSplit/>
        </w:trPr>
        <w:tc>
          <w:tcPr>
            <w:tcW w:type="dxa" w:w="1859"/>
            <w:vAlign w:val="center"/>
          </w:tcPr>
          <w:p>
            <w:pPr>
              <w:spacing w:before="79" w:after="79" w:line="276" w:lineRule="auto"/>
            </w:pPr>
            <w:r>
              <w:rPr>
                <w:rFonts w:ascii="Calibri" w:hAnsi="Calibri"/>
                <w:sz w:val="20"/>
              </w:rPr>
              <w:t>18/10/2026</w:t>
            </w:r>
          </w:p>
        </w:tc>
        <w:tc>
          <w:tcPr>
            <w:tcW w:type="dxa" w:w="1314"/>
            <w:vAlign w:val="center"/>
          </w:tcPr>
          <w:p>
            <w:pPr>
              <w:spacing w:before="79" w:after="79" w:line="276" w:lineRule="auto"/>
            </w:pPr>
            <w:r>
              <w:rPr>
                <w:rFonts w:ascii="Calibri" w:hAnsi="Calibri"/>
                <w:sz w:val="20"/>
              </w:rPr>
              <w:t>1 ter</w:t>
            </w:r>
          </w:p>
        </w:tc>
        <w:tc>
          <w:tcPr>
            <w:tcW w:type="dxa" w:w="4114"/>
            <w:vAlign w:val="center"/>
          </w:tcPr>
          <w:p>
            <w:pPr>
              <w:spacing w:before="79" w:after="79" w:line="276" w:lineRule="auto"/>
            </w:pPr>
            <w:r>
              <w:rPr>
                <w:rFonts w:ascii="Calibri" w:hAnsi="Calibri"/>
                <w:sz w:val="20"/>
              </w:rPr>
              <w:t>Modules dynamiques : climat horaire TRACC et ET0 (A43 à A46), bilan hydrique horaire des sols, toitures et mares (A47 à A50), éclairage horaire (A51 à A53), maturation et gestion (A54 à A56), calendrier du chantier (A57, A58) ; 29 cas dynamiques ; annexe C recalculée (Cnat 3 217,2)</w:t>
            </w:r>
          </w:p>
        </w:tc>
        <w:tc>
          <w:tcPr>
            <w:tcW w:type="dxa" w:w="2351"/>
            <w:vAlign w:val="center"/>
          </w:tcPr>
          <w:p>
            <w:pPr>
              <w:spacing w:before="79" w:after="79" w:line="276" w:lineRule="auto"/>
            </w:pPr>
            <w:r>
              <w:rPr>
                <w:rFonts w:ascii="Calibri" w:hAnsi="Calibri"/>
                <w:sz w:val="20"/>
              </w:rPr>
              <w:t>a1a19df, 2f9f9d2</w:t>
            </w:r>
          </w:p>
        </w:tc>
      </w:tr>
      <w:tr>
        <w:trPr>
          <w:cantSplit/>
        </w:trPr>
        <w:tc>
          <w:tcPr>
            <w:tcW w:type="dxa" w:w="1859"/>
            <w:vAlign w:val="center"/>
          </w:tcPr>
          <w:p>
            <w:pPr>
              <w:spacing w:before="79" w:after="79" w:line="276" w:lineRule="auto"/>
            </w:pPr>
            <w:r>
              <w:rPr>
                <w:rFonts w:ascii="Calibri" w:hAnsi="Calibri"/>
                <w:sz w:val="20"/>
              </w:rPr>
              <w:t>19/10/2026</w:t>
            </w:r>
          </w:p>
        </w:tc>
        <w:tc>
          <w:tcPr>
            <w:tcW w:type="dxa" w:w="1314"/>
            <w:vAlign w:val="center"/>
          </w:tcPr>
          <w:p>
            <w:pPr>
              <w:spacing w:before="79" w:after="79" w:line="276" w:lineRule="auto"/>
              <w:jc w:val="center"/>
            </w:pPr>
            <w:r>
              <w:rPr>
                <w:rFonts w:ascii="Calibri" w:hAnsi="Calibri"/>
                <w:sz w:val="20"/>
              </w:rPr>
              <w:t>2</w:t>
            </w:r>
          </w:p>
        </w:tc>
        <w:tc>
          <w:tcPr>
            <w:tcW w:type="dxa" w:w="4114"/>
            <w:vAlign w:val="center"/>
          </w:tcPr>
          <w:p>
            <w:pPr>
              <w:spacing w:before="79" w:after="79" w:line="276" w:lineRule="auto"/>
            </w:pPr>
            <w:r>
              <w:rPr>
                <w:rFonts w:ascii="Calibri" w:hAnsi="Calibri"/>
                <w:sz w:val="20"/>
              </w:rPr>
              <w:t>Fichier projet (partie 7.6) ; RSNat d'exemple écrit par le moteur</w:t>
            </w:r>
          </w:p>
        </w:tc>
        <w:tc>
          <w:tcPr>
            <w:tcW w:type="dxa" w:w="2351"/>
            <w:vAlign w:val="center"/>
          </w:tcPr>
          <w:p>
            <w:pPr>
              <w:spacing w:before="79" w:after="79" w:line="276" w:lineRule="auto"/>
            </w:pPr>
            <w:r>
              <w:rPr>
                <w:rFonts w:ascii="Calibri" w:hAnsi="Calibri"/>
                <w:sz w:val="20"/>
              </w:rPr>
              <w:t>a3ac8bd</w:t>
            </w:r>
          </w:p>
        </w:tc>
      </w:tr>
      <w:tr>
        <w:trPr>
          <w:cantSplit/>
        </w:trPr>
        <w:tc>
          <w:tcPr>
            <w:tcW w:type="dxa" w:w="1859"/>
            <w:vAlign w:val="center"/>
          </w:tcPr>
          <w:p>
            <w:pPr>
              <w:spacing w:before="79" w:after="79" w:line="276" w:lineRule="auto"/>
            </w:pPr>
            <w:r>
              <w:rPr>
                <w:rFonts w:ascii="Calibri" w:hAnsi="Calibri"/>
                <w:sz w:val="20"/>
              </w:rPr>
              <w:t>19/10/2026</w:t>
            </w:r>
          </w:p>
        </w:tc>
        <w:tc>
          <w:tcPr>
            <w:tcW w:type="dxa" w:w="1314"/>
            <w:vAlign w:val="center"/>
          </w:tcPr>
          <w:p>
            <w:pPr>
              <w:spacing w:before="79" w:after="79" w:line="276" w:lineRule="auto"/>
              <w:jc w:val="center"/>
            </w:pPr>
            <w:r>
              <w:rPr>
                <w:rFonts w:ascii="Calibri" w:hAnsi="Calibri"/>
                <w:sz w:val="20"/>
              </w:rPr>
              <w:t>4</w:t>
            </w:r>
          </w:p>
        </w:tc>
        <w:tc>
          <w:tcPr>
            <w:tcW w:type="dxa" w:w="4114"/>
            <w:vAlign w:val="center"/>
          </w:tcPr>
          <w:p>
            <w:pPr>
              <w:spacing w:before="79" w:after="79" w:line="276" w:lineRule="auto"/>
            </w:pPr>
            <w:r>
              <w:rPr>
                <w:rFonts w:ascii="Calibri" w:hAnsi="Calibri"/>
                <w:sz w:val="20"/>
              </w:rPr>
              <w:t>Unité du facteur de caractérisation du climat corrigée : m²HE par kg CO2 éq. et non « par kg et par an » (fiche A33, équation G3, partie 7) ; relevée par le contrôle dimensionnel ; aucun résultat ne change</w:t>
            </w:r>
          </w:p>
        </w:tc>
        <w:tc>
          <w:tcPr>
            <w:tcW w:type="dxa" w:w="2351"/>
            <w:vAlign w:val="center"/>
          </w:tcPr>
          <w:p>
            <w:pPr>
              <w:spacing w:before="79" w:after="79" w:line="276" w:lineRule="auto"/>
            </w:pPr>
            <w:r>
              <w:rPr>
                <w:rFonts w:ascii="Calibri" w:hAnsi="Calibri"/>
                <w:sz w:val="20"/>
              </w:rPr>
              <w:t>ce lot</w:t>
            </w:r>
          </w:p>
        </w:tc>
      </w:tr>
    </w:tbl>
    <w:p>
      <w:pPr>
        <w:pStyle w:val="Heading1"/>
        <w:keepNext/>
        <w:spacing w:before="397" w:after="170"/>
      </w:pPr>
      <w:r>
        <w:rPr>
          <w:rFonts w:ascii="Poppins" w:hAnsi="Poppins" w:cs="Poppins" w:eastAsia="Poppins"/>
          <w:color w:val="1A4F9C"/>
        </w:rPr>
        <w:t>Données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156"/>
        <w:gridCol w:w="1382"/>
        <w:gridCol w:w="977"/>
        <w:gridCol w:w="3060"/>
        <w:gridCol w:w="3060"/>
      </w:tblGrid>
      <w:tr>
        <w:trPr>
          <w:tblHeader/>
          <w:cantSplit/>
        </w:trPr>
        <w:tc>
          <w:tcPr>
            <w:tcW w:type="dxa" w:w="1157"/>
            <w:vAlign w:val="center"/>
            <w:shd w:val="clear" w:color="auto" w:fill="202335"/>
          </w:tcPr>
          <w:p>
            <w:pPr>
              <w:spacing w:before="79" w:after="79" w:line="276" w:lineRule="auto"/>
              <w:jc w:val="center"/>
            </w:pPr>
            <w:r>
              <w:rPr>
                <w:rFonts w:ascii="Calibri" w:hAnsi="Calibri"/>
                <w:b/>
                <w:color w:val="FFFFFF"/>
                <w:sz w:val="20"/>
              </w:rPr>
              <w:t>Version</w:t>
            </w:r>
          </w:p>
        </w:tc>
        <w:tc>
          <w:tcPr>
            <w:tcW w:type="dxa" w:w="1383"/>
            <w:vAlign w:val="center"/>
            <w:shd w:val="clear" w:color="auto" w:fill="202335"/>
          </w:tcPr>
          <w:p>
            <w:pPr>
              <w:spacing w:before="79" w:after="79" w:line="276" w:lineRule="auto"/>
            </w:pPr>
            <w:r>
              <w:rPr>
                <w:rFonts w:ascii="Calibri" w:hAnsi="Calibri"/>
                <w:b/>
                <w:color w:val="FFFFFF"/>
                <w:sz w:val="20"/>
              </w:rPr>
              <w:t>Date</w:t>
            </w:r>
          </w:p>
        </w:tc>
        <w:tc>
          <w:tcPr>
            <w:tcW w:type="dxa" w:w="978"/>
            <w:vAlign w:val="center"/>
            <w:shd w:val="clear" w:color="auto" w:fill="202335"/>
          </w:tcPr>
          <w:p>
            <w:pPr>
              <w:spacing w:before="79" w:after="79" w:line="276" w:lineRule="auto"/>
            </w:pPr>
            <w:r>
              <w:rPr>
                <w:rFonts w:ascii="Calibri" w:hAnsi="Calibri"/>
                <w:b/>
                <w:color w:val="FFFFFF"/>
                <w:sz w:val="20"/>
              </w:rPr>
              <w:t>Lot</w:t>
            </w:r>
          </w:p>
        </w:tc>
        <w:tc>
          <w:tcPr>
            <w:tcW w:type="dxa" w:w="3060"/>
            <w:vAlign w:val="center"/>
            <w:shd w:val="clear" w:color="auto" w:fill="202335"/>
          </w:tcPr>
          <w:p>
            <w:pPr>
              <w:spacing w:before="79" w:after="79" w:line="276" w:lineRule="auto"/>
            </w:pPr>
            <w:r>
              <w:rPr>
                <w:rFonts w:ascii="Calibri" w:hAnsi="Calibri"/>
                <w:b/>
                <w:color w:val="FFFFFF"/>
                <w:sz w:val="20"/>
              </w:rPr>
              <w:t>Changements</w:t>
            </w:r>
          </w:p>
        </w:tc>
        <w:tc>
          <w:tcPr>
            <w:tcW w:type="dxa" w:w="3060"/>
            <w:vAlign w:val="center"/>
            <w:shd w:val="clear" w:color="auto" w:fill="202335"/>
          </w:tcPr>
          <w:p>
            <w:pPr>
              <w:spacing w:before="79" w:after="79" w:line="276" w:lineRule="auto"/>
            </w:pPr>
            <w:r>
              <w:rPr>
                <w:rFonts w:ascii="Calibri" w:hAnsi="Calibri"/>
                <w:b/>
                <w:color w:val="FFFFFF"/>
                <w:sz w:val="20"/>
              </w:rPr>
              <w:t>Empreinte</w:t>
            </w:r>
          </w:p>
        </w:tc>
      </w:tr>
      <w:tr>
        <w:trPr>
          <w:cantSplit/>
        </w:trPr>
        <w:tc>
          <w:tcPr>
            <w:tcW w:type="dxa" w:w="1157"/>
            <w:vAlign w:val="center"/>
          </w:tcPr>
          <w:p>
            <w:pPr>
              <w:spacing w:before="79" w:after="79" w:line="276" w:lineRule="auto"/>
              <w:jc w:val="center"/>
            </w:pPr>
            <w:r>
              <w:rPr>
                <w:rFonts w:ascii="Calibri" w:hAnsi="Calibri"/>
                <w:sz w:val="20"/>
              </w:rPr>
              <w:t>0.1</w:t>
            </w:r>
          </w:p>
        </w:tc>
        <w:tc>
          <w:tcPr>
            <w:tcW w:type="dxa" w:w="1383"/>
            <w:vAlign w:val="center"/>
          </w:tcPr>
          <w:p>
            <w:pPr>
              <w:spacing w:before="79" w:after="79" w:line="276" w:lineRule="auto"/>
            </w:pPr>
            <w:r>
              <w:rPr>
                <w:rFonts w:ascii="Calibri" w:hAnsi="Calibri"/>
                <w:sz w:val="20"/>
              </w:rPr>
              <w:t>18/10/2026</w:t>
            </w:r>
          </w:p>
        </w:tc>
        <w:tc>
          <w:tcPr>
            <w:tcW w:type="dxa" w:w="978"/>
            <w:vAlign w:val="center"/>
          </w:tcPr>
          <w:p>
            <w:pPr>
              <w:spacing w:before="79" w:after="79" w:line="276" w:lineRule="auto"/>
              <w:jc w:val="center"/>
            </w:pPr>
            <w:r>
              <w:rPr>
                <w:rFonts w:ascii="Calibri" w:hAnsi="Calibri"/>
                <w:sz w:val="20"/>
              </w:rPr>
              <w:t>1</w:t>
            </w:r>
          </w:p>
        </w:tc>
        <w:tc>
          <w:tcPr>
            <w:tcW w:type="dxa" w:w="3060"/>
            <w:vAlign w:val="center"/>
          </w:tcPr>
          <w:p>
            <w:pPr>
              <w:spacing w:before="79" w:after="79" w:line="276" w:lineRule="auto"/>
            </w:pPr>
            <w:r>
              <w:rPr>
                <w:rFonts w:ascii="Calibri" w:hAnsi="Calibri"/>
                <w:sz w:val="20"/>
              </w:rPr>
              <w:t>Onze tables sourcées (habitats, sols, contexte, connectivité, nuisances, eau, matériaux, seuils, critères d'état, nomenclature, conventions) ; contrôle de couverture</w:t>
            </w:r>
          </w:p>
        </w:tc>
        <w:tc>
          <w:tcPr>
            <w:tcW w:type="dxa" w:w="3060"/>
            <w:vAlign w:val="center"/>
          </w:tcPr>
          <w:p>
            <w:pPr>
              <w:spacing w:before="79" w:after="79" w:line="276" w:lineRule="auto"/>
            </w:pPr>
            <w:r>
              <w:rPr>
                <w:rFonts w:ascii="Calibri" w:hAnsi="Calibri"/>
                <w:sz w:val="20"/>
              </w:rPr>
              <w:t>0249bab655b9f01412ee82db5e7a144c1fb6acbfc56f547c8087d7a0f5c38565</w:t>
            </w:r>
          </w:p>
        </w:tc>
      </w:tr>
      <w:tr>
        <w:trPr>
          <w:cantSplit/>
        </w:trPr>
        <w:tc>
          <w:tcPr>
            <w:tcW w:type="dxa" w:w="1157"/>
            <w:vAlign w:val="center"/>
          </w:tcPr>
          <w:p>
            <w:pPr>
              <w:spacing w:before="79" w:after="79" w:line="276" w:lineRule="auto"/>
              <w:jc w:val="center"/>
            </w:pPr>
            <w:r>
              <w:rPr>
                <w:rFonts w:ascii="Calibri" w:hAnsi="Calibri"/>
                <w:sz w:val="20"/>
              </w:rPr>
              <w:t>0.2</w:t>
            </w:r>
          </w:p>
        </w:tc>
        <w:tc>
          <w:tcPr>
            <w:tcW w:type="dxa" w:w="1383"/>
            <w:vAlign w:val="center"/>
          </w:tcPr>
          <w:p>
            <w:pPr>
              <w:spacing w:before="79" w:after="79" w:line="276" w:lineRule="auto"/>
            </w:pPr>
            <w:r>
              <w:rPr>
                <w:rFonts w:ascii="Calibri" w:hAnsi="Calibri"/>
                <w:sz w:val="20"/>
              </w:rPr>
              <w:t>18/10/2026</w:t>
            </w:r>
          </w:p>
        </w:tc>
        <w:tc>
          <w:tcPr>
            <w:tcW w:type="dxa" w:w="978"/>
            <w:vAlign w:val="center"/>
          </w:tcPr>
          <w:p>
            <w:pPr>
              <w:spacing w:before="79" w:after="79" w:line="276" w:lineRule="auto"/>
            </w:pPr>
            <w:r>
              <w:rPr>
                <w:rFonts w:ascii="Calibri" w:hAnsi="Calibri"/>
                <w:sz w:val="20"/>
              </w:rPr>
              <w:t>1 bis</w:t>
            </w:r>
          </w:p>
        </w:tc>
        <w:tc>
          <w:tcPr>
            <w:tcW w:type="dxa" w:w="3060"/>
            <w:vAlign w:val="center"/>
          </w:tcPr>
          <w:p>
            <w:pPr>
              <w:spacing w:before="79" w:after="79" w:line="276" w:lineRule="auto"/>
            </w:pPr>
            <w:r>
              <w:rPr>
                <w:rFonts w:ascii="Calibri" w:hAnsi="Calibri"/>
                <w:sz w:val="20"/>
              </w:rPr>
              <w:t>Délais d'amélioration de la métrique anglaise (onglet G-5), grille d'état des vergers, conventions de relevé</w:t>
            </w:r>
          </w:p>
        </w:tc>
        <w:tc>
          <w:tcPr>
            <w:tcW w:type="dxa" w:w="3060"/>
            <w:vAlign w:val="center"/>
          </w:tcPr>
          <w:p>
            <w:pPr>
              <w:spacing w:before="79" w:after="79" w:line="276" w:lineRule="auto"/>
            </w:pPr>
            <w:r>
              <w:rPr>
                <w:rFonts w:ascii="Calibri" w:hAnsi="Calibri"/>
                <w:sz w:val="20"/>
              </w:rPr>
              <w:t>b11168623de636d3d6311b09f5014676726bd35640e84be2cc2d9b7840af6023</w:t>
            </w:r>
          </w:p>
        </w:tc>
      </w:tr>
      <w:tr>
        <w:trPr>
          <w:cantSplit/>
        </w:trPr>
        <w:tc>
          <w:tcPr>
            <w:tcW w:type="dxa" w:w="1157"/>
            <w:vAlign w:val="center"/>
          </w:tcPr>
          <w:p>
            <w:pPr>
              <w:spacing w:before="79" w:after="79" w:line="276" w:lineRule="auto"/>
              <w:jc w:val="center"/>
            </w:pPr>
            <w:r>
              <w:rPr>
                <w:rFonts w:ascii="Calibri" w:hAnsi="Calibri"/>
                <w:sz w:val="20"/>
              </w:rPr>
              <w:t>1.0</w:t>
            </w:r>
          </w:p>
        </w:tc>
        <w:tc>
          <w:tcPr>
            <w:tcW w:type="dxa" w:w="1383"/>
            <w:vAlign w:val="center"/>
          </w:tcPr>
          <w:p>
            <w:pPr>
              <w:spacing w:before="79" w:after="79" w:line="276" w:lineRule="auto"/>
            </w:pPr>
            <w:r>
              <w:rPr>
                <w:rFonts w:ascii="Calibri" w:hAnsi="Calibri"/>
                <w:sz w:val="20"/>
              </w:rPr>
              <w:t>18/10/2026</w:t>
            </w:r>
          </w:p>
        </w:tc>
        <w:tc>
          <w:tcPr>
            <w:tcW w:type="dxa" w:w="978"/>
            <w:vAlign w:val="center"/>
          </w:tcPr>
          <w:p>
            <w:pPr>
              <w:spacing w:before="79" w:after="79" w:line="276" w:lineRule="auto"/>
            </w:pPr>
            <w:r>
              <w:rPr>
                <w:rFonts w:ascii="Calibri" w:hAnsi="Calibri"/>
                <w:sz w:val="20"/>
              </w:rPr>
              <w:t>1 ter</w:t>
            </w:r>
          </w:p>
        </w:tc>
        <w:tc>
          <w:tcPr>
            <w:tcW w:type="dxa" w:w="3060"/>
            <w:vAlign w:val="center"/>
          </w:tcPr>
          <w:p>
            <w:pPr>
              <w:spacing w:before="79" w:after="79" w:line="276" w:lineRule="auto"/>
            </w:pPr>
            <w:r>
              <w:rPr>
                <w:rFonts w:ascii="Calibri" w:hAnsi="Calibri"/>
                <w:sz w:val="20"/>
              </w:rPr>
              <w:t>Tables des modules dynamiques : climat (8 stations, normales Météo-France 1991-2020, fichiers horaires prospectifs à +2, +2,7 et +4 °C), hydrique, éclairage, succession, chantier</w:t>
            </w:r>
          </w:p>
        </w:tc>
        <w:tc>
          <w:tcPr>
            <w:tcW w:type="dxa" w:w="3060"/>
            <w:vAlign w:val="center"/>
          </w:tcPr>
          <w:p>
            <w:pPr>
              <w:spacing w:before="79" w:after="79" w:line="276" w:lineRule="auto"/>
            </w:pPr>
            <w:r>
              <w:rPr>
                <w:rFonts w:ascii="Calibri" w:hAnsi="Calibri"/>
                <w:sz w:val="20"/>
              </w:rPr>
              <w:t>d2c917c2b687eea2c0f34d92e403dabe7533e72b2a4062da90c9770f609a4836</w:t>
            </w:r>
          </w:p>
        </w:tc>
      </w:tr>
      <w:tr>
        <w:trPr>
          <w:cantSplit/>
        </w:trPr>
        <w:tc>
          <w:tcPr>
            <w:tcW w:type="dxa" w:w="1157"/>
            <w:vAlign w:val="center"/>
          </w:tcPr>
          <w:p>
            <w:pPr>
              <w:spacing w:before="79" w:after="79" w:line="276" w:lineRule="auto"/>
              <w:jc w:val="center"/>
            </w:pPr>
            <w:r>
              <w:rPr>
                <w:rFonts w:ascii="Calibri" w:hAnsi="Calibri"/>
                <w:sz w:val="20"/>
              </w:rPr>
              <w:t>1.1</w:t>
            </w:r>
          </w:p>
        </w:tc>
        <w:tc>
          <w:tcPr>
            <w:tcW w:type="dxa" w:w="1383"/>
            <w:vAlign w:val="center"/>
          </w:tcPr>
          <w:p>
            <w:pPr>
              <w:spacing w:before="79" w:after="79" w:line="276" w:lineRule="auto"/>
            </w:pPr>
            <w:r>
              <w:rPr>
                <w:rFonts w:ascii="Calibri" w:hAnsi="Calibri"/>
                <w:sz w:val="20"/>
              </w:rPr>
              <w:t>19/10/2026</w:t>
            </w:r>
          </w:p>
        </w:tc>
        <w:tc>
          <w:tcPr>
            <w:tcW w:type="dxa" w:w="978"/>
            <w:vAlign w:val="center"/>
          </w:tcPr>
          <w:p>
            <w:pPr>
              <w:spacing w:before="79" w:after="79" w:line="276" w:lineRule="auto"/>
            </w:pPr>
            <w:r>
              <w:rPr>
                <w:rFonts w:ascii="Calibri" w:hAnsi="Calibri"/>
                <w:sz w:val="20"/>
              </w:rPr>
              <w:t>1 ter</w:t>
            </w:r>
          </w:p>
        </w:tc>
        <w:tc>
          <w:tcPr>
            <w:tcW w:type="dxa" w:w="3060"/>
            <w:vAlign w:val="center"/>
          </w:tcPr>
          <w:p>
            <w:pPr>
              <w:spacing w:before="79" w:after="79" w:line="276" w:lineRule="auto"/>
            </w:pPr>
            <w:r>
              <w:rPr>
                <w:rFonts w:ascii="Calibri" w:hAnsi="Calibri"/>
                <w:sz w:val="20"/>
              </w:rPr>
              <w:t>Grille d'état de chaque type dans la nomenclature ; fourrés notés sur la grille EF1 et non EL1</w:t>
            </w:r>
          </w:p>
        </w:tc>
        <w:tc>
          <w:tcPr>
            <w:tcW w:type="dxa" w:w="3060"/>
            <w:vAlign w:val="center"/>
          </w:tcPr>
          <w:p>
            <w:pPr>
              <w:spacing w:before="79" w:after="79" w:line="276" w:lineRule="auto"/>
            </w:pPr>
            <w:r>
              <w:rPr>
                <w:rFonts w:ascii="Calibri" w:hAnsi="Calibri"/>
                <w:sz w:val="20"/>
              </w:rPr>
              <w:t>85500bf80d089f8c998fabc1e4f7d723d569b161f6661a7506fc3a818e34f1db</w:t>
            </w:r>
          </w:p>
        </w:tc>
      </w:tr>
      <w:tr>
        <w:trPr>
          <w:cantSplit/>
        </w:trPr>
        <w:tc>
          <w:tcPr>
            <w:tcW w:type="dxa" w:w="1157"/>
            <w:vAlign w:val="center"/>
          </w:tcPr>
          <w:p>
            <w:pPr>
              <w:spacing w:before="79" w:after="79" w:line="276" w:lineRule="auto"/>
              <w:jc w:val="center"/>
            </w:pPr>
            <w:r>
              <w:rPr>
                <w:rFonts w:ascii="Calibri" w:hAnsi="Calibri"/>
                <w:sz w:val="20"/>
              </w:rPr>
              <w:t>1.2</w:t>
            </w:r>
          </w:p>
        </w:tc>
        <w:tc>
          <w:tcPr>
            <w:tcW w:type="dxa" w:w="1383"/>
            <w:vAlign w:val="center"/>
          </w:tcPr>
          <w:p>
            <w:pPr>
              <w:spacing w:before="79" w:after="79" w:line="276" w:lineRule="auto"/>
            </w:pPr>
            <w:r>
              <w:rPr>
                <w:rFonts w:ascii="Calibri" w:hAnsi="Calibri"/>
                <w:sz w:val="20"/>
              </w:rPr>
              <w:t>19/10/2026</w:t>
            </w:r>
          </w:p>
        </w:tc>
        <w:tc>
          <w:tcPr>
            <w:tcW w:type="dxa" w:w="978"/>
            <w:vAlign w:val="center"/>
          </w:tcPr>
          <w:p>
            <w:pPr>
              <w:spacing w:before="79" w:after="79" w:line="276" w:lineRule="auto"/>
              <w:jc w:val="center"/>
            </w:pPr>
            <w:r>
              <w:rPr>
                <w:rFonts w:ascii="Calibri" w:hAnsi="Calibri"/>
                <w:sz w:val="20"/>
              </w:rPr>
              <w:t>2</w:t>
            </w:r>
          </w:p>
        </w:tc>
        <w:tc>
          <w:tcPr>
            <w:tcW w:type="dxa" w:w="3060"/>
            <w:vAlign w:val="center"/>
          </w:tcPr>
          <w:p>
            <w:pPr>
              <w:spacing w:before="79" w:after="79" w:line="276" w:lineRule="auto"/>
            </w:pPr>
            <w:r>
              <w:rPr>
                <w:rFonts w:ascii="Calibri" w:hAnsi="Calibri"/>
                <w:sz w:val="20"/>
              </w:rPr>
              <w:t>Constantes des équations publiées et valeurs de règle lues par le moteur (</w:t>
            </w:r>
            <w:r>
              <w:rPr>
                <w:rFonts w:ascii="Calibri" w:hAnsi="Calibri"/>
                <w:sz w:val="20"/>
              </w:rPr>
              <w:t>constantes.csv</w:t>
            </w:r>
            <w:r>
              <w:rPr>
                <w:rFonts w:ascii="Calibri" w:hAnsi="Calibri"/>
                <w:sz w:val="20"/>
              </w:rPr>
              <w:t>, 70 lignes : FAO-56, ISO 2533, raccourcis d'éclairage, heure légale, contrôles, incertitude) ; bornes des classes d'emprise (</w:t>
            </w:r>
            <w:r>
              <w:rPr>
                <w:rFonts w:ascii="Calibri" w:hAnsi="Calibri"/>
                <w:sz w:val="20"/>
              </w:rPr>
              <w:t>seuils.csv</w:t>
            </w:r>
            <w:r>
              <w:rPr>
                <w:rFonts w:ascii="Calibri" w:hAnsi="Calibri"/>
                <w:sz w:val="20"/>
              </w:rPr>
              <w:t>) ; part de valeurs primaires ou transposées : 92 %</w:t>
            </w:r>
          </w:p>
        </w:tc>
        <w:tc>
          <w:tcPr>
            <w:tcW w:type="dxa" w:w="3060"/>
            <w:vAlign w:val="center"/>
          </w:tcPr>
          <w:p>
            <w:pPr>
              <w:spacing w:before="79" w:after="79" w:line="276" w:lineRule="auto"/>
            </w:pPr>
            <w:r>
              <w:rPr>
                <w:rFonts w:ascii="Calibri" w:hAnsi="Calibri"/>
                <w:sz w:val="20"/>
              </w:rPr>
              <w:t>1e8f76c435feb0332e70096dff7f082f43f3498e4c163bee84a3e6cd2aefada0</w:t>
            </w:r>
          </w:p>
        </w:tc>
      </w:tr>
      <w:tr>
        <w:trPr>
          <w:cantSplit/>
        </w:trPr>
        <w:tc>
          <w:tcPr>
            <w:tcW w:type="dxa" w:w="1157"/>
            <w:vAlign w:val="center"/>
          </w:tcPr>
          <w:p>
            <w:pPr>
              <w:spacing w:before="79" w:after="79" w:line="276" w:lineRule="auto"/>
              <w:jc w:val="center"/>
            </w:pPr>
            <w:r>
              <w:rPr>
                <w:rFonts w:ascii="Calibri" w:hAnsi="Calibri"/>
                <w:sz w:val="20"/>
              </w:rPr>
              <w:t>1.2.1</w:t>
            </w:r>
          </w:p>
        </w:tc>
        <w:tc>
          <w:tcPr>
            <w:tcW w:type="dxa" w:w="1383"/>
            <w:vAlign w:val="center"/>
          </w:tcPr>
          <w:p>
            <w:pPr>
              <w:spacing w:before="79" w:after="79" w:line="276" w:lineRule="auto"/>
            </w:pPr>
            <w:r>
              <w:rPr>
                <w:rFonts w:ascii="Calibri" w:hAnsi="Calibri"/>
                <w:sz w:val="20"/>
              </w:rPr>
              <w:t>19/10/2026</w:t>
            </w:r>
          </w:p>
        </w:tc>
        <w:tc>
          <w:tcPr>
            <w:tcW w:type="dxa" w:w="978"/>
            <w:vAlign w:val="center"/>
          </w:tcPr>
          <w:p>
            <w:pPr>
              <w:spacing w:before="79" w:after="79" w:line="276" w:lineRule="auto"/>
              <w:jc w:val="center"/>
            </w:pPr>
            <w:r>
              <w:rPr>
                <w:rFonts w:ascii="Calibri" w:hAnsi="Calibri"/>
                <w:sz w:val="20"/>
              </w:rPr>
              <w:t>4</w:t>
            </w:r>
          </w:p>
        </w:tc>
        <w:tc>
          <w:tcPr>
            <w:tcW w:type="dxa" w:w="3060"/>
            <w:vAlign w:val="center"/>
          </w:tcPr>
          <w:p>
            <w:pPr>
              <w:spacing w:before="79" w:after="79" w:line="276" w:lineRule="auto"/>
            </w:pPr>
            <w:r>
              <w:rPr>
                <w:rFonts w:ascii="Calibri" w:hAnsi="Calibri"/>
                <w:sz w:val="20"/>
              </w:rPr>
              <w:t>materiaux.csv</w:t>
            </w:r>
            <w:r>
              <w:rPr>
                <w:rFonts w:ascii="Calibri" w:hAnsi="Calibri"/>
                <w:sz w:val="20"/>
              </w:rPr>
              <w:t>, climat, facteur de caractérisation : unité « m²HE par kg CO2 éq. » au lieu de « m²HE par kg CO2 éq. et par an », valeur inchangée (1,807 × 10⁻³). Effet sur les 73 cas du banc : aucun (instantané de non-régression identique hors empreinte)</w:t>
            </w:r>
          </w:p>
        </w:tc>
        <w:tc>
          <w:tcPr>
            <w:tcW w:type="dxa" w:w="3060"/>
            <w:vAlign w:val="center"/>
          </w:tcPr>
          <w:p>
            <w:pPr>
              <w:spacing w:before="79" w:after="79" w:line="276" w:lineRule="auto"/>
            </w:pPr>
            <w:r>
              <w:rPr>
                <w:rFonts w:ascii="Calibri" w:hAnsi="Calibri"/>
                <w:sz w:val="20"/>
              </w:rPr>
              <w:t>b320e8edd30696e070f202454ebece37b96b7b7f38f8bb0c6463f52db555c6de</w:t>
            </w:r>
          </w:p>
        </w:tc>
      </w:tr>
    </w:tbl>
    <w:p>
      <w:pPr>
        <w:pStyle w:val="Heading1"/>
        <w:keepNext/>
        <w:spacing w:before="397" w:after="170"/>
      </w:pPr>
      <w:r>
        <w:rPr>
          <w:rFonts w:ascii="Poppins" w:hAnsi="Poppins" w:cs="Poppins" w:eastAsia="Poppins"/>
          <w:color w:val="1A4F9C"/>
        </w:rPr>
        <w:t>Moteur</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483"/>
        <w:gridCol w:w="1773"/>
        <w:gridCol w:w="971"/>
        <w:gridCol w:w="3925"/>
        <w:gridCol w:w="1483"/>
      </w:tblGrid>
      <w:tr>
        <w:trPr>
          <w:tblHeader/>
          <w:cantSplit/>
        </w:trPr>
        <w:tc>
          <w:tcPr>
            <w:tcW w:type="dxa" w:w="1484"/>
            <w:vAlign w:val="center"/>
            <w:shd w:val="clear" w:color="auto" w:fill="202335"/>
          </w:tcPr>
          <w:p>
            <w:pPr>
              <w:keepNext/>
              <w:spacing w:before="79" w:after="79" w:line="276" w:lineRule="auto"/>
              <w:jc w:val="center"/>
            </w:pPr>
            <w:r>
              <w:rPr>
                <w:rFonts w:ascii="Calibri" w:hAnsi="Calibri"/>
                <w:b/>
                <w:color w:val="FFFFFF"/>
                <w:sz w:val="20"/>
              </w:rPr>
              <w:t>Version</w:t>
            </w:r>
          </w:p>
        </w:tc>
        <w:tc>
          <w:tcPr>
            <w:tcW w:type="dxa" w:w="1773"/>
            <w:vAlign w:val="center"/>
            <w:shd w:val="clear" w:color="auto" w:fill="202335"/>
          </w:tcPr>
          <w:p>
            <w:pPr>
              <w:keepNext/>
              <w:spacing w:before="79" w:after="79" w:line="276" w:lineRule="auto"/>
            </w:pPr>
            <w:r>
              <w:rPr>
                <w:rFonts w:ascii="Calibri" w:hAnsi="Calibri"/>
                <w:b/>
                <w:color w:val="FFFFFF"/>
                <w:sz w:val="20"/>
              </w:rPr>
              <w:t>Date</w:t>
            </w:r>
          </w:p>
        </w:tc>
        <w:tc>
          <w:tcPr>
            <w:tcW w:type="dxa" w:w="971"/>
            <w:vAlign w:val="center"/>
            <w:shd w:val="clear" w:color="auto" w:fill="202335"/>
          </w:tcPr>
          <w:p>
            <w:pPr>
              <w:keepNext/>
              <w:spacing w:before="79" w:after="79" w:line="276" w:lineRule="auto"/>
              <w:jc w:val="center"/>
            </w:pPr>
            <w:r>
              <w:rPr>
                <w:rFonts w:ascii="Calibri" w:hAnsi="Calibri"/>
                <w:b/>
                <w:color w:val="FFFFFF"/>
                <w:sz w:val="20"/>
              </w:rPr>
              <w:t>Lot</w:t>
            </w:r>
          </w:p>
        </w:tc>
        <w:tc>
          <w:tcPr>
            <w:tcW w:type="dxa" w:w="3926"/>
            <w:vAlign w:val="center"/>
            <w:shd w:val="clear" w:color="auto" w:fill="202335"/>
          </w:tcPr>
          <w:p>
            <w:pPr>
              <w:keepNext/>
              <w:spacing w:before="79" w:after="79" w:line="276" w:lineRule="auto"/>
            </w:pPr>
            <w:r>
              <w:rPr>
                <w:rFonts w:ascii="Calibri" w:hAnsi="Calibri"/>
                <w:b/>
                <w:color w:val="FFFFFF"/>
                <w:sz w:val="20"/>
              </w:rPr>
              <w:t>Changements</w:t>
            </w:r>
          </w:p>
        </w:tc>
        <w:tc>
          <w:tcPr>
            <w:tcW w:type="dxa" w:w="1484"/>
            <w:vAlign w:val="center"/>
            <w:shd w:val="clear" w:color="auto" w:fill="202335"/>
          </w:tcPr>
          <w:p>
            <w:pPr>
              <w:keepNext/>
              <w:spacing w:before="79" w:after="79" w:line="276" w:lineRule="auto"/>
            </w:pPr>
            <w:r>
              <w:rPr>
                <w:rFonts w:ascii="Calibri" w:hAnsi="Calibri"/>
                <w:b/>
                <w:color w:val="FFFFFF"/>
                <w:sz w:val="20"/>
              </w:rPr>
              <w:t>Commit</w:t>
            </w:r>
          </w:p>
        </w:tc>
      </w:tr>
      <w:tr>
        <w:trPr>
          <w:cantSplit/>
        </w:trPr>
        <w:tc>
          <w:tcPr>
            <w:tcW w:type="dxa" w:w="1484"/>
            <w:vAlign w:val="center"/>
          </w:tcPr>
          <w:p>
            <w:pPr>
              <w:keepNext/>
              <w:spacing w:before="79" w:after="79" w:line="276" w:lineRule="auto"/>
              <w:jc w:val="center"/>
            </w:pPr>
            <w:r>
              <w:rPr>
                <w:rFonts w:ascii="Calibri" w:hAnsi="Calibri"/>
                <w:sz w:val="20"/>
              </w:rPr>
              <w:t>0.1.0</w:t>
            </w:r>
          </w:p>
        </w:tc>
        <w:tc>
          <w:tcPr>
            <w:tcW w:type="dxa" w:w="1773"/>
            <w:vAlign w:val="center"/>
          </w:tcPr>
          <w:p>
            <w:pPr>
              <w:keepNext/>
              <w:spacing w:before="79" w:after="79" w:line="276" w:lineRule="auto"/>
            </w:pPr>
            <w:r>
              <w:rPr>
                <w:rFonts w:ascii="Calibri" w:hAnsi="Calibri"/>
                <w:sz w:val="20"/>
              </w:rPr>
              <w:t>19/10/2026</w:t>
            </w:r>
          </w:p>
        </w:tc>
        <w:tc>
          <w:tcPr>
            <w:tcW w:type="dxa" w:w="971"/>
            <w:vAlign w:val="center"/>
          </w:tcPr>
          <w:p>
            <w:pPr>
              <w:keepNext/>
              <w:spacing w:before="79" w:after="79" w:line="276" w:lineRule="auto"/>
              <w:jc w:val="center"/>
            </w:pPr>
            <w:r>
              <w:rPr>
                <w:rFonts w:ascii="Calibri" w:hAnsi="Calibri"/>
                <w:sz w:val="20"/>
              </w:rPr>
              <w:t>2</w:t>
            </w:r>
          </w:p>
        </w:tc>
        <w:tc>
          <w:tcPr>
            <w:tcW w:type="dxa" w:w="3926"/>
            <w:vAlign w:val="center"/>
          </w:tcPr>
          <w:p>
            <w:pPr>
              <w:keepNext/>
              <w:spacing w:before="79" w:after="79" w:line="276" w:lineRule="auto"/>
            </w:pPr>
            <w:r>
              <w:rPr>
                <w:rFonts w:ascii="Calibri" w:hAnsi="Calibri"/>
                <w:sz w:val="20"/>
              </w:rPr>
              <w:t>Moteur complet : modules E1 à E5, S, H, C, N, E, W, T, G ; incertitude par blocs avec reprise ; journal ; RSNat XML et JSON validés ; reprise du RSEE ; ligne de commande ; banc de 73 cas</w:t>
            </w:r>
          </w:p>
        </w:tc>
        <w:tc>
          <w:tcPr>
            <w:tcW w:type="dxa" w:w="1484"/>
            <w:vAlign w:val="center"/>
          </w:tcPr>
          <w:p>
            <w:pPr>
              <w:keepNext/>
              <w:spacing w:before="79" w:after="79" w:line="276" w:lineRule="auto"/>
            </w:pPr>
            <w:r>
              <w:rPr>
                <w:rFonts w:ascii="Calibri" w:hAnsi="Calibri"/>
                <w:sz w:val="20"/>
              </w:rPr>
              <w:t>f231b6e</w:t>
            </w:r>
          </w:p>
        </w:tc>
      </w:tr>
      <w:tr>
        <w:trPr>
          <w:cantSplit/>
        </w:trPr>
        <w:tc>
          <w:tcPr>
            <w:tcW w:type="dxa" w:w="1484"/>
            <w:vAlign w:val="center"/>
          </w:tcPr>
          <w:p>
            <w:pPr>
              <w:keepNext/>
              <w:spacing w:before="79" w:after="79" w:line="276" w:lineRule="auto"/>
              <w:jc w:val="center"/>
            </w:pPr>
            <w:r>
              <w:rPr>
                <w:rFonts w:ascii="Calibri" w:hAnsi="Calibri"/>
                <w:sz w:val="20"/>
              </w:rPr>
              <w:t>0.1.0</w:t>
            </w:r>
          </w:p>
        </w:tc>
        <w:tc>
          <w:tcPr>
            <w:tcW w:type="dxa" w:w="1773"/>
            <w:vAlign w:val="center"/>
          </w:tcPr>
          <w:p>
            <w:pPr>
              <w:keepNext/>
              <w:spacing w:before="79" w:after="79" w:line="276" w:lineRule="auto"/>
            </w:pPr>
            <w:r>
              <w:rPr>
                <w:rFonts w:ascii="Calibri" w:hAnsi="Calibri"/>
                <w:sz w:val="20"/>
              </w:rPr>
              <w:t>19/10/2026</w:t>
            </w:r>
          </w:p>
        </w:tc>
        <w:tc>
          <w:tcPr>
            <w:tcW w:type="dxa" w:w="971"/>
            <w:vAlign w:val="center"/>
          </w:tcPr>
          <w:p>
            <w:pPr>
              <w:keepNext/>
              <w:spacing w:before="79" w:after="79" w:line="276" w:lineRule="auto"/>
              <w:jc w:val="center"/>
            </w:pPr>
            <w:r>
              <w:rPr>
                <w:rFonts w:ascii="Calibri" w:hAnsi="Calibri"/>
                <w:sz w:val="20"/>
              </w:rPr>
              <w:t>3</w:t>
            </w:r>
          </w:p>
        </w:tc>
        <w:tc>
          <w:tcPr>
            <w:tcW w:type="dxa" w:w="3926"/>
            <w:vAlign w:val="center"/>
          </w:tcPr>
          <w:p>
            <w:pPr>
              <w:keepNext/>
              <w:spacing w:before="79" w:after="79" w:line="276" w:lineRule="auto"/>
            </w:pPr>
            <w:r>
              <w:rPr>
                <w:rFonts w:ascii="Calibri" w:hAnsi="Calibri"/>
                <w:sz w:val="20"/>
              </w:rPr>
              <w:t>Utilitaire de calcul (serveur local et page web) ; moteur inchangé</w:t>
            </w:r>
          </w:p>
        </w:tc>
        <w:tc>
          <w:tcPr>
            <w:tcW w:type="dxa" w:w="1484"/>
            <w:vAlign w:val="center"/>
          </w:tcPr>
          <w:p>
            <w:pPr>
              <w:keepNext/>
              <w:spacing w:before="79" w:after="79" w:line="276" w:lineRule="auto"/>
            </w:pPr>
            <w:r>
              <w:rPr>
                <w:rFonts w:ascii="Calibri" w:hAnsi="Calibri"/>
                <w:sz w:val="20"/>
              </w:rPr>
              <w:t>4e81637</w:t>
            </w:r>
          </w:p>
        </w:tc>
      </w:tr>
      <w:tr>
        <w:trPr>
          <w:cantSplit/>
        </w:trPr>
        <w:tc>
          <w:tcPr>
            <w:tcW w:type="dxa" w:w="1484"/>
            <w:vAlign w:val="center"/>
          </w:tcPr>
          <w:p>
            <w:pPr>
              <w:spacing w:before="79" w:after="79" w:line="276" w:lineRule="auto"/>
              <w:jc w:val="center"/>
            </w:pPr>
            <w:r>
              <w:rPr>
                <w:rFonts w:ascii="Calibri" w:hAnsi="Calibri"/>
                <w:sz w:val="20"/>
              </w:rPr>
              <w:t>0.2.0</w:t>
            </w:r>
          </w:p>
        </w:tc>
        <w:tc>
          <w:tcPr>
            <w:tcW w:type="dxa" w:w="1773"/>
            <w:vAlign w:val="center"/>
          </w:tcPr>
          <w:p>
            <w:pPr>
              <w:spacing w:before="79" w:after="79" w:line="276" w:lineRule="auto"/>
            </w:pPr>
            <w:r>
              <w:rPr>
                <w:rFonts w:ascii="Calibri" w:hAnsi="Calibri"/>
                <w:sz w:val="20"/>
              </w:rPr>
              <w:t>19/10/2026</w:t>
            </w:r>
          </w:p>
        </w:tc>
        <w:tc>
          <w:tcPr>
            <w:tcW w:type="dxa" w:w="971"/>
            <w:vAlign w:val="center"/>
          </w:tcPr>
          <w:p>
            <w:pPr>
              <w:spacing w:before="79" w:after="79" w:line="276" w:lineRule="auto"/>
              <w:jc w:val="center"/>
            </w:pPr>
            <w:r>
              <w:rPr>
                <w:rFonts w:ascii="Calibri" w:hAnsi="Calibri"/>
                <w:sz w:val="20"/>
              </w:rPr>
              <w:t>4</w:t>
            </w:r>
          </w:p>
        </w:tc>
        <w:tc>
          <w:tcPr>
            <w:tcW w:type="dxa" w:w="3926"/>
            <w:vAlign w:val="center"/>
          </w:tcPr>
          <w:p>
            <w:pPr>
              <w:spacing w:before="79" w:after="79" w:line="276" w:lineRule="auto"/>
            </w:pPr>
            <w:r>
              <w:rPr>
                <w:rFonts w:ascii="Calibri" w:hAnsi="Calibri"/>
                <w:sz w:val="20"/>
              </w:rPr>
              <w:t>Contrôle dimensionnel automatique (</w:t>
            </w:r>
            <w:r>
              <w:rPr>
                <w:rFonts w:ascii="Calibri" w:hAnsi="Calibri"/>
                <w:sz w:val="20"/>
              </w:rPr>
              <w:t>opennat/dimensions.py</w:t>
            </w:r>
            <w:r>
              <w:rPr>
                <w:rFonts w:ascii="Calibri" w:hAnsi="Calibri"/>
                <w:sz w:val="20"/>
              </w:rPr>
              <w:t xml:space="preserve">, exigence E12) appelé par </w:t>
            </w:r>
            <w:r>
              <w:rPr>
                <w:rFonts w:ascii="Calibri" w:hAnsi="Calibri"/>
                <w:sz w:val="20"/>
              </w:rPr>
              <w:t>opennat controle</w:t>
            </w:r>
            <w:r>
              <w:rPr>
                <w:rFonts w:ascii="Calibri" w:hAnsi="Calibri"/>
                <w:sz w:val="20"/>
              </w:rPr>
              <w:t xml:space="preserve"> ; banc de non-régression (38 930 grandeurs) ; 20 tests de propriétés ; contrôle d'ordre de grandeur du module G face à l'étude Carbone 4 ; guides utilisateur et contributeur</w:t>
            </w:r>
          </w:p>
        </w:tc>
        <w:tc>
          <w:tcPr>
            <w:tcW w:type="dxa" w:w="1484"/>
            <w:vAlign w:val="center"/>
          </w:tcPr>
          <w:p>
            <w:pPr>
              <w:spacing w:before="79" w:after="79" w:line="276" w:lineRule="auto"/>
            </w:pPr>
            <w:r>
              <w:rPr>
                <w:rFonts w:ascii="Calibri" w:hAnsi="Calibri"/>
                <w:sz w:val="20"/>
              </w:rPr>
              <w:t>ce lot</w:t>
            </w:r>
          </w:p>
        </w:tc>
      </w:tr>
    </w:tbl>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des versions d'OpenNAT</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