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13"/>
        <w:jc w:val="center"/>
      </w:pPr>
      <w:r>
        <w:drawing>
          <wp:inline xmlns:a="http://schemas.openxmlformats.org/drawingml/2006/main" xmlns:pic="http://schemas.openxmlformats.org/drawingml/2006/picture">
            <wp:extent cx="1800000" cy="407571"/>
            <wp:docPr id="1" name="Picture 1"/>
            <wp:cNvGraphicFramePr>
              <a:graphicFrameLocks noChangeAspect="1"/>
            </wp:cNvGraphicFramePr>
            <a:graphic>
              <a:graphicData uri="http://schemas.openxmlformats.org/drawingml/2006/picture">
                <pic:pic>
                  <pic:nvPicPr>
                    <pic:cNvPr id="0" name="opennat_logo.png"/>
                    <pic:cNvPicPr/>
                  </pic:nvPicPr>
                  <pic:blipFill>
                    <a:blip r:embed="rId13"/>
                    <a:stretch>
                      <a:fillRect/>
                    </a:stretch>
                  </pic:blipFill>
                  <pic:spPr>
                    <a:xfrm>
                      <a:off x="0" y="0"/>
                      <a:ext cx="1800000" cy="407571"/>
                    </a:xfrm>
                    <a:prstGeom prst="rect"/>
                  </pic:spPr>
                </pic:pic>
              </a:graphicData>
            </a:graphic>
          </wp:inline>
        </w:drawing>
      </w:r>
    </w:p>
    <w:p>
      <w:pPr>
        <w:pStyle w:val="Title"/>
        <w:spacing w:before="113" w:after="340"/>
      </w:pPr>
      <w:r>
        <w:rPr>
          <w:rFonts w:ascii="Poppins" w:hAnsi="Poppins" w:cs="Poppins" w:eastAsia="Poppins"/>
          <w:color w:val="0C3342"/>
        </w:rPr>
        <w:t>Guide utilisateur d'OpenNAT</w:t>
      </w:r>
    </w:p>
    <w:p>
      <w:pPr>
        <w:spacing w:before="57" w:after="227" w:line="288" w:lineRule="auto"/>
      </w:pPr>
      <w:r>
        <w:rPr>
          <w:rFonts w:ascii="Calibri" w:hAnsi="Calibri"/>
          <w:sz w:val="20"/>
        </w:rPr>
        <w:t>Outil de calcul OpenNAT édité par IRICE. Méthode OpenNAT 1, moteur 0.2.0, données 1.2.2. 19 octobre 2026. Méthode éditée par NORMATYS, en attente de validation du Biodiversity Standard Council : tant qu'elle n'est pas validée, ses seuils et ses résultats ne sont pas opposables.</w:t>
      </w:r>
    </w:p>
    <w:p>
      <w:pPr>
        <w:spacing w:before="57" w:after="227" w:line="288" w:lineRule="auto"/>
      </w:pPr>
      <w:r>
        <w:rPr>
          <w:rFonts w:ascii="Calibri" w:hAnsi="Calibri"/>
          <w:sz w:val="20"/>
        </w:rPr>
        <w:t>Ce guide s'adresse au bureau d'études ou à l'écologue qui calcule un projet. Il dit quelles données réunir, comment les saisir, comment lancer le calcul et comment lire les résultats. Le détail des calculs est dans le texte de la méthode (fiches algorithmes de la partie 3) ; les valeurs employées sont dans les tables de données (partie 2).</w:t>
      </w:r>
    </w:p>
    <w:p>
      <w:pPr>
        <w:pStyle w:val="Heading1"/>
        <w:keepNext/>
        <w:spacing w:before="397" w:after="170"/>
      </w:pPr>
      <w:r>
        <w:rPr>
          <w:rFonts w:ascii="Poppins" w:hAnsi="Poppins" w:cs="Poppins" w:eastAsia="Poppins"/>
          <w:color w:val="0C3342"/>
        </w:rPr>
        <w:t>Ce que calcule OpenNAT</w:t>
      </w:r>
    </w:p>
    <w:p>
      <w:pPr>
        <w:spacing w:before="57" w:after="227" w:line="288" w:lineRule="auto"/>
      </w:pPr>
      <w:r>
        <w:rPr>
          <w:rFonts w:ascii="Calibri" w:hAnsi="Calibri"/>
          <w:sz w:val="20"/>
        </w:rPr>
        <w:t>OpenNAT compare, sur 50 ans, la valeur écologique du site avant et après le projet, et y ajoute la nature consommée ailleurs par les matériaux et le chantier. Comme la RE2020 pour le carbone, le calcul est conventionnel : il ne prédit pas ce qui arrivera au site, il compare des projets entre eux sous des règles communes.</w:t>
      </w:r>
    </w:p>
    <w:tbl>
      <w:tblPr>
        <w:tblStyle w:val="TableGrid"/>
        <w:tblW w:type="auto" w:w="0"/>
        <w:jc w:val="center"/>
        <w:tblLook w:firstColumn="1" w:firstRow="1" w:lastColumn="0" w:lastRow="0" w:noHBand="0" w:noVBand="1" w:val="04A0"/>
        <w:tblBorders>
          <w:top w:val="single" w:sz="4" w:space="0" w:color="CFD6D9"/>
          <w:left w:val="single" w:sz="4" w:space="0" w:color="CFD6D9"/>
          <w:bottom w:val="single" w:sz="4" w:space="0" w:color="CFD6D9"/>
          <w:right w:val="single" w:sz="4" w:space="0" w:color="CFD6D9"/>
          <w:insideH w:val="single" w:sz="4" w:space="0" w:color="CFD6D9"/>
          <w:insideV w:val="single" w:sz="4" w:space="0" w:color="CFD6D9"/>
        </w:tblBorders>
        <w:tblLayout w:type="fixed"/>
      </w:tblPr>
      <w:tblGrid>
        <w:gridCol w:w="1927"/>
        <w:gridCol w:w="6096"/>
        <w:gridCol w:w="1613"/>
      </w:tblGrid>
      <w:tr>
        <w:trPr>
          <w:tblHeader/>
          <w:cantSplit/>
        </w:trPr>
        <w:tc>
          <w:tcPr>
            <w:tcW w:type="dxa" w:w="1928"/>
            <w:vAlign w:val="center"/>
            <w:shd w:val="clear" w:color="auto" w:fill="0C3342"/>
          </w:tcPr>
          <w:p>
            <w:pPr>
              <w:keepNext/>
              <w:spacing w:before="79" w:after="79" w:line="276" w:lineRule="auto"/>
            </w:pPr>
            <w:r>
              <w:rPr>
                <w:rFonts w:ascii="Calibri" w:hAnsi="Calibri"/>
                <w:b/>
                <w:color w:val="FFFFFF"/>
                <w:sz w:val="20"/>
              </w:rPr>
              <w:t>Indicateur</w:t>
            </w:r>
          </w:p>
        </w:tc>
        <w:tc>
          <w:tcPr>
            <w:tcW w:type="dxa" w:w="6097"/>
            <w:vAlign w:val="center"/>
            <w:shd w:val="clear" w:color="auto" w:fill="0C3342"/>
          </w:tcPr>
          <w:p>
            <w:pPr>
              <w:keepNext/>
              <w:spacing w:before="79" w:after="79" w:line="276" w:lineRule="auto"/>
            </w:pPr>
            <w:r>
              <w:rPr>
                <w:rFonts w:ascii="Calibri" w:hAnsi="Calibri"/>
                <w:b/>
                <w:color w:val="FFFFFF"/>
                <w:sz w:val="20"/>
              </w:rPr>
              <w:t>Ce qu'il mesure</w:t>
            </w:r>
          </w:p>
        </w:tc>
        <w:tc>
          <w:tcPr>
            <w:tcW w:type="dxa" w:w="1613"/>
            <w:vAlign w:val="center"/>
            <w:shd w:val="clear" w:color="auto" w:fill="0C3342"/>
          </w:tcPr>
          <w:p>
            <w:pPr>
              <w:keepNext/>
              <w:spacing w:before="79" w:after="79" w:line="276" w:lineRule="auto"/>
            </w:pPr>
            <w:r>
              <w:rPr>
                <w:rFonts w:ascii="Calibri" w:hAnsi="Calibri"/>
                <w:b/>
                <w:color w:val="FFFFFF"/>
                <w:sz w:val="20"/>
              </w:rPr>
              <w:t>Unité</w:t>
            </w:r>
          </w:p>
        </w:tc>
      </w:tr>
      <w:tr>
        <w:trPr>
          <w:cantSplit/>
        </w:trPr>
        <w:tc>
          <w:tcPr>
            <w:tcW w:type="dxa" w:w="1928"/>
            <w:vAlign w:val="center"/>
          </w:tcPr>
          <w:p>
            <w:pPr>
              <w:keepNext/>
              <w:spacing w:before="79" w:after="79" w:line="276" w:lineRule="auto"/>
            </w:pPr>
            <w:r>
              <w:rPr>
                <w:rFonts w:ascii="Calibri" w:hAnsi="Calibri"/>
                <w:sz w:val="20"/>
              </w:rPr>
              <w:t>Cnat</w:t>
            </w:r>
          </w:p>
        </w:tc>
        <w:tc>
          <w:tcPr>
            <w:tcW w:type="dxa" w:w="6097"/>
            <w:vAlign w:val="center"/>
          </w:tcPr>
          <w:p>
            <w:pPr>
              <w:keepNext/>
              <w:spacing w:before="79" w:after="79" w:line="276" w:lineRule="auto"/>
            </w:pPr>
            <w:r>
              <w:rPr>
                <w:rFonts w:ascii="Calibri" w:hAnsi="Calibri"/>
                <w:sz w:val="20"/>
              </w:rPr>
              <w:t>Consommation de nature sur le site : valeur du site sans projet intégrée sur 50 ans, moins celle du site avec projet, plus le supplément dû à une destruction en période sensible. Négatif, c'est un gain</w:t>
            </w:r>
          </w:p>
        </w:tc>
        <w:tc>
          <w:tcPr>
            <w:tcW w:type="dxa" w:w="1613"/>
            <w:vAlign w:val="center"/>
          </w:tcPr>
          <w:p>
            <w:pPr>
              <w:keepNext/>
              <w:spacing w:before="79" w:after="79" w:line="276" w:lineRule="auto"/>
            </w:pPr>
            <w:r>
              <w:rPr>
                <w:rFonts w:ascii="Calibri" w:hAnsi="Calibri"/>
                <w:sz w:val="20"/>
              </w:rPr>
              <w:t>m²HE·an</w:t>
            </w:r>
          </w:p>
        </w:tc>
      </w:tr>
      <w:tr>
        <w:trPr>
          <w:cantSplit/>
        </w:trPr>
        <w:tc>
          <w:tcPr>
            <w:tcW w:type="dxa" w:w="1928"/>
            <w:vAlign w:val="center"/>
          </w:tcPr>
          <w:p>
            <w:pPr>
              <w:keepNext/>
              <w:spacing w:before="79" w:after="79" w:line="276" w:lineRule="auto"/>
            </w:pPr>
            <w:r>
              <w:rPr>
                <w:rFonts w:ascii="Calibri" w:hAnsi="Calibri"/>
                <w:sz w:val="20"/>
              </w:rPr>
              <w:t>Inat</w:t>
            </w:r>
          </w:p>
        </w:tc>
        <w:tc>
          <w:tcPr>
            <w:tcW w:type="dxa" w:w="6097"/>
            <w:vAlign w:val="center"/>
          </w:tcPr>
          <w:p>
            <w:pPr>
              <w:keepNext/>
              <w:spacing w:before="79" w:after="79" w:line="276" w:lineRule="auto"/>
            </w:pPr>
            <w:r>
              <w:rPr>
                <w:rFonts w:ascii="Calibri" w:hAnsi="Calibri"/>
                <w:sz w:val="20"/>
              </w:rPr>
              <w:t>Biodiversité grise : climat (émissions de l'ACV), forêts exploitées pour le bois, carrières</w:t>
            </w:r>
          </w:p>
        </w:tc>
        <w:tc>
          <w:tcPr>
            <w:tcW w:type="dxa" w:w="1613"/>
            <w:vAlign w:val="center"/>
          </w:tcPr>
          <w:p>
            <w:pPr>
              <w:keepNext/>
              <w:spacing w:before="79" w:after="79" w:line="276" w:lineRule="auto"/>
            </w:pPr>
            <w:r>
              <w:rPr>
                <w:rFonts w:ascii="Calibri" w:hAnsi="Calibri"/>
                <w:sz w:val="20"/>
              </w:rPr>
              <w:t>m²HE·an</w:t>
            </w:r>
          </w:p>
        </w:tc>
      </w:tr>
      <w:tr>
        <w:trPr>
          <w:cantSplit/>
        </w:trPr>
        <w:tc>
          <w:tcPr>
            <w:tcW w:type="dxa" w:w="1928"/>
            <w:vAlign w:val="center"/>
          </w:tcPr>
          <w:p>
            <w:pPr>
              <w:keepNext/>
              <w:spacing w:before="79" w:after="79" w:line="276" w:lineRule="auto"/>
            </w:pPr>
            <w:r>
              <w:rPr>
                <w:rFonts w:ascii="Calibri" w:hAnsi="Calibri"/>
                <w:sz w:val="20"/>
              </w:rPr>
              <w:t>Snat</w:t>
            </w:r>
          </w:p>
        </w:tc>
        <w:tc>
          <w:tcPr>
            <w:tcW w:type="dxa" w:w="6097"/>
            <w:vAlign w:val="center"/>
          </w:tcPr>
          <w:p>
            <w:pPr>
              <w:keepNext/>
              <w:spacing w:before="79" w:after="79" w:line="276" w:lineRule="auto"/>
            </w:pPr>
            <w:r>
              <w:rPr>
                <w:rFonts w:ascii="Calibri" w:hAnsi="Calibri"/>
                <w:sz w:val="20"/>
              </w:rPr>
              <w:t>Solde de nature : -(Cnat + Inat). Positif, le projet rend plus qu'il ne prend</w:t>
            </w:r>
          </w:p>
        </w:tc>
        <w:tc>
          <w:tcPr>
            <w:tcW w:type="dxa" w:w="1613"/>
            <w:vAlign w:val="center"/>
          </w:tcPr>
          <w:p>
            <w:pPr>
              <w:keepNext/>
              <w:spacing w:before="79" w:after="79" w:line="276" w:lineRule="auto"/>
            </w:pPr>
            <w:r>
              <w:rPr>
                <w:rFonts w:ascii="Calibri" w:hAnsi="Calibri"/>
                <w:sz w:val="20"/>
              </w:rPr>
              <w:t>m²HE·an</w:t>
            </w:r>
          </w:p>
        </w:tc>
      </w:tr>
      <w:tr>
        <w:trPr>
          <w:cantSplit/>
        </w:trPr>
        <w:tc>
          <w:tcPr>
            <w:tcW w:type="dxa" w:w="1928"/>
            <w:vAlign w:val="center"/>
          </w:tcPr>
          <w:p>
            <w:pPr>
              <w:keepNext/>
              <w:spacing w:before="79" w:after="79" w:line="276" w:lineRule="auto"/>
            </w:pPr>
            <w:r>
              <w:rPr>
                <w:rFonts w:ascii="Calibri" w:hAnsi="Calibri"/>
                <w:sz w:val="20"/>
              </w:rPr>
              <w:t>Bnat</w:t>
            </w:r>
          </w:p>
        </w:tc>
        <w:tc>
          <w:tcPr>
            <w:tcW w:type="dxa" w:w="6097"/>
            <w:vAlign w:val="center"/>
          </w:tcPr>
          <w:p>
            <w:pPr>
              <w:keepNext/>
              <w:spacing w:before="79" w:after="79" w:line="276" w:lineRule="auto"/>
            </w:pPr>
            <w:r>
              <w:rPr>
                <w:rFonts w:ascii="Calibri" w:hAnsi="Calibri"/>
                <w:sz w:val="20"/>
              </w:rPr>
              <w:t>Coefficient de biotope de l'état projet, en points (100 points pour un coefficient de 1)</w:t>
            </w:r>
          </w:p>
        </w:tc>
        <w:tc>
          <w:tcPr>
            <w:tcW w:type="dxa" w:w="1613"/>
            <w:vAlign w:val="center"/>
          </w:tcPr>
          <w:p>
            <w:pPr>
              <w:keepNext/>
              <w:spacing w:before="79" w:after="79" w:line="276" w:lineRule="auto"/>
            </w:pPr>
            <w:r>
              <w:rPr>
                <w:rFonts w:ascii="Calibri" w:hAnsi="Calibri"/>
                <w:sz w:val="20"/>
              </w:rPr>
              <w:t>points</w:t>
            </w:r>
          </w:p>
        </w:tc>
      </w:tr>
      <w:tr>
        <w:trPr>
          <w:cantSplit/>
        </w:trPr>
        <w:tc>
          <w:tcPr>
            <w:tcW w:type="dxa" w:w="1928"/>
            <w:vAlign w:val="center"/>
          </w:tcPr>
          <w:p>
            <w:pPr>
              <w:spacing w:before="79" w:after="79" w:line="276" w:lineRule="auto"/>
            </w:pPr>
            <w:r>
              <w:rPr>
                <w:rFonts w:ascii="Calibri" w:hAnsi="Calibri"/>
                <w:sz w:val="20"/>
              </w:rPr>
              <w:t>Niveau</w:t>
            </w:r>
          </w:p>
        </w:tc>
        <w:tc>
          <w:tcPr>
            <w:tcW w:type="dxa" w:w="6097"/>
            <w:vAlign w:val="center"/>
          </w:tcPr>
          <w:p>
            <w:pPr>
              <w:spacing w:before="79" w:after="79" w:line="276" w:lineRule="auto"/>
            </w:pPr>
            <w:r>
              <w:rPr>
                <w:rFonts w:ascii="Calibri" w:hAnsi="Calibri"/>
                <w:sz w:val="20"/>
              </w:rPr>
              <w:t>0, 1 (Cnat nul ou négatif) ou 2 (gain d'au moins 10 % de la valeur initiale intégrée)</w:t>
            </w:r>
          </w:p>
        </w:tc>
        <w:tc>
          <w:tcPr>
            <w:tcW w:type="dxa" w:w="1613"/>
            <w:vAlign w:val="center"/>
          </w:tcPr>
          <w:p>
            <w:pPr>
              <w:spacing w:before="79" w:after="79" w:line="276" w:lineRule="auto"/>
            </w:pPr>
          </w:p>
        </w:tc>
      </w:tr>
    </w:tbl>
    <w:p>
      <w:pPr>
        <w:spacing w:before="57" w:after="227" w:line="288" w:lineRule="auto"/>
      </w:pPr>
      <w:r>
        <w:rPr>
          <w:rFonts w:ascii="Calibri" w:hAnsi="Calibri"/>
          <w:sz w:val="20"/>
        </w:rPr>
        <w:t>Un m²HE est un mètre carré d'habitat de qualité 1 : une prairie de valeur 0,5 sur 1 000 m² vaut 500 m²HE. Un m²HE·an est un m²HE pendant un an.</w:t>
      </w:r>
    </w:p>
    <w:p>
      <w:pPr>
        <w:spacing w:before="57" w:after="227" w:line="288" w:lineRule="auto"/>
      </w:pPr>
      <w:r>
        <w:rPr>
          <w:rFonts w:ascii="Calibri" w:hAnsi="Calibri"/>
          <w:sz w:val="20"/>
        </w:rPr>
        <w:t>Le calcul suit le climat du site heure par heure (fichiers prospectifs de Météo-France pour la trajectoire de réchauffement de référence, TRACC) : bilan hydrique des sols, des toitures et des mares, éclairage nocturne, maturation des plantations, gestion après livraison, calendrier du chantier. Une analyse d'incertitude (1 000 tirages par défaut) donne l'intervalle de chaque indicateur et les cinq paramètres qui pèsent le plus.</w:t>
      </w:r>
    </w:p>
    <w:p>
      <w:pPr>
        <w:pStyle w:val="Heading1"/>
        <w:keepNext/>
        <w:spacing w:before="397" w:after="170"/>
      </w:pPr>
      <w:r>
        <w:rPr>
          <w:rFonts w:ascii="Poppins" w:hAnsi="Poppins" w:cs="Poppins" w:eastAsia="Poppins"/>
          <w:color w:val="0C3342"/>
        </w:rPr>
        <w:t>Installer</w:t>
      </w:r>
    </w:p>
    <w:p>
      <w:pPr>
        <w:spacing w:before="57" w:after="227" w:line="288" w:lineRule="auto"/>
      </w:pPr>
      <w:r>
        <w:rPr>
          <w:rFonts w:ascii="Calibri" w:hAnsi="Calibri"/>
          <w:sz w:val="20"/>
        </w:rPr>
        <w:t>OpenNAT demande Python 3.11 ou plus, avec numpy et lxml ; python-docx pour la fiche de synthèse en Word, et LibreOffice pour la fiche en PDF.</w:t>
      </w:r>
    </w:p>
    <w:p>
      <w:pPr>
        <w:spacing w:before="57" w:after="227" w:line="288" w:lineRule="auto"/>
      </w:pPr>
      <w:r>
        <w:rPr>
          <w:rFonts w:ascii="Calibri" w:hAnsi="Calibri"/>
          <w:sz w:val="20"/>
        </w:rPr>
        <w:t>pip install numpy lxml python-docx</w:t>
      </w:r>
    </w:p>
    <w:p>
      <w:pPr>
        <w:spacing w:before="57" w:after="227" w:line="288" w:lineRule="auto"/>
      </w:pPr>
      <w:r>
        <w:rPr>
          <w:rFonts w:ascii="Calibri" w:hAnsi="Calibri"/>
          <w:sz w:val="20"/>
        </w:rPr>
        <w:t>python -m opennat controle</w:t>
      </w:r>
    </w:p>
    <w:p>
      <w:pPr>
        <w:spacing w:before="57" w:after="227" w:line="288" w:lineRule="auto"/>
      </w:pPr>
      <w:r>
        <w:rPr>
          <w:rFonts w:ascii="Calibri" w:hAnsi="Calibri"/>
          <w:sz w:val="20"/>
        </w:rPr>
        <w:t>La seconde commande contrôle les tables de données et la cohérence des unités ; elle doit finir par « aucune incohérence ».</w:t>
      </w:r>
    </w:p>
    <w:p>
      <w:pPr>
        <w:pStyle w:val="Heading1"/>
        <w:keepNext/>
        <w:spacing w:before="397" w:after="170"/>
      </w:pPr>
      <w:r>
        <w:rPr>
          <w:rFonts w:ascii="Poppins" w:hAnsi="Poppins" w:cs="Poppins" w:eastAsia="Poppins"/>
          <w:color w:val="0C3342"/>
        </w:rPr>
        <w:t>Réunir les données</w:t>
      </w:r>
    </w:p>
    <w:tbl>
      <w:tblPr>
        <w:tblStyle w:val="TableGrid"/>
        <w:tblW w:type="auto" w:w="0"/>
        <w:jc w:val="center"/>
        <w:tblLook w:firstColumn="1" w:firstRow="1" w:lastColumn="0" w:lastRow="0" w:noHBand="0" w:noVBand="1" w:val="04A0"/>
        <w:tblBorders>
          <w:top w:val="single" w:sz="4" w:space="0" w:color="CFD6D9"/>
          <w:left w:val="single" w:sz="4" w:space="0" w:color="CFD6D9"/>
          <w:bottom w:val="single" w:sz="4" w:space="0" w:color="CFD6D9"/>
          <w:right w:val="single" w:sz="4" w:space="0" w:color="CFD6D9"/>
          <w:insideH w:val="single" w:sz="4" w:space="0" w:color="CFD6D9"/>
          <w:insideV w:val="single" w:sz="4" w:space="0" w:color="CFD6D9"/>
        </w:tblBorders>
        <w:tblLayout w:type="fixed"/>
      </w:tblPr>
      <w:tblGrid>
        <w:gridCol w:w="4386"/>
        <w:gridCol w:w="3193"/>
        <w:gridCol w:w="2057"/>
      </w:tblGrid>
      <w:tr>
        <w:trPr>
          <w:tblHeader/>
          <w:cantSplit/>
        </w:trPr>
        <w:tc>
          <w:tcPr>
            <w:tcW w:type="dxa" w:w="4387"/>
            <w:vAlign w:val="center"/>
            <w:shd w:val="clear" w:color="auto" w:fill="0C3342"/>
          </w:tcPr>
          <w:p>
            <w:pPr>
              <w:keepNext/>
              <w:spacing w:before="79" w:after="79" w:line="276" w:lineRule="auto"/>
            </w:pPr>
            <w:r>
              <w:rPr>
                <w:rFonts w:ascii="Calibri" w:hAnsi="Calibri"/>
                <w:b/>
                <w:color w:val="FFFFFF"/>
                <w:sz w:val="20"/>
              </w:rPr>
              <w:t>Donnée</w:t>
            </w:r>
          </w:p>
        </w:tc>
        <w:tc>
          <w:tcPr>
            <w:tcW w:type="dxa" w:w="3194"/>
            <w:vAlign w:val="center"/>
            <w:shd w:val="clear" w:color="auto" w:fill="0C3342"/>
          </w:tcPr>
          <w:p>
            <w:pPr>
              <w:keepNext/>
              <w:spacing w:before="79" w:after="79" w:line="276" w:lineRule="auto"/>
            </w:pPr>
            <w:r>
              <w:rPr>
                <w:rFonts w:ascii="Calibri" w:hAnsi="Calibri"/>
                <w:b/>
                <w:color w:val="FFFFFF"/>
                <w:sz w:val="20"/>
              </w:rPr>
              <w:t>Où la trouver</w:t>
            </w:r>
          </w:p>
        </w:tc>
        <w:tc>
          <w:tcPr>
            <w:tcW w:type="dxa" w:w="2058"/>
            <w:vAlign w:val="center"/>
            <w:shd w:val="clear" w:color="auto" w:fill="0C3342"/>
          </w:tcPr>
          <w:p>
            <w:pPr>
              <w:keepNext/>
              <w:spacing w:before="79" w:after="79" w:line="276" w:lineRule="auto"/>
            </w:pPr>
            <w:r>
              <w:rPr>
                <w:rFonts w:ascii="Calibri" w:hAnsi="Calibri"/>
                <w:b/>
                <w:color w:val="FFFFFF"/>
                <w:sz w:val="20"/>
              </w:rPr>
              <w:t>Obligatoire</w:t>
            </w:r>
          </w:p>
        </w:tc>
      </w:tr>
      <w:tr>
        <w:trPr>
          <w:cantSplit/>
        </w:trPr>
        <w:tc>
          <w:tcPr>
            <w:tcW w:type="dxa" w:w="4387"/>
            <w:vAlign w:val="center"/>
          </w:tcPr>
          <w:p>
            <w:pPr>
              <w:keepNext/>
              <w:spacing w:before="79" w:after="79" w:line="276" w:lineRule="auto"/>
            </w:pPr>
            <w:r>
              <w:rPr>
                <w:rFonts w:ascii="Calibri" w:hAnsi="Calibri"/>
                <w:sz w:val="20"/>
              </w:rPr>
              <w:t>Surface de la parcelle, zone biogéographique, typologie (logement, tertiaire, industrie, aménagement), zone climatique</w:t>
            </w:r>
          </w:p>
        </w:tc>
        <w:tc>
          <w:tcPr>
            <w:tcW w:type="dxa" w:w="3194"/>
            <w:vAlign w:val="center"/>
          </w:tcPr>
          <w:p>
            <w:pPr>
              <w:keepNext/>
              <w:spacing w:before="79" w:after="79" w:line="276" w:lineRule="auto"/>
            </w:pPr>
            <w:r>
              <w:rPr>
                <w:rFonts w:ascii="Calibri" w:hAnsi="Calibri"/>
                <w:sz w:val="20"/>
              </w:rPr>
              <w:t>dossier de permis, RSEE</w:t>
            </w:r>
          </w:p>
        </w:tc>
        <w:tc>
          <w:tcPr>
            <w:tcW w:type="dxa" w:w="2058"/>
            <w:vAlign w:val="center"/>
          </w:tcPr>
          <w:p>
            <w:pPr>
              <w:keepNext/>
              <w:spacing w:before="79" w:after="79" w:line="276" w:lineRule="auto"/>
            </w:pPr>
            <w:r>
              <w:rPr>
                <w:rFonts w:ascii="Calibri" w:hAnsi="Calibri"/>
                <w:sz w:val="20"/>
              </w:rPr>
              <w:t>oui</w:t>
            </w:r>
          </w:p>
        </w:tc>
      </w:tr>
      <w:tr>
        <w:trPr>
          <w:cantSplit/>
        </w:trPr>
        <w:tc>
          <w:tcPr>
            <w:tcW w:type="dxa" w:w="4387"/>
            <w:vAlign w:val="center"/>
          </w:tcPr>
          <w:p>
            <w:pPr>
              <w:keepNext/>
              <w:spacing w:before="79" w:after="79" w:line="276" w:lineRule="auto"/>
            </w:pPr>
            <w:r>
              <w:rPr>
                <w:rFonts w:ascii="Calibri" w:hAnsi="Calibri"/>
                <w:sz w:val="20"/>
              </w:rPr>
              <w:t>État initial : chaque unité de végétation ou de surface, avec son type, sa surface et son état</w:t>
            </w:r>
          </w:p>
        </w:tc>
        <w:tc>
          <w:tcPr>
            <w:tcW w:type="dxa" w:w="3194"/>
            <w:vAlign w:val="center"/>
          </w:tcPr>
          <w:p>
            <w:pPr>
              <w:keepNext/>
              <w:spacing w:before="79" w:after="79" w:line="276" w:lineRule="auto"/>
            </w:pPr>
            <w:r>
              <w:rPr>
                <w:rFonts w:ascii="Calibri" w:hAnsi="Calibri"/>
                <w:sz w:val="20"/>
              </w:rPr>
              <w:t>relevé de terrain selon les protocoles de la partie 6</w:t>
            </w:r>
          </w:p>
        </w:tc>
        <w:tc>
          <w:tcPr>
            <w:tcW w:type="dxa" w:w="2058"/>
            <w:vAlign w:val="center"/>
          </w:tcPr>
          <w:p>
            <w:pPr>
              <w:keepNext/>
              <w:spacing w:before="79" w:after="79" w:line="276" w:lineRule="auto"/>
            </w:pPr>
            <w:r>
              <w:rPr>
                <w:rFonts w:ascii="Calibri" w:hAnsi="Calibri"/>
                <w:sz w:val="20"/>
              </w:rPr>
              <w:t>oui</w:t>
            </w:r>
          </w:p>
        </w:tc>
      </w:tr>
      <w:tr>
        <w:trPr>
          <w:cantSplit/>
        </w:trPr>
        <w:tc>
          <w:tcPr>
            <w:tcW w:type="dxa" w:w="4387"/>
            <w:vAlign w:val="center"/>
          </w:tcPr>
          <w:p>
            <w:pPr>
              <w:keepNext/>
              <w:spacing w:before="79" w:after="79" w:line="276" w:lineRule="auto"/>
            </w:pPr>
            <w:r>
              <w:rPr>
                <w:rFonts w:ascii="Calibri" w:hAnsi="Calibri"/>
                <w:sz w:val="20"/>
              </w:rPr>
              <w:t>État projet : chaque unité du plan masse, avec son type, sa position (pleine terre, dalle, toiture, façade, eau, arbre, haie) et son état prévu</w:t>
            </w:r>
          </w:p>
        </w:tc>
        <w:tc>
          <w:tcPr>
            <w:tcW w:type="dxa" w:w="3194"/>
            <w:vAlign w:val="center"/>
          </w:tcPr>
          <w:p>
            <w:pPr>
              <w:keepNext/>
              <w:spacing w:before="79" w:after="79" w:line="276" w:lineRule="auto"/>
            </w:pPr>
            <w:r>
              <w:rPr>
                <w:rFonts w:ascii="Calibri" w:hAnsi="Calibri"/>
                <w:sz w:val="20"/>
              </w:rPr>
              <w:t>plan masse, carnet paysager</w:t>
            </w:r>
          </w:p>
        </w:tc>
        <w:tc>
          <w:tcPr>
            <w:tcW w:type="dxa" w:w="2058"/>
            <w:vAlign w:val="center"/>
          </w:tcPr>
          <w:p>
            <w:pPr>
              <w:keepNext/>
              <w:spacing w:before="79" w:after="79" w:line="276" w:lineRule="auto"/>
            </w:pPr>
            <w:r>
              <w:rPr>
                <w:rFonts w:ascii="Calibri" w:hAnsi="Calibri"/>
                <w:sz w:val="20"/>
              </w:rPr>
              <w:t>oui</w:t>
            </w:r>
          </w:p>
        </w:tc>
      </w:tr>
      <w:tr>
        <w:trPr>
          <w:cantSplit/>
        </w:trPr>
        <w:tc>
          <w:tcPr>
            <w:tcW w:type="dxa" w:w="4387"/>
            <w:vAlign w:val="center"/>
          </w:tcPr>
          <w:p>
            <w:pPr>
              <w:keepNext/>
              <w:spacing w:before="79" w:after="79" w:line="276" w:lineRule="auto"/>
            </w:pPr>
            <w:r>
              <w:rPr>
                <w:rFonts w:ascii="Calibri" w:hAnsi="Calibri"/>
                <w:sz w:val="20"/>
              </w:rPr>
              <w:t>Bâtiments : S_ref, emprise, durée du chantier, émissions par phase</w:t>
            </w:r>
          </w:p>
        </w:tc>
        <w:tc>
          <w:tcPr>
            <w:tcW w:type="dxa" w:w="3194"/>
            <w:vAlign w:val="center"/>
          </w:tcPr>
          <w:p>
            <w:pPr>
              <w:keepNext/>
              <w:spacing w:before="79" w:after="79" w:line="276" w:lineRule="auto"/>
            </w:pPr>
            <w:r>
              <w:rPr>
                <w:rFonts w:ascii="Calibri" w:hAnsi="Calibri"/>
                <w:sz w:val="20"/>
              </w:rPr>
              <w:t>RSEE de l'étude RE2020</w:t>
            </w:r>
          </w:p>
        </w:tc>
        <w:tc>
          <w:tcPr>
            <w:tcW w:type="dxa" w:w="2058"/>
            <w:vAlign w:val="center"/>
          </w:tcPr>
          <w:p>
            <w:pPr>
              <w:keepNext/>
              <w:spacing w:before="79" w:after="79" w:line="276" w:lineRule="auto"/>
            </w:pPr>
            <w:r>
              <w:rPr>
                <w:rFonts w:ascii="Calibri" w:hAnsi="Calibri"/>
                <w:sz w:val="20"/>
              </w:rPr>
              <w:t>pour Inat</w:t>
            </w:r>
          </w:p>
        </w:tc>
      </w:tr>
      <w:tr>
        <w:trPr>
          <w:cantSplit/>
        </w:trPr>
        <w:tc>
          <w:tcPr>
            <w:tcW w:type="dxa" w:w="4387"/>
            <w:vAlign w:val="center"/>
          </w:tcPr>
          <w:p>
            <w:pPr>
              <w:keepNext/>
              <w:spacing w:before="79" w:after="79" w:line="276" w:lineRule="auto"/>
            </w:pPr>
            <w:r>
              <w:rPr>
                <w:rFonts w:ascii="Calibri" w:hAnsi="Calibri"/>
                <w:sz w:val="20"/>
              </w:rPr>
              <w:t>Bois (volume, régime forestier, pièce justificative) et granulats (tonnes)</w:t>
            </w:r>
          </w:p>
        </w:tc>
        <w:tc>
          <w:tcPr>
            <w:tcW w:type="dxa" w:w="3194"/>
            <w:vAlign w:val="center"/>
          </w:tcPr>
          <w:p>
            <w:pPr>
              <w:keepNext/>
              <w:spacing w:before="79" w:after="79" w:line="276" w:lineRule="auto"/>
            </w:pPr>
            <w:r>
              <w:rPr>
                <w:rFonts w:ascii="Calibri" w:hAnsi="Calibri"/>
                <w:sz w:val="20"/>
              </w:rPr>
              <w:t>métrés, ACV</w:t>
            </w:r>
          </w:p>
        </w:tc>
        <w:tc>
          <w:tcPr>
            <w:tcW w:type="dxa" w:w="2058"/>
            <w:vAlign w:val="center"/>
          </w:tcPr>
          <w:p>
            <w:pPr>
              <w:keepNext/>
              <w:spacing w:before="79" w:after="79" w:line="276" w:lineRule="auto"/>
            </w:pPr>
            <w:r>
              <w:rPr>
                <w:rFonts w:ascii="Calibri" w:hAnsi="Calibri"/>
                <w:sz w:val="20"/>
              </w:rPr>
              <w:t>pour Inat</w:t>
            </w:r>
          </w:p>
        </w:tc>
      </w:tr>
      <w:tr>
        <w:trPr>
          <w:cantSplit/>
        </w:trPr>
        <w:tc>
          <w:tcPr>
            <w:tcW w:type="dxa" w:w="4387"/>
            <w:vAlign w:val="center"/>
          </w:tcPr>
          <w:p>
            <w:pPr>
              <w:keepNext/>
              <w:spacing w:before="79" w:after="79" w:line="276" w:lineRule="auto"/>
            </w:pPr>
            <w:r>
              <w:rPr>
                <w:rFonts w:ascii="Calibri" w:hAnsi="Calibri"/>
                <w:sz w:val="20"/>
              </w:rPr>
              <w:t>Calendrier : année et mois de début du chantier, mois de la destruction de la végétation</w:t>
            </w:r>
          </w:p>
        </w:tc>
        <w:tc>
          <w:tcPr>
            <w:tcW w:type="dxa" w:w="3194"/>
            <w:vAlign w:val="center"/>
          </w:tcPr>
          <w:p>
            <w:pPr>
              <w:keepNext/>
              <w:spacing w:before="79" w:after="79" w:line="276" w:lineRule="auto"/>
            </w:pPr>
            <w:r>
              <w:rPr>
                <w:rFonts w:ascii="Calibri" w:hAnsi="Calibri"/>
                <w:sz w:val="20"/>
              </w:rPr>
              <w:t>planning</w:t>
            </w:r>
          </w:p>
        </w:tc>
        <w:tc>
          <w:tcPr>
            <w:tcW w:type="dxa" w:w="2058"/>
            <w:vAlign w:val="center"/>
          </w:tcPr>
          <w:p>
            <w:pPr>
              <w:keepNext/>
              <w:spacing w:before="79" w:after="79" w:line="276" w:lineRule="auto"/>
            </w:pPr>
            <w:r>
              <w:rPr>
                <w:rFonts w:ascii="Calibri" w:hAnsi="Calibri"/>
                <w:sz w:val="20"/>
              </w:rPr>
              <w:t>non (défauts)</w:t>
            </w:r>
          </w:p>
        </w:tc>
      </w:tr>
      <w:tr>
        <w:trPr>
          <w:cantSplit/>
        </w:trPr>
        <w:tc>
          <w:tcPr>
            <w:tcW w:type="dxa" w:w="4387"/>
            <w:vAlign w:val="center"/>
          </w:tcPr>
          <w:p>
            <w:pPr>
              <w:keepNext/>
              <w:spacing w:before="79" w:after="79" w:line="276" w:lineRule="auto"/>
            </w:pPr>
            <w:r>
              <w:rPr>
                <w:rFonts w:ascii="Calibri" w:hAnsi="Calibri"/>
                <w:sz w:val="20"/>
              </w:rPr>
              <w:t>Sol : texture et profondeur</w:t>
            </w:r>
          </w:p>
        </w:tc>
        <w:tc>
          <w:tcPr>
            <w:tcW w:type="dxa" w:w="3194"/>
            <w:vAlign w:val="center"/>
          </w:tcPr>
          <w:p>
            <w:pPr>
              <w:keepNext/>
              <w:spacing w:before="79" w:after="79" w:line="276" w:lineRule="auto"/>
            </w:pPr>
            <w:r>
              <w:rPr>
                <w:rFonts w:ascii="Calibri" w:hAnsi="Calibri"/>
                <w:sz w:val="20"/>
              </w:rPr>
              <w:t>étude de sol ou géotechnique</w:t>
            </w:r>
          </w:p>
        </w:tc>
        <w:tc>
          <w:tcPr>
            <w:tcW w:type="dxa" w:w="2058"/>
            <w:vAlign w:val="center"/>
          </w:tcPr>
          <w:p>
            <w:pPr>
              <w:keepNext/>
              <w:spacing w:before="79" w:after="79" w:line="276" w:lineRule="auto"/>
            </w:pPr>
            <w:r>
              <w:rPr>
                <w:rFonts w:ascii="Calibri" w:hAnsi="Calibri"/>
                <w:sz w:val="20"/>
              </w:rPr>
              <w:t>non (limon, 1 m)</w:t>
            </w:r>
          </w:p>
        </w:tc>
      </w:tr>
      <w:tr>
        <w:trPr>
          <w:cantSplit/>
        </w:trPr>
        <w:tc>
          <w:tcPr>
            <w:tcW w:type="dxa" w:w="4387"/>
            <w:vAlign w:val="center"/>
          </w:tcPr>
          <w:p>
            <w:pPr>
              <w:keepNext/>
              <w:spacing w:before="79" w:after="79" w:line="276" w:lineRule="auto"/>
            </w:pPr>
            <w:r>
              <w:rPr>
                <w:rFonts w:ascii="Calibri" w:hAnsi="Calibri"/>
                <w:sz w:val="20"/>
              </w:rPr>
              <w:t>Éclairage extérieur : horaires, température de couleur, distance, détection</w:t>
            </w:r>
          </w:p>
        </w:tc>
        <w:tc>
          <w:tcPr>
            <w:tcW w:type="dxa" w:w="3194"/>
            <w:vAlign w:val="center"/>
          </w:tcPr>
          <w:p>
            <w:pPr>
              <w:keepNext/>
              <w:spacing w:before="79" w:after="79" w:line="276" w:lineRule="auto"/>
            </w:pPr>
            <w:r>
              <w:rPr>
                <w:rFonts w:ascii="Calibri" w:hAnsi="Calibri"/>
                <w:sz w:val="20"/>
              </w:rPr>
              <w:t>notice d'éclairage</w:t>
            </w:r>
          </w:p>
        </w:tc>
        <w:tc>
          <w:tcPr>
            <w:tcW w:type="dxa" w:w="2058"/>
            <w:vAlign w:val="center"/>
          </w:tcPr>
          <w:p>
            <w:pPr>
              <w:keepNext/>
              <w:spacing w:before="79" w:after="79" w:line="276" w:lineRule="auto"/>
            </w:pPr>
            <w:r>
              <w:rPr>
                <w:rFonts w:ascii="Calibri" w:hAnsi="Calibri"/>
                <w:sz w:val="20"/>
              </w:rPr>
              <w:t>non</w:t>
            </w:r>
          </w:p>
        </w:tc>
      </w:tr>
      <w:tr>
        <w:trPr>
          <w:cantSplit/>
        </w:trPr>
        <w:tc>
          <w:tcPr>
            <w:tcW w:type="dxa" w:w="4387"/>
            <w:vAlign w:val="center"/>
          </w:tcPr>
          <w:p>
            <w:pPr>
              <w:keepNext/>
              <w:spacing w:before="79" w:after="79" w:line="276" w:lineRule="auto"/>
            </w:pPr>
            <w:r>
              <w:rPr>
                <w:rFonts w:ascii="Calibri" w:hAnsi="Calibri"/>
                <w:sz w:val="20"/>
              </w:rPr>
              <w:t>Eau : alimentation des milieux humides, bassins versants des mares, ouvrages d'infiltration</w:t>
            </w:r>
          </w:p>
        </w:tc>
        <w:tc>
          <w:tcPr>
            <w:tcW w:type="dxa" w:w="3194"/>
            <w:vAlign w:val="center"/>
          </w:tcPr>
          <w:p>
            <w:pPr>
              <w:keepNext/>
              <w:spacing w:before="79" w:after="79" w:line="276" w:lineRule="auto"/>
            </w:pPr>
            <w:r>
              <w:rPr>
                <w:rFonts w:ascii="Calibri" w:hAnsi="Calibri"/>
                <w:sz w:val="20"/>
              </w:rPr>
              <w:t>notice hydraulique</w:t>
            </w:r>
          </w:p>
        </w:tc>
        <w:tc>
          <w:tcPr>
            <w:tcW w:type="dxa" w:w="2058"/>
            <w:vAlign w:val="center"/>
          </w:tcPr>
          <w:p>
            <w:pPr>
              <w:keepNext/>
              <w:spacing w:before="79" w:after="79" w:line="276" w:lineRule="auto"/>
            </w:pPr>
            <w:r>
              <w:rPr>
                <w:rFonts w:ascii="Calibri" w:hAnsi="Calibri"/>
                <w:sz w:val="20"/>
              </w:rPr>
              <w:t>non</w:t>
            </w:r>
          </w:p>
        </w:tc>
      </w:tr>
      <w:tr>
        <w:trPr>
          <w:cantSplit/>
        </w:trPr>
        <w:tc>
          <w:tcPr>
            <w:tcW w:type="dxa" w:w="4387"/>
            <w:vAlign w:val="center"/>
          </w:tcPr>
          <w:p>
            <w:pPr>
              <w:spacing w:before="79" w:after="79" w:line="276" w:lineRule="auto"/>
            </w:pPr>
            <w:r>
              <w:rPr>
                <w:rFonts w:ascii="Calibri" w:hAnsi="Calibri"/>
                <w:sz w:val="20"/>
              </w:rPr>
              <w:t>Plan de gestion écologique : durée, et devenir des espaces ensuite</w:t>
            </w:r>
          </w:p>
        </w:tc>
        <w:tc>
          <w:tcPr>
            <w:tcW w:type="dxa" w:w="3194"/>
            <w:vAlign w:val="center"/>
          </w:tcPr>
          <w:p>
            <w:pPr>
              <w:spacing w:before="79" w:after="79" w:line="276" w:lineRule="auto"/>
            </w:pPr>
            <w:r>
              <w:rPr>
                <w:rFonts w:ascii="Calibri" w:hAnsi="Calibri"/>
                <w:sz w:val="20"/>
              </w:rPr>
              <w:t>engagement du maître d'ouvrage</w:t>
            </w:r>
          </w:p>
        </w:tc>
        <w:tc>
          <w:tcPr>
            <w:tcW w:type="dxa" w:w="2058"/>
            <w:vAlign w:val="center"/>
          </w:tcPr>
          <w:p>
            <w:pPr>
              <w:spacing w:before="79" w:after="79" w:line="276" w:lineRule="auto"/>
            </w:pPr>
            <w:r>
              <w:rPr>
                <w:rFonts w:ascii="Calibri" w:hAnsi="Calibri"/>
                <w:sz w:val="20"/>
              </w:rPr>
              <w:t>non (gestion courante)</w:t>
            </w:r>
          </w:p>
        </w:tc>
      </w:tr>
    </w:tbl>
    <w:p>
      <w:pPr>
        <w:spacing w:before="57" w:after="227" w:line="288" w:lineRule="auto"/>
      </w:pPr>
      <w:r>
        <w:rPr>
          <w:rFonts w:ascii="Calibri" w:hAnsi="Calibri"/>
          <w:sz w:val="20"/>
        </w:rPr>
        <w:t>L'état d'une unité se note sur la grille de son type (critères de la métrique anglaise, critères dits essentiels signalés) ou, pour un boisement, sur ses indicateurs notés de 1 à 3. Une unité sans grille (voirie, bâti, cultures) n'a pas de note.</w:t>
      </w:r>
    </w:p>
    <w:p>
      <w:pPr>
        <w:pStyle w:val="Heading1"/>
        <w:keepNext/>
        <w:pageBreakBefore/>
        <w:spacing w:before="397" w:after="170"/>
      </w:pPr>
      <w:r>
        <w:rPr>
          <w:rFonts w:ascii="Poppins" w:hAnsi="Poppins" w:cs="Poppins" w:eastAsia="Poppins"/>
          <w:color w:val="0C3342"/>
        </w:rPr>
        <w:t>Saisir un projet dans l'utilitaire</w:t>
      </w:r>
    </w:p>
    <w:p>
      <w:pPr>
        <w:spacing w:before="57" w:after="227" w:line="288" w:lineRule="auto"/>
      </w:pPr>
      <w:r>
        <w:rPr>
          <w:rFonts w:ascii="Calibri" w:hAnsi="Calibri"/>
          <w:sz w:val="20"/>
        </w:rPr>
        <w:t>python -m opennat.utilitaire</w:t>
      </w:r>
    </w:p>
    <w:p>
      <w:pPr>
        <w:spacing w:before="57" w:after="227" w:line="288" w:lineRule="auto"/>
      </w:pPr>
      <w:r>
        <w:rPr>
          <w:rFonts w:ascii="Calibri" w:hAnsi="Calibri"/>
          <w:sz w:val="20"/>
        </w:rPr>
        <w:t xml:space="preserve">L'utilitaire s'ouvre dans le navigateur à l'adresse http://127.0.0.1:8770/. Le serveur ne répond qu'à la machine ; rien ne part sur Internet et la page ne charge aucune ressource extérieure. Les options </w:t>
      </w:r>
      <w:r>
        <w:rPr>
          <w:rFonts w:ascii="Calibri" w:hAnsi="Calibri"/>
          <w:sz w:val="20"/>
        </w:rPr>
        <w:t>--port</w:t>
      </w:r>
      <w:r>
        <w:rPr>
          <w:rFonts w:ascii="Calibri" w:hAnsi="Calibri"/>
          <w:sz w:val="20"/>
        </w:rPr>
        <w:t xml:space="preserve">, </w:t>
      </w:r>
      <w:r>
        <w:rPr>
          <w:rFonts w:ascii="Calibri" w:hAnsi="Calibri"/>
          <w:sz w:val="20"/>
        </w:rPr>
        <w:t>--dossier</w:t>
      </w:r>
      <w:r>
        <w:rPr>
          <w:rFonts w:ascii="Calibri" w:hAnsi="Calibri"/>
          <w:sz w:val="20"/>
        </w:rPr>
        <w:t xml:space="preserve"> (dossier des résultats) et </w:t>
      </w:r>
      <w:r>
        <w:rPr>
          <w:rFonts w:ascii="Calibri" w:hAnsi="Calibri"/>
          <w:sz w:val="20"/>
        </w:rPr>
        <w:t>--sans-navigateur</w:t>
      </w:r>
      <w:r>
        <w:rPr>
          <w:rFonts w:ascii="Calibri" w:hAnsi="Calibri"/>
          <w:sz w:val="20"/>
        </w:rPr>
        <w:t xml:space="preserve"> changent le port, le dossier de travail et l'ouverture automatique.</w:t>
      </w:r>
    </w:p>
    <w:p>
      <w:pPr>
        <w:spacing w:before="57" w:after="227" w:line="288" w:lineRule="auto"/>
      </w:pPr>
      <w:r>
        <w:rPr>
          <w:rFonts w:ascii="Calibri" w:hAnsi="Calibri"/>
          <w:sz w:val="20"/>
        </w:rPr>
        <w:t>Le bouton « Exemple » charge l'exemple de l'annexe C de la méthode, un projet complet : chaque écran y est rempli. « Ouvrir » et « Enregistrer » lisent et écrivent le fichier projet (JSON) ; il n'y a ni compte ni base de données.</w:t>
      </w:r>
    </w:p>
    <w:p>
      <w:pPr>
        <w:keepNext/>
        <w:spacing w:before="57" w:after="227" w:line="288" w:lineRule="auto"/>
      </w:pPr>
      <w:r>
        <w:rPr>
          <w:rFonts w:ascii="Calibri" w:hAnsi="Calibri"/>
          <w:sz w:val="20"/>
        </w:rPr>
        <w:t>Les onglets suivent les étapes de la méthode :</w:t>
      </w:r>
    </w:p>
    <w:p>
      <w:pPr>
        <w:pStyle w:val="ListBullet"/>
        <w:keepNext/>
        <w:spacing w:before="45" w:after="79" w:line="288" w:lineRule="auto"/>
        <w:jc w:val="both"/>
      </w:pPr>
      <w:r>
        <w:rPr>
          <w:rFonts w:ascii="Calibri" w:hAnsi="Calibri"/>
          <w:sz w:val="20"/>
        </w:rPr>
        <w:t>Projet et contexte : identification, zone, typologie, zone climatique, altitude, sol, calendrier du chantier, plan de gestion. Le bouton de reprise d'un RSEE remplit la parcelle, les bâtiments, les indicateurs d'ACV, la zone climatique, le département et l'altitude ; le fichier est lu puis oublié.</w:t>
      </w:r>
    </w:p>
    <w:p>
      <w:pPr>
        <w:pStyle w:val="ListBullet"/>
        <w:keepNext/>
        <w:spacing w:before="45" w:after="79" w:line="288" w:lineRule="auto"/>
        <w:jc w:val="both"/>
      </w:pPr>
      <w:r>
        <w:rPr>
          <w:rFonts w:ascii="Calibri" w:hAnsi="Calibri"/>
          <w:sz w:val="20"/>
        </w:rPr>
        <w:t>État initial et état projet : une ligne par unité. Le détail d'une unité ouvre sa grille d'état (chaque critère avec son libellé), son éclairage, son eau et son sol, sa gestion et son statut au chantier (conservée, créée, améliorée, avec l'unité initiale liée et sa protection).</w:t>
      </w:r>
    </w:p>
    <w:p>
      <w:pPr>
        <w:pStyle w:val="ListBullet"/>
        <w:keepNext/>
        <w:spacing w:before="45" w:after="79" w:line="288" w:lineRule="auto"/>
        <w:jc w:val="both"/>
      </w:pPr>
      <w:r>
        <w:rPr>
          <w:rFonts w:ascii="Calibri" w:hAnsi="Calibri"/>
          <w:sz w:val="20"/>
        </w:rPr>
        <w:t>Sol, connectivité, nuisances, eau : taches d'habitat, situation (réservoir, corridor, hors trame), façades vitrées, ouvrages pluviaux.</w:t>
      </w:r>
    </w:p>
    <w:p>
      <w:pPr>
        <w:pStyle w:val="ListBullet"/>
        <w:keepNext/>
        <w:spacing w:before="45" w:after="79" w:line="288" w:lineRule="auto"/>
        <w:jc w:val="both"/>
      </w:pPr>
      <w:r>
        <w:rPr>
          <w:rFonts w:ascii="Calibri" w:hAnsi="Calibri"/>
          <w:sz w:val="20"/>
        </w:rPr>
        <w:t xml:space="preserve">Matériaux : bois et granulats, saisis ou importés d'un tableur CSV (modèle téléchargeable ; colonnes </w:t>
      </w:r>
      <w:r>
        <w:rPr>
          <w:rFonts w:ascii="Calibri" w:hAnsi="Calibri"/>
          <w:sz w:val="20"/>
        </w:rPr>
        <w:t>categorie;regime;quantite;remplacements;justification</w:t>
      </w:r>
      <w:r>
        <w:rPr>
          <w:rFonts w:ascii="Calibri" w:hAnsi="Calibri"/>
          <w:sz w:val="20"/>
        </w:rPr>
        <w:t xml:space="preserve">, catégorie </w:t>
      </w:r>
      <w:r>
        <w:rPr>
          <w:rFonts w:ascii="Calibri" w:hAnsi="Calibri"/>
          <w:sz w:val="20"/>
        </w:rPr>
        <w:t>bois</w:t>
      </w:r>
      <w:r>
        <w:rPr>
          <w:rFonts w:ascii="Calibri" w:hAnsi="Calibri"/>
          <w:sz w:val="20"/>
        </w:rPr>
        <w:t xml:space="preserve"> en m³ ou </w:t>
      </w:r>
      <w:r>
        <w:rPr>
          <w:rFonts w:ascii="Calibri" w:hAnsi="Calibri"/>
          <w:sz w:val="20"/>
        </w:rPr>
        <w:t>granulats</w:t>
      </w:r>
      <w:r>
        <w:rPr>
          <w:rFonts w:ascii="Calibri" w:hAnsi="Calibri"/>
          <w:sz w:val="20"/>
        </w:rPr>
        <w:t xml:space="preserve"> en tonnes). Une ligne refusée est signalée avec son motif.</w:t>
      </w:r>
    </w:p>
    <w:p>
      <w:pPr>
        <w:pStyle w:val="ListBullet"/>
        <w:keepNext w:val="0"/>
        <w:spacing w:before="45" w:after="79" w:line="288" w:lineRule="auto"/>
        <w:jc w:val="both"/>
      </w:pPr>
      <w:r>
        <w:rPr>
          <w:rFonts w:ascii="Calibri" w:hAnsi="Calibri"/>
          <w:sz w:val="20"/>
        </w:rPr>
        <w:t>Variantes : chaque variante reprend la référence et n'en change que ce qu'on modifie (unités, matériaux, chantier, gestion).</w:t>
      </w:r>
    </w:p>
    <w:p>
      <w:pPr>
        <w:spacing w:before="57" w:after="227" w:line="288" w:lineRule="auto"/>
      </w:pPr>
      <w:r>
        <w:rPr>
          <w:rFonts w:ascii="Calibri" w:hAnsi="Calibri"/>
          <w:sz w:val="20"/>
        </w:rPr>
        <w:t>Le panneau de contrôles se met à jour à chaque saisie : conformité au schéma du fichier projet, saisie de chaque unité, fermeture des surfaces. La somme des surfaces au sol de chaque état doit égaler la parcelle, à la tolérance près ; tant qu'un contrôle échoue, le calcul ne se lance pas.</w:t>
      </w:r>
    </w:p>
    <w:p>
      <w:pPr>
        <w:pStyle w:val="Heading1"/>
        <w:keepNext/>
        <w:spacing w:before="397" w:after="170"/>
      </w:pPr>
      <w:r>
        <w:rPr>
          <w:rFonts w:ascii="Poppins" w:hAnsi="Poppins" w:cs="Poppins" w:eastAsia="Poppins"/>
          <w:color w:val="0C3342"/>
        </w:rPr>
        <w:t>Lancer le calcul</w:t>
      </w:r>
    </w:p>
    <w:p>
      <w:pPr>
        <w:spacing w:before="57" w:after="227" w:line="288" w:lineRule="auto"/>
      </w:pPr>
      <w:r>
        <w:rPr>
          <w:rFonts w:ascii="Calibri" w:hAnsi="Calibri"/>
          <w:sz w:val="20"/>
        </w:rPr>
        <w:t>Le nombre de tirages se règle avant le lancement : 0 pour les valeurs centrales seules (quelques secondes), 1 000 par défaut pour l'analyse d'incertitude (quelques minutes). La graine fixe les tirages : le même projet, avec la même graine et les mêmes tables, redonne les mêmes résultats au chiffre près.</w:t>
      </w:r>
    </w:p>
    <w:p>
      <w:pPr>
        <w:spacing w:before="57" w:after="227" w:line="288" w:lineRule="auto"/>
      </w:pPr>
      <w:r>
        <w:rPr>
          <w:rFonts w:ascii="Calibri" w:hAnsi="Calibri"/>
          <w:sz w:val="20"/>
        </w:rPr>
        <w:t>Le suivi allume les étapes de chaque variante (E1 contexte, E2 prétraitement, S sol, H habitats, C connectivité, N nuisances, E eau, W bilan hydrique, T temps, G matériaux, E3 agrégation, E5 conformité), puis la barre des tirages (E4). Un calcul arrêté s'interrompt à la fin du bloc de 100 tirages en cours ; « Reprendre le calcul » le termine dans le même dossier, sans refaire les blocs écrits. La reprise est refusée si le projet ou les tables ont changé entre-temps.</w:t>
      </w:r>
    </w:p>
    <w:p>
      <w:pPr>
        <w:pStyle w:val="Heading1"/>
        <w:keepNext/>
        <w:spacing w:before="397" w:after="170"/>
      </w:pPr>
      <w:r>
        <w:rPr>
          <w:rFonts w:ascii="Poppins" w:hAnsi="Poppins" w:cs="Poppins" w:eastAsia="Poppins"/>
          <w:color w:val="0C3342"/>
        </w:rPr>
        <w:t>Lire les résultats</w:t>
      </w:r>
    </w:p>
    <w:p>
      <w:pPr>
        <w:keepNext/>
        <w:spacing w:before="57" w:after="227" w:line="288" w:lineRule="auto"/>
      </w:pPr>
      <w:r>
        <w:rPr>
          <w:rFonts w:ascii="Calibri" w:hAnsi="Calibri"/>
          <w:sz w:val="20"/>
        </w:rPr>
        <w:t>La page de résultats donne, pour chaque variante :</w:t>
      </w:r>
    </w:p>
    <w:p>
      <w:pPr>
        <w:pStyle w:val="ListBullet"/>
        <w:keepNext/>
        <w:spacing w:before="45" w:after="79" w:line="288" w:lineRule="auto"/>
        <w:jc w:val="both"/>
      </w:pPr>
      <w:r>
        <w:rPr>
          <w:rFonts w:ascii="Calibri" w:hAnsi="Calibri"/>
          <w:sz w:val="20"/>
        </w:rPr>
        <w:t>les indicateurs et le niveau, avec les seuils et la conformité (Bnat minimal selon la typologie et la part d'emprise, pleine terre minimale, coefficient du PLU s'il est saisi) ;</w:t>
      </w:r>
    </w:p>
    <w:p>
      <w:pPr>
        <w:pStyle w:val="ListBullet"/>
        <w:keepNext/>
        <w:spacing w:before="45" w:after="79" w:line="288" w:lineRule="auto"/>
        <w:jc w:val="both"/>
      </w:pPr>
      <w:r>
        <w:rPr>
          <w:rFonts w:ascii="Calibri" w:hAnsi="Calibri"/>
          <w:sz w:val="20"/>
        </w:rPr>
        <w:t>la trajectoire du site sur 50 ans, face à celle du site sans projet sous le même climat ;</w:t>
      </w:r>
    </w:p>
    <w:p>
      <w:pPr>
        <w:pStyle w:val="ListBullet"/>
        <w:keepNext/>
        <w:spacing w:before="45" w:after="79" w:line="288" w:lineRule="auto"/>
        <w:jc w:val="both"/>
      </w:pPr>
      <w:r>
        <w:rPr>
          <w:rFonts w:ascii="Calibri" w:hAnsi="Calibri"/>
          <w:sz w:val="20"/>
        </w:rPr>
        <w:t>le détail par unité : valeur intrinsèque, état, facteurs de sol, de connectivité, de nuisances, d'eau et de bilan hydrique, délai de maturation, valeur intégrée ;</w:t>
      </w:r>
    </w:p>
    <w:p>
      <w:pPr>
        <w:pStyle w:val="ListBullet"/>
        <w:keepNext/>
        <w:spacing w:before="45" w:after="79" w:line="288" w:lineRule="auto"/>
        <w:jc w:val="both"/>
      </w:pPr>
      <w:r>
        <w:rPr>
          <w:rFonts w:ascii="Calibri" w:hAnsi="Calibri"/>
          <w:sz w:val="20"/>
        </w:rPr>
        <w:t>la biodiversité grise par poste (climat, bois, carrières) et par phase, et les indicateurs de pollution du RSEE, affichés à part ;</w:t>
      </w:r>
    </w:p>
    <w:p>
      <w:pPr>
        <w:pStyle w:val="ListBullet"/>
        <w:keepNext/>
        <w:spacing w:before="45" w:after="79" w:line="288" w:lineRule="auto"/>
        <w:jc w:val="both"/>
      </w:pPr>
      <w:r>
        <w:rPr>
          <w:rFonts w:ascii="Calibri" w:hAnsi="Calibri"/>
          <w:sz w:val="20"/>
        </w:rPr>
        <w:t>l'incertitude : 5e, 50e et 95e centiles de Cnat, Inat, Snat et Bnat, et les cinq paramètres les plus influents (corrélation de rang avec Snat) ;</w:t>
      </w:r>
    </w:p>
    <w:p>
      <w:pPr>
        <w:pStyle w:val="ListBullet"/>
        <w:keepNext w:val="0"/>
        <w:spacing w:before="45" w:after="79" w:line="288" w:lineRule="auto"/>
        <w:jc w:val="both"/>
      </w:pPr>
      <w:r>
        <w:rPr>
          <w:rFonts w:ascii="Calibri" w:hAnsi="Calibri"/>
          <w:sz w:val="20"/>
        </w:rPr>
        <w:t>le journal : valeurs par défaut appliquées, corrections de saisie, reprises du RSEE.</w:t>
      </w:r>
    </w:p>
    <w:p>
      <w:pPr>
        <w:spacing w:before="57" w:after="227" w:line="288" w:lineRule="auto"/>
      </w:pPr>
      <w:r>
        <w:rPr>
          <w:rFonts w:ascii="Calibri" w:hAnsi="Calibri"/>
          <w:sz w:val="20"/>
        </w:rPr>
        <w:t>L'onglet de comparaison place les variantes côte à côte. L'écart entre deux variantes a son propre intervalle, calculé sur les mêmes tirages : un écart dont l'intervalle ne contient pas zéro tient quelle que soit l'incertitude des données.</w:t>
      </w:r>
    </w:p>
    <w:p>
      <w:pPr>
        <w:spacing w:before="57" w:after="227" w:line="288" w:lineRule="auto"/>
      </w:pPr>
      <w:r>
        <w:rPr>
          <w:rFonts w:ascii="Calibri" w:hAnsi="Calibri"/>
          <w:sz w:val="20"/>
        </w:rPr>
        <w:t>Pour lire un résultat, partir de la trajectoire. Un Cnat positif s'explique presque toujours par une valeur initiale élevée (prairie, boisement, mare) ou par une maturation lente des plantations ; le détail par unité montre lesquelles pèsent. La dette de maturité (DM) chiffre ce que coûte d'attendre que les plantations atteignent leur valeur.</w:t>
      </w:r>
    </w:p>
    <w:p>
      <w:pPr>
        <w:pStyle w:val="Heading1"/>
        <w:keepNext/>
        <w:spacing w:before="397" w:after="170"/>
      </w:pPr>
      <w:r>
        <w:rPr>
          <w:rFonts w:ascii="Poppins" w:hAnsi="Poppins" w:cs="Poppins" w:eastAsia="Poppins"/>
          <w:color w:val="0C3342"/>
        </w:rPr>
        <w:t>Fiche de synthèse et RSNat</w:t>
      </w:r>
    </w:p>
    <w:p>
      <w:pPr>
        <w:spacing w:before="57" w:after="227" w:line="288" w:lineRule="auto"/>
      </w:pPr>
      <w:r>
        <w:rPr>
          <w:rFonts w:ascii="Calibri" w:hAnsi="Calibri"/>
          <w:sz w:val="20"/>
        </w:rPr>
        <w:t>Chaque calcul produit le récapitulatif standardisé (RSNat), en XML et en JSON, validé contre ses schémas (</w:t>
      </w:r>
      <w:r>
        <w:rPr>
          <w:rFonts w:ascii="Calibri" w:hAnsi="Calibri"/>
          <w:sz w:val="20"/>
        </w:rPr>
        <w:t>schemas/rsnat.xsd</w:t>
      </w:r>
      <w:r>
        <w:rPr>
          <w:rFonts w:ascii="Calibri" w:hAnsi="Calibri"/>
          <w:sz w:val="20"/>
        </w:rPr>
        <w:t xml:space="preserve">, </w:t>
      </w:r>
      <w:r>
        <w:rPr>
          <w:rFonts w:ascii="Calibri" w:hAnsi="Calibri"/>
          <w:sz w:val="20"/>
        </w:rPr>
        <w:t>schemas/rsnat.schema.json</w:t>
      </w:r>
      <w:r>
        <w:rPr>
          <w:rFonts w:ascii="Calibri" w:hAnsi="Calibri"/>
          <w:sz w:val="20"/>
        </w:rPr>
        <w:t>). La fiche de synthèse en Word, au papier d'IRICE, éditeur de l'outil, et en PDF reprend les indicateurs, la conformité, l'incertitude et les versions de la méthode, du moteur et des données, avec les empreintes de contrôle des entrées et des tables. Ces empreintes permettent à un tiers de vérifier qu'un résultat a bien été calculé sur le projet et les tables déclarés.</w:t>
      </w:r>
    </w:p>
    <w:p>
      <w:pPr>
        <w:pStyle w:val="Heading1"/>
        <w:keepNext/>
        <w:spacing w:before="397" w:after="170"/>
      </w:pPr>
      <w:r>
        <w:rPr>
          <w:rFonts w:ascii="Poppins" w:hAnsi="Poppins" w:cs="Poppins" w:eastAsia="Poppins"/>
          <w:color w:val="0C3342"/>
        </w:rPr>
        <w:t>Ligne de commande</w:t>
      </w:r>
    </w:p>
    <w:p>
      <w:pPr>
        <w:spacing w:before="57" w:after="227" w:line="288" w:lineRule="auto"/>
      </w:pPr>
      <w:r>
        <w:rPr>
          <w:rFonts w:ascii="Calibri" w:hAnsi="Calibri"/>
          <w:sz w:val="20"/>
        </w:rPr>
        <w:t>python -m opennat valider projet.json</w:t>
      </w:r>
    </w:p>
    <w:p>
      <w:pPr>
        <w:spacing w:before="57" w:after="227" w:line="288" w:lineRule="auto"/>
      </w:pPr>
      <w:r>
        <w:rPr>
          <w:rFonts w:ascii="Calibri" w:hAnsi="Calibri"/>
          <w:sz w:val="20"/>
        </w:rPr>
        <w:t>python -m opennat calcul projet.json</w:t>
      </w:r>
    </w:p>
    <w:p>
      <w:pPr>
        <w:spacing w:before="57" w:after="227" w:line="288" w:lineRule="auto"/>
      </w:pPr>
      <w:r>
        <w:rPr>
          <w:rFonts w:ascii="Calibri" w:hAnsi="Calibri"/>
          <w:sz w:val="20"/>
        </w:rPr>
        <w:t>python -m opennat calcul projet.json --tirages 0</w:t>
      </w:r>
    </w:p>
    <w:p>
      <w:pPr>
        <w:spacing w:before="57" w:after="227" w:line="288" w:lineRule="auto"/>
      </w:pPr>
      <w:r>
        <w:rPr>
          <w:rFonts w:ascii="Calibri" w:hAnsi="Calibri"/>
          <w:sz w:val="20"/>
        </w:rPr>
        <w:t>python -m opennat calcul projet.json --graine 12345 --sortie D:/etudes/resultats</w:t>
      </w:r>
    </w:p>
    <w:p>
      <w:pPr>
        <w:spacing w:before="57" w:after="227" w:line="288" w:lineRule="auto"/>
      </w:pPr>
      <w:r>
        <w:rPr>
          <w:rFonts w:ascii="Calibri" w:hAnsi="Calibri"/>
          <w:sz w:val="20"/>
        </w:rPr>
        <w:t>python -m opennat calcul projet.json --reprendre resultats/&lt;projet&gt;/&lt;horodatage&gt;</w:t>
      </w:r>
    </w:p>
    <w:p>
      <w:pPr>
        <w:spacing w:before="57" w:after="227" w:line="288" w:lineRule="auto"/>
      </w:pPr>
      <w:r>
        <w:rPr>
          <w:rFonts w:ascii="Calibri" w:hAnsi="Calibri"/>
          <w:sz w:val="20"/>
        </w:rPr>
        <w:t xml:space="preserve">Le fichier projet suit </w:t>
      </w:r>
      <w:r>
        <w:rPr>
          <w:rFonts w:ascii="Calibri" w:hAnsi="Calibri"/>
          <w:sz w:val="20"/>
        </w:rPr>
        <w:t>schemas/projet.schema.json</w:t>
      </w:r>
      <w:r>
        <w:rPr>
          <w:rFonts w:ascii="Calibri" w:hAnsi="Calibri"/>
          <w:sz w:val="20"/>
        </w:rPr>
        <w:t xml:space="preserve"> ; </w:t>
      </w:r>
      <w:r>
        <w:rPr>
          <w:rFonts w:ascii="Calibri" w:hAnsi="Calibri"/>
          <w:sz w:val="20"/>
        </w:rPr>
        <w:t>banc/cas/exemple_de_l_annexe_c.json</w:t>
      </w:r>
      <w:r>
        <w:rPr>
          <w:rFonts w:ascii="Calibri" w:hAnsi="Calibri"/>
          <w:sz w:val="20"/>
        </w:rPr>
        <w:t xml:space="preserve"> en est un exemple complet. Les blocs obligatoires sont </w:t>
      </w:r>
      <w:r>
        <w:rPr>
          <w:rFonts w:ascii="Calibri" w:hAnsi="Calibri"/>
          <w:sz w:val="20"/>
        </w:rPr>
        <w:t>format</w:t>
      </w:r>
      <w:r>
        <w:rPr>
          <w:rFonts w:ascii="Calibri" w:hAnsi="Calibri"/>
          <w:sz w:val="20"/>
        </w:rPr>
        <w:t xml:space="preserve">, </w:t>
      </w:r>
      <w:r>
        <w:rPr>
          <w:rFonts w:ascii="Calibri" w:hAnsi="Calibri"/>
          <w:sz w:val="20"/>
        </w:rPr>
        <w:t>projet</w:t>
      </w:r>
      <w:r>
        <w:rPr>
          <w:rFonts w:ascii="Calibri" w:hAnsi="Calibri"/>
          <w:sz w:val="20"/>
        </w:rPr>
        <w:t xml:space="preserve">, </w:t>
      </w:r>
      <w:r>
        <w:rPr>
          <w:rFonts w:ascii="Calibri" w:hAnsi="Calibri"/>
          <w:sz w:val="20"/>
        </w:rPr>
        <w:t>contexte</w:t>
      </w:r>
      <w:r>
        <w:rPr>
          <w:rFonts w:ascii="Calibri" w:hAnsi="Calibri"/>
          <w:sz w:val="20"/>
        </w:rPr>
        <w:t xml:space="preserve">, </w:t>
      </w:r>
      <w:r>
        <w:rPr>
          <w:rFonts w:ascii="Calibri" w:hAnsi="Calibri"/>
          <w:sz w:val="20"/>
        </w:rPr>
        <w:t>parcelle</w:t>
      </w:r>
      <w:r>
        <w:rPr>
          <w:rFonts w:ascii="Calibri" w:hAnsi="Calibri"/>
          <w:sz w:val="20"/>
        </w:rPr>
        <w:t xml:space="preserve">, </w:t>
      </w:r>
      <w:r>
        <w:rPr>
          <w:rFonts w:ascii="Calibri" w:hAnsi="Calibri"/>
          <w:sz w:val="20"/>
        </w:rPr>
        <w:t>etat_initial</w:t>
      </w:r>
      <w:r>
        <w:rPr>
          <w:rFonts w:ascii="Calibri" w:hAnsi="Calibri"/>
          <w:sz w:val="20"/>
        </w:rPr>
        <w:t xml:space="preserve"> et </w:t>
      </w:r>
      <w:r>
        <w:rPr>
          <w:rFonts w:ascii="Calibri" w:hAnsi="Calibri"/>
          <w:sz w:val="20"/>
        </w:rPr>
        <w:t>variantes</w:t>
      </w:r>
      <w:r>
        <w:rPr>
          <w:rFonts w:ascii="Calibri" w:hAnsi="Calibri"/>
          <w:sz w:val="20"/>
        </w:rPr>
        <w:t xml:space="preserve"> ; </w:t>
      </w:r>
      <w:r>
        <w:rPr>
          <w:rFonts w:ascii="Calibri" w:hAnsi="Calibri"/>
          <w:sz w:val="20"/>
        </w:rPr>
        <w:t>chantier</w:t>
      </w:r>
      <w:r>
        <w:rPr>
          <w:rFonts w:ascii="Calibri" w:hAnsi="Calibri"/>
          <w:sz w:val="20"/>
        </w:rPr>
        <w:t xml:space="preserve">, </w:t>
      </w:r>
      <w:r>
        <w:rPr>
          <w:rFonts w:ascii="Calibri" w:hAnsi="Calibri"/>
          <w:sz w:val="20"/>
        </w:rPr>
        <w:t>gestion</w:t>
      </w:r>
      <w:r>
        <w:rPr>
          <w:rFonts w:ascii="Calibri" w:hAnsi="Calibri"/>
          <w:sz w:val="20"/>
        </w:rPr>
        <w:t xml:space="preserve">, </w:t>
      </w:r>
      <w:r>
        <w:rPr>
          <w:rFonts w:ascii="Calibri" w:hAnsi="Calibri"/>
          <w:sz w:val="20"/>
        </w:rPr>
        <w:t>taches</w:t>
      </w:r>
      <w:r>
        <w:rPr>
          <w:rFonts w:ascii="Calibri" w:hAnsi="Calibri"/>
          <w:sz w:val="20"/>
        </w:rPr>
        <w:t xml:space="preserve">, </w:t>
      </w:r>
      <w:r>
        <w:rPr>
          <w:rFonts w:ascii="Calibri" w:hAnsi="Calibri"/>
          <w:sz w:val="20"/>
        </w:rPr>
        <w:t>batiments</w:t>
      </w:r>
      <w:r>
        <w:rPr>
          <w:rFonts w:ascii="Calibri" w:hAnsi="Calibri"/>
          <w:sz w:val="20"/>
        </w:rPr>
        <w:t xml:space="preserve"> et </w:t>
      </w:r>
      <w:r>
        <w:rPr>
          <w:rFonts w:ascii="Calibri" w:hAnsi="Calibri"/>
          <w:sz w:val="20"/>
        </w:rPr>
        <w:t>options</w:t>
      </w:r>
      <w:r>
        <w:rPr>
          <w:rFonts w:ascii="Calibri" w:hAnsi="Calibri"/>
          <w:sz w:val="20"/>
        </w:rPr>
        <w:t xml:space="preserve"> sont facultatifs. Un projet peut citer un RSEE (</w:t>
      </w:r>
      <w:r>
        <w:rPr>
          <w:rFonts w:ascii="Calibri" w:hAnsi="Calibri"/>
          <w:sz w:val="20"/>
        </w:rPr>
        <w:t>projet.rsee</w:t>
      </w:r>
      <w:r>
        <w:rPr>
          <w:rFonts w:ascii="Calibri" w:hAnsi="Calibri"/>
          <w:sz w:val="20"/>
        </w:rPr>
        <w:t>) dont la parcelle, les bâtiments et les indicateurs sont repris.</w:t>
      </w:r>
    </w:p>
    <w:p>
      <w:pPr>
        <w:keepNext/>
        <w:spacing w:before="57" w:after="227" w:line="288" w:lineRule="auto"/>
      </w:pPr>
      <w:r>
        <w:rPr>
          <w:rFonts w:ascii="Calibri" w:hAnsi="Calibri"/>
          <w:sz w:val="20"/>
        </w:rPr>
        <w:t xml:space="preserve">Le calcul écrit un dossier </w:t>
      </w:r>
      <w:r>
        <w:rPr>
          <w:rFonts w:ascii="Calibri" w:hAnsi="Calibri"/>
          <w:sz w:val="20"/>
        </w:rPr>
        <w:t>resultats/&lt;projet&gt;/&lt;horodatage&gt;/</w:t>
      </w:r>
      <w:r>
        <w:rPr>
          <w:rFonts w:ascii="Calibri" w:hAnsi="Calibri"/>
          <w:sz w:val="20"/>
        </w:rPr>
        <w:t xml:space="preserve"> :</w:t>
      </w:r>
    </w:p>
    <w:tbl>
      <w:tblPr>
        <w:tblStyle w:val="TableGrid"/>
        <w:tblW w:type="auto" w:w="0"/>
        <w:jc w:val="center"/>
        <w:tblLook w:firstColumn="1" w:firstRow="1" w:lastColumn="0" w:lastRow="0" w:noHBand="0" w:noVBand="1" w:val="04A0"/>
        <w:tblBorders>
          <w:top w:val="single" w:sz="4" w:space="0" w:color="CFD6D9"/>
          <w:left w:val="single" w:sz="4" w:space="0" w:color="CFD6D9"/>
          <w:bottom w:val="single" w:sz="4" w:space="0" w:color="CFD6D9"/>
          <w:right w:val="single" w:sz="4" w:space="0" w:color="CFD6D9"/>
          <w:insideH w:val="single" w:sz="4" w:space="0" w:color="CFD6D9"/>
          <w:insideV w:val="single" w:sz="4" w:space="0" w:color="CFD6D9"/>
        </w:tblBorders>
        <w:tblLayout w:type="fixed"/>
      </w:tblPr>
      <w:tblGrid>
        <w:gridCol w:w="4960"/>
        <w:gridCol w:w="4677"/>
      </w:tblGrid>
      <w:tr>
        <w:trPr>
          <w:tblHeader/>
          <w:cantSplit/>
        </w:trPr>
        <w:tc>
          <w:tcPr>
            <w:tcW w:type="dxa" w:w="4961"/>
            <w:vAlign w:val="center"/>
            <w:shd w:val="clear" w:color="auto" w:fill="0C3342"/>
          </w:tcPr>
          <w:p>
            <w:pPr>
              <w:keepNext/>
              <w:spacing w:before="79" w:after="79" w:line="276" w:lineRule="auto"/>
            </w:pPr>
            <w:r>
              <w:rPr>
                <w:rFonts w:ascii="Calibri" w:hAnsi="Calibri"/>
                <w:b/>
                <w:color w:val="FFFFFF"/>
                <w:sz w:val="20"/>
              </w:rPr>
              <w:t>Fichier</w:t>
            </w:r>
          </w:p>
        </w:tc>
        <w:tc>
          <w:tcPr>
            <w:tcW w:type="dxa" w:w="4677"/>
            <w:vAlign w:val="center"/>
            <w:shd w:val="clear" w:color="auto" w:fill="0C3342"/>
          </w:tcPr>
          <w:p>
            <w:pPr>
              <w:keepNext/>
              <w:spacing w:before="79" w:after="79" w:line="276" w:lineRule="auto"/>
            </w:pPr>
            <w:r>
              <w:rPr>
                <w:rFonts w:ascii="Calibri" w:hAnsi="Calibri"/>
                <w:b/>
                <w:color w:val="FFFFFF"/>
                <w:sz w:val="20"/>
              </w:rPr>
              <w:t>Contenu</w:t>
            </w:r>
          </w:p>
        </w:tc>
      </w:tr>
      <w:tr>
        <w:trPr>
          <w:cantSplit/>
        </w:trPr>
        <w:tc>
          <w:tcPr>
            <w:tcW w:type="dxa" w:w="4961"/>
            <w:vAlign w:val="center"/>
          </w:tcPr>
          <w:p>
            <w:pPr>
              <w:keepNext/>
              <w:spacing w:before="79" w:after="79" w:line="276" w:lineRule="auto"/>
            </w:pPr>
            <w:r>
              <w:rPr>
                <w:rFonts w:ascii="Calibri" w:hAnsi="Calibri"/>
                <w:sz w:val="20"/>
              </w:rPr>
              <w:t>00_entrees.json</w:t>
            </w:r>
          </w:p>
        </w:tc>
        <w:tc>
          <w:tcPr>
            <w:tcW w:type="dxa" w:w="4677"/>
            <w:vAlign w:val="center"/>
          </w:tcPr>
          <w:p>
            <w:pPr>
              <w:keepNext/>
              <w:spacing w:before="79" w:after="79" w:line="276" w:lineRule="auto"/>
            </w:pPr>
            <w:r>
              <w:rPr>
                <w:rFonts w:ascii="Calibri" w:hAnsi="Calibri"/>
                <w:sz w:val="20"/>
              </w:rPr>
              <w:t>projet après application des valeurs par défaut</w:t>
            </w:r>
          </w:p>
        </w:tc>
      </w:tr>
      <w:tr>
        <w:trPr>
          <w:cantSplit/>
        </w:trPr>
        <w:tc>
          <w:tcPr>
            <w:tcW w:type="dxa" w:w="4961"/>
            <w:vAlign w:val="center"/>
          </w:tcPr>
          <w:p>
            <w:pPr>
              <w:keepNext/>
              <w:spacing w:before="79" w:after="79" w:line="276" w:lineRule="auto"/>
            </w:pPr>
            <w:r>
              <w:rPr>
                <w:rFonts w:ascii="Calibri" w:hAnsi="Calibri"/>
                <w:sz w:val="20"/>
              </w:rPr>
              <w:t>variante_n/01_E1_contexte.json</w:t>
            </w:r>
            <w:r>
              <w:rPr>
                <w:rFonts w:ascii="Calibri" w:hAnsi="Calibri"/>
                <w:sz w:val="20"/>
              </w:rPr>
              <w:t xml:space="preserve"> à </w:t>
            </w:r>
            <w:r>
              <w:rPr>
                <w:rFonts w:ascii="Calibri" w:hAnsi="Calibri"/>
                <w:sz w:val="20"/>
              </w:rPr>
              <w:t>13_E5_conformite.json</w:t>
            </w:r>
          </w:p>
        </w:tc>
        <w:tc>
          <w:tcPr>
            <w:tcW w:type="dxa" w:w="4677"/>
            <w:vAlign w:val="center"/>
          </w:tcPr>
          <w:p>
            <w:pPr>
              <w:keepNext/>
              <w:spacing w:before="79" w:after="79" w:line="276" w:lineRule="auto"/>
            </w:pPr>
            <w:r>
              <w:rPr>
                <w:rFonts w:ascii="Calibri" w:hAnsi="Calibri"/>
                <w:sz w:val="20"/>
              </w:rPr>
              <w:t>sorties de chaque étape</w:t>
            </w:r>
          </w:p>
        </w:tc>
      </w:tr>
      <w:tr>
        <w:trPr>
          <w:cantSplit/>
        </w:trPr>
        <w:tc>
          <w:tcPr>
            <w:tcW w:type="dxa" w:w="4961"/>
            <w:vAlign w:val="center"/>
          </w:tcPr>
          <w:p>
            <w:pPr>
              <w:keepNext/>
              <w:spacing w:before="79" w:after="79" w:line="276" w:lineRule="auto"/>
            </w:pPr>
            <w:r>
              <w:rPr>
                <w:rFonts w:ascii="Calibri" w:hAnsi="Calibri"/>
                <w:sz w:val="20"/>
              </w:rPr>
              <w:t>variante_n/09_T_trajectoires.csv</w:t>
            </w:r>
          </w:p>
        </w:tc>
        <w:tc>
          <w:tcPr>
            <w:tcW w:type="dxa" w:w="4677"/>
            <w:vAlign w:val="center"/>
          </w:tcPr>
          <w:p>
            <w:pPr>
              <w:keepNext/>
              <w:spacing w:before="79" w:after="79" w:line="276" w:lineRule="auto"/>
            </w:pPr>
            <w:r>
              <w:rPr>
                <w:rFonts w:ascii="Calibri" w:hAnsi="Calibri"/>
                <w:sz w:val="20"/>
              </w:rPr>
              <w:t>trajectoire annuelle de chaque unité</w:t>
            </w:r>
          </w:p>
        </w:tc>
      </w:tr>
      <w:tr>
        <w:trPr>
          <w:cantSplit/>
        </w:trPr>
        <w:tc>
          <w:tcPr>
            <w:tcW w:type="dxa" w:w="4961"/>
            <w:vAlign w:val="center"/>
          </w:tcPr>
          <w:p>
            <w:pPr>
              <w:keepNext/>
              <w:spacing w:before="79" w:after="79" w:line="276" w:lineRule="auto"/>
            </w:pPr>
            <w:r>
              <w:rPr>
                <w:rFonts w:ascii="Calibri" w:hAnsi="Calibri"/>
                <w:sz w:val="20"/>
              </w:rPr>
              <w:t>12_E4_tirages.csv</w:t>
            </w:r>
            <w:r>
              <w:rPr>
                <w:rFonts w:ascii="Calibri" w:hAnsi="Calibri"/>
                <w:sz w:val="20"/>
              </w:rPr>
              <w:t xml:space="preserve">, </w:t>
            </w:r>
            <w:r>
              <w:rPr>
                <w:rFonts w:ascii="Calibri" w:hAnsi="Calibri"/>
                <w:sz w:val="20"/>
              </w:rPr>
              <w:t>12_E4_incertitude.json</w:t>
            </w:r>
          </w:p>
        </w:tc>
        <w:tc>
          <w:tcPr>
            <w:tcW w:type="dxa" w:w="4677"/>
            <w:vAlign w:val="center"/>
          </w:tcPr>
          <w:p>
            <w:pPr>
              <w:keepNext/>
              <w:spacing w:before="79" w:after="79" w:line="276" w:lineRule="auto"/>
            </w:pPr>
            <w:r>
              <w:rPr>
                <w:rFonts w:ascii="Calibri" w:hAnsi="Calibri"/>
                <w:sz w:val="20"/>
              </w:rPr>
              <w:t>tirages et intervalles</w:t>
            </w:r>
          </w:p>
        </w:tc>
      </w:tr>
      <w:tr>
        <w:trPr>
          <w:cantSplit/>
        </w:trPr>
        <w:tc>
          <w:tcPr>
            <w:tcW w:type="dxa" w:w="4961"/>
            <w:vAlign w:val="center"/>
          </w:tcPr>
          <w:p>
            <w:pPr>
              <w:keepNext/>
              <w:spacing w:before="79" w:after="79" w:line="276" w:lineRule="auto"/>
            </w:pPr>
            <w:r>
              <w:rPr>
                <w:rFonts w:ascii="Calibri" w:hAnsi="Calibri"/>
                <w:sz w:val="20"/>
              </w:rPr>
              <w:t>journal.txt</w:t>
            </w:r>
          </w:p>
        </w:tc>
        <w:tc>
          <w:tcPr>
            <w:tcW w:type="dxa" w:w="4677"/>
            <w:vAlign w:val="center"/>
          </w:tcPr>
          <w:p>
            <w:pPr>
              <w:keepNext/>
              <w:spacing w:before="79" w:after="79" w:line="276" w:lineRule="auto"/>
            </w:pPr>
            <w:r>
              <w:rPr>
                <w:rFonts w:ascii="Calibri" w:hAnsi="Calibri"/>
                <w:sz w:val="20"/>
              </w:rPr>
              <w:t>versions, durée, valeurs par défaut, corrections</w:t>
            </w:r>
          </w:p>
        </w:tc>
      </w:tr>
      <w:tr>
        <w:trPr>
          <w:cantSplit/>
        </w:trPr>
        <w:tc>
          <w:tcPr>
            <w:tcW w:type="dxa" w:w="4961"/>
            <w:vAlign w:val="center"/>
          </w:tcPr>
          <w:p>
            <w:pPr>
              <w:keepNext/>
              <w:spacing w:before="79" w:after="79" w:line="276" w:lineRule="auto"/>
            </w:pPr>
            <w:r>
              <w:rPr>
                <w:rFonts w:ascii="Calibri" w:hAnsi="Calibri"/>
                <w:sz w:val="20"/>
              </w:rPr>
              <w:t>empreinte.txt</w:t>
            </w:r>
          </w:p>
        </w:tc>
        <w:tc>
          <w:tcPr>
            <w:tcW w:type="dxa" w:w="4677"/>
            <w:vAlign w:val="center"/>
          </w:tcPr>
          <w:p>
            <w:pPr>
              <w:keepNext/>
              <w:spacing w:before="79" w:after="79" w:line="276" w:lineRule="auto"/>
            </w:pPr>
            <w:r>
              <w:rPr>
                <w:rFonts w:ascii="Calibri" w:hAnsi="Calibri"/>
                <w:sz w:val="20"/>
              </w:rPr>
              <w:t>empreintes des entrées, des tables et du RSNat</w:t>
            </w:r>
          </w:p>
        </w:tc>
      </w:tr>
      <w:tr>
        <w:trPr>
          <w:cantSplit/>
        </w:trPr>
        <w:tc>
          <w:tcPr>
            <w:tcW w:type="dxa" w:w="4961"/>
            <w:vAlign w:val="center"/>
          </w:tcPr>
          <w:p>
            <w:pPr>
              <w:spacing w:before="79" w:after="79" w:line="276" w:lineRule="auto"/>
            </w:pPr>
            <w:r>
              <w:rPr>
                <w:rFonts w:ascii="Calibri" w:hAnsi="Calibri"/>
                <w:sz w:val="20"/>
              </w:rPr>
              <w:t>rsnat.xml</w:t>
            </w:r>
            <w:r>
              <w:rPr>
                <w:rFonts w:ascii="Calibri" w:hAnsi="Calibri"/>
                <w:sz w:val="20"/>
              </w:rPr>
              <w:t xml:space="preserve">, </w:t>
            </w:r>
            <w:r>
              <w:rPr>
                <w:rFonts w:ascii="Calibri" w:hAnsi="Calibri"/>
                <w:sz w:val="20"/>
              </w:rPr>
              <w:t>rsnat.json</w:t>
            </w:r>
          </w:p>
        </w:tc>
        <w:tc>
          <w:tcPr>
            <w:tcW w:type="dxa" w:w="4677"/>
            <w:vAlign w:val="center"/>
          </w:tcPr>
          <w:p>
            <w:pPr>
              <w:spacing w:before="79" w:after="79" w:line="276" w:lineRule="auto"/>
            </w:pPr>
            <w:r>
              <w:rPr>
                <w:rFonts w:ascii="Calibri" w:hAnsi="Calibri"/>
                <w:sz w:val="20"/>
              </w:rPr>
              <w:t>récapitulatif standardisé</w:t>
            </w:r>
          </w:p>
        </w:tc>
      </w:tr>
    </w:tbl>
    <w:p>
      <w:pPr>
        <w:spacing w:before="57" w:after="227" w:line="288" w:lineRule="auto"/>
      </w:pPr>
      <w:r>
        <w:rPr>
          <w:rFonts w:ascii="Calibri" w:hAnsi="Calibri"/>
          <w:sz w:val="20"/>
        </w:rPr>
        <w:t xml:space="preserve">Codes de sortie du calcul : 0 calcul terminé ; 2 calcul arrêté (tables ou projet invalides, fermeture non satisfaite, code inconnu, reprise refusée), avec le motif ; 3 RSNat non conforme à ses schémas. </w:t>
      </w:r>
      <w:r>
        <w:rPr>
          <w:rFonts w:ascii="Calibri" w:hAnsi="Calibri"/>
          <w:sz w:val="20"/>
        </w:rPr>
        <w:t>valider</w:t>
      </w:r>
      <w:r>
        <w:rPr>
          <w:rFonts w:ascii="Calibri" w:hAnsi="Calibri"/>
          <w:sz w:val="20"/>
        </w:rPr>
        <w:t xml:space="preserve"> et </w:t>
      </w:r>
      <w:r>
        <w:rPr>
          <w:rFonts w:ascii="Calibri" w:hAnsi="Calibri"/>
          <w:sz w:val="20"/>
        </w:rPr>
        <w:t>controle</w:t>
      </w:r>
      <w:r>
        <w:rPr>
          <w:rFonts w:ascii="Calibri" w:hAnsi="Calibri"/>
          <w:sz w:val="20"/>
        </w:rPr>
        <w:t xml:space="preserve"> rendent 1 au premier défaut.</w:t>
      </w:r>
    </w:p>
    <w:p>
      <w:pPr>
        <w:pStyle w:val="Heading1"/>
        <w:keepNext/>
        <w:spacing w:before="397" w:after="170"/>
      </w:pPr>
      <w:r>
        <w:rPr>
          <w:rFonts w:ascii="Poppins" w:hAnsi="Poppins" w:cs="Poppins" w:eastAsia="Poppins"/>
          <w:color w:val="0C3342"/>
        </w:rPr>
        <w:t>Valeurs par défaut</w:t>
      </w:r>
    </w:p>
    <w:p>
      <w:pPr>
        <w:keepNext/>
        <w:spacing w:before="57" w:after="227" w:line="288" w:lineRule="auto"/>
      </w:pPr>
      <w:r>
        <w:rPr>
          <w:rFonts w:ascii="Calibri" w:hAnsi="Calibri"/>
          <w:sz w:val="20"/>
        </w:rPr>
        <w:t>Une donnée facultative absente prend une valeur conventionnelle, toujours inscrite au journal avec sa convention :</w:t>
      </w:r>
    </w:p>
    <w:tbl>
      <w:tblPr>
        <w:tblStyle w:val="TableGrid"/>
        <w:tblW w:type="auto" w:w="0"/>
        <w:jc w:val="center"/>
        <w:tblLook w:firstColumn="1" w:firstRow="1" w:lastColumn="0" w:lastRow="0" w:noHBand="0" w:noVBand="1" w:val="04A0"/>
        <w:tblBorders>
          <w:top w:val="single" w:sz="4" w:space="0" w:color="CFD6D9"/>
          <w:left w:val="single" w:sz="4" w:space="0" w:color="CFD6D9"/>
          <w:bottom w:val="single" w:sz="4" w:space="0" w:color="CFD6D9"/>
          <w:right w:val="single" w:sz="4" w:space="0" w:color="CFD6D9"/>
          <w:insideH w:val="single" w:sz="4" w:space="0" w:color="CFD6D9"/>
          <w:insideV w:val="single" w:sz="4" w:space="0" w:color="CFD6D9"/>
        </w:tblBorders>
        <w:tblLayout w:type="fixed"/>
      </w:tblPr>
      <w:tblGrid>
        <w:gridCol w:w="3762"/>
        <w:gridCol w:w="3901"/>
        <w:gridCol w:w="1973"/>
      </w:tblGrid>
      <w:tr>
        <w:trPr>
          <w:tblHeader/>
          <w:cantSplit/>
        </w:trPr>
        <w:tc>
          <w:tcPr>
            <w:tcW w:type="dxa" w:w="3763"/>
            <w:vAlign w:val="center"/>
            <w:shd w:val="clear" w:color="auto" w:fill="0C3342"/>
          </w:tcPr>
          <w:p>
            <w:pPr>
              <w:keepNext/>
              <w:spacing w:before="79" w:after="79" w:line="276" w:lineRule="auto"/>
            </w:pPr>
            <w:r>
              <w:rPr>
                <w:rFonts w:ascii="Calibri" w:hAnsi="Calibri"/>
                <w:b/>
                <w:color w:val="FFFFFF"/>
                <w:sz w:val="20"/>
              </w:rPr>
              <w:t>Donnée absente</w:t>
            </w:r>
          </w:p>
        </w:tc>
        <w:tc>
          <w:tcPr>
            <w:tcW w:type="dxa" w:w="3902"/>
            <w:vAlign w:val="center"/>
            <w:shd w:val="clear" w:color="auto" w:fill="0C3342"/>
          </w:tcPr>
          <w:p>
            <w:pPr>
              <w:keepNext/>
              <w:spacing w:before="79" w:after="79" w:line="276" w:lineRule="auto"/>
            </w:pPr>
            <w:r>
              <w:rPr>
                <w:rFonts w:ascii="Calibri" w:hAnsi="Calibri"/>
                <w:b/>
                <w:color w:val="FFFFFF"/>
                <w:sz w:val="20"/>
              </w:rPr>
              <w:t>Valeur retenue</w:t>
            </w:r>
          </w:p>
        </w:tc>
        <w:tc>
          <w:tcPr>
            <w:tcW w:type="dxa" w:w="1973"/>
            <w:vAlign w:val="center"/>
            <w:shd w:val="clear" w:color="auto" w:fill="0C3342"/>
          </w:tcPr>
          <w:p>
            <w:pPr>
              <w:keepNext/>
              <w:spacing w:before="79" w:after="79" w:line="276" w:lineRule="auto"/>
            </w:pPr>
            <w:r>
              <w:rPr>
                <w:rFonts w:ascii="Calibri" w:hAnsi="Calibri"/>
                <w:b/>
                <w:color w:val="FFFFFF"/>
                <w:sz w:val="20"/>
              </w:rPr>
              <w:t>Convention</w:t>
            </w:r>
          </w:p>
        </w:tc>
      </w:tr>
      <w:tr>
        <w:trPr>
          <w:cantSplit/>
        </w:trPr>
        <w:tc>
          <w:tcPr>
            <w:tcW w:type="dxa" w:w="3763"/>
            <w:vAlign w:val="center"/>
          </w:tcPr>
          <w:p>
            <w:pPr>
              <w:keepNext/>
              <w:spacing w:before="79" w:after="79" w:line="276" w:lineRule="auto"/>
            </w:pPr>
            <w:r>
              <w:rPr>
                <w:rFonts w:ascii="Calibri" w:hAnsi="Calibri"/>
                <w:sz w:val="20"/>
              </w:rPr>
              <w:t>Sol du site</w:t>
            </w:r>
          </w:p>
        </w:tc>
        <w:tc>
          <w:tcPr>
            <w:tcW w:type="dxa" w:w="3902"/>
            <w:vAlign w:val="center"/>
          </w:tcPr>
          <w:p>
            <w:pPr>
              <w:keepNext/>
              <w:spacing w:before="79" w:after="79" w:line="276" w:lineRule="auto"/>
            </w:pPr>
            <w:r>
              <w:rPr>
                <w:rFonts w:ascii="Calibri" w:hAnsi="Calibri"/>
                <w:sz w:val="20"/>
              </w:rPr>
              <w:t>limon de 1 m</w:t>
            </w:r>
          </w:p>
        </w:tc>
        <w:tc>
          <w:tcPr>
            <w:tcW w:type="dxa" w:w="1973"/>
            <w:vAlign w:val="center"/>
          </w:tcPr>
          <w:p>
            <w:pPr>
              <w:keepNext/>
              <w:spacing w:before="79" w:after="79" w:line="276" w:lineRule="auto"/>
            </w:pPr>
            <w:r>
              <w:rPr>
                <w:rFonts w:ascii="Calibri" w:hAnsi="Calibri"/>
                <w:sz w:val="20"/>
              </w:rPr>
              <w:t>C-W4</w:t>
            </w:r>
          </w:p>
        </w:tc>
      </w:tr>
      <w:tr>
        <w:trPr>
          <w:cantSplit/>
        </w:trPr>
        <w:tc>
          <w:tcPr>
            <w:tcW w:type="dxa" w:w="3763"/>
            <w:vAlign w:val="center"/>
          </w:tcPr>
          <w:p>
            <w:pPr>
              <w:keepNext/>
              <w:spacing w:before="79" w:after="79" w:line="276" w:lineRule="auto"/>
            </w:pPr>
            <w:r>
              <w:rPr>
                <w:rFonts w:ascii="Calibri" w:hAnsi="Calibri"/>
                <w:sz w:val="20"/>
              </w:rPr>
              <w:t>Début du chantier</w:t>
            </w:r>
          </w:p>
        </w:tc>
        <w:tc>
          <w:tcPr>
            <w:tcW w:type="dxa" w:w="3902"/>
            <w:vAlign w:val="center"/>
          </w:tcPr>
          <w:p>
            <w:pPr>
              <w:keepNext/>
              <w:spacing w:before="79" w:after="79" w:line="276" w:lineRule="auto"/>
            </w:pPr>
            <w:r>
              <w:rPr>
                <w:rFonts w:ascii="Calibri" w:hAnsi="Calibri"/>
                <w:sz w:val="20"/>
              </w:rPr>
              <w:t>janvier de l'année par défaut</w:t>
            </w:r>
          </w:p>
        </w:tc>
        <w:tc>
          <w:tcPr>
            <w:tcW w:type="dxa" w:w="1973"/>
            <w:vAlign w:val="center"/>
          </w:tcPr>
          <w:p>
            <w:pPr>
              <w:keepNext/>
              <w:spacing w:before="79" w:after="79" w:line="276" w:lineRule="auto"/>
            </w:pPr>
            <w:r>
              <w:rPr>
                <w:rFonts w:ascii="Calibri" w:hAnsi="Calibri"/>
                <w:sz w:val="20"/>
              </w:rPr>
              <w:t>C-K3</w:t>
            </w:r>
          </w:p>
        </w:tc>
      </w:tr>
      <w:tr>
        <w:trPr>
          <w:cantSplit/>
        </w:trPr>
        <w:tc>
          <w:tcPr>
            <w:tcW w:type="dxa" w:w="3763"/>
            <w:vAlign w:val="center"/>
          </w:tcPr>
          <w:p>
            <w:pPr>
              <w:keepNext/>
              <w:spacing w:before="79" w:after="79" w:line="276" w:lineRule="auto"/>
            </w:pPr>
            <w:r>
              <w:rPr>
                <w:rFonts w:ascii="Calibri" w:hAnsi="Calibri"/>
                <w:sz w:val="20"/>
              </w:rPr>
              <w:t>Mois de destruction</w:t>
            </w:r>
          </w:p>
        </w:tc>
        <w:tc>
          <w:tcPr>
            <w:tcW w:type="dxa" w:w="3902"/>
            <w:vAlign w:val="center"/>
          </w:tcPr>
          <w:p>
            <w:pPr>
              <w:keepNext/>
              <w:spacing w:before="79" w:after="79" w:line="276" w:lineRule="auto"/>
            </w:pPr>
            <w:r>
              <w:rPr>
                <w:rFonts w:ascii="Calibri" w:hAnsi="Calibri"/>
                <w:sz w:val="20"/>
              </w:rPr>
              <w:t>mois de début du chantier</w:t>
            </w:r>
          </w:p>
        </w:tc>
        <w:tc>
          <w:tcPr>
            <w:tcW w:type="dxa" w:w="1973"/>
            <w:vAlign w:val="center"/>
          </w:tcPr>
          <w:p>
            <w:pPr>
              <w:keepNext/>
              <w:spacing w:before="79" w:after="79" w:line="276" w:lineRule="auto"/>
            </w:pPr>
            <w:r>
              <w:rPr>
                <w:rFonts w:ascii="Calibri" w:hAnsi="Calibri"/>
                <w:sz w:val="20"/>
              </w:rPr>
              <w:t>fiche A05-2</w:t>
            </w:r>
          </w:p>
        </w:tc>
      </w:tr>
      <w:tr>
        <w:trPr>
          <w:cantSplit/>
        </w:trPr>
        <w:tc>
          <w:tcPr>
            <w:tcW w:type="dxa" w:w="3763"/>
            <w:vAlign w:val="center"/>
          </w:tcPr>
          <w:p>
            <w:pPr>
              <w:keepNext/>
              <w:spacing w:before="79" w:after="79" w:line="276" w:lineRule="auto"/>
            </w:pPr>
            <w:r>
              <w:rPr>
                <w:rFonts w:ascii="Calibri" w:hAnsi="Calibri"/>
                <w:sz w:val="20"/>
              </w:rPr>
              <w:t>Durée du chantier</w:t>
            </w:r>
          </w:p>
        </w:tc>
        <w:tc>
          <w:tcPr>
            <w:tcW w:type="dxa" w:w="3902"/>
            <w:vAlign w:val="center"/>
          </w:tcPr>
          <w:p>
            <w:pPr>
              <w:keepNext/>
              <w:spacing w:before="79" w:after="79" w:line="276" w:lineRule="auto"/>
            </w:pPr>
            <w:r>
              <w:rPr>
                <w:rFonts w:ascii="Calibri" w:hAnsi="Calibri"/>
                <w:sz w:val="20"/>
              </w:rPr>
              <w:t>la plus longue des bâtiments</w:t>
            </w:r>
          </w:p>
        </w:tc>
        <w:tc>
          <w:tcPr>
            <w:tcW w:type="dxa" w:w="1973"/>
            <w:vAlign w:val="center"/>
          </w:tcPr>
          <w:p>
            <w:pPr>
              <w:keepNext/>
              <w:spacing w:before="79" w:after="79" w:line="276" w:lineRule="auto"/>
            </w:pPr>
            <w:r>
              <w:rPr>
                <w:rFonts w:ascii="Calibri" w:hAnsi="Calibri"/>
                <w:sz w:val="20"/>
              </w:rPr>
              <w:t>fiche A05-2</w:t>
            </w:r>
          </w:p>
        </w:tc>
      </w:tr>
      <w:tr>
        <w:trPr>
          <w:cantSplit/>
        </w:trPr>
        <w:tc>
          <w:tcPr>
            <w:tcW w:type="dxa" w:w="3763"/>
            <w:vAlign w:val="center"/>
          </w:tcPr>
          <w:p>
            <w:pPr>
              <w:keepNext/>
              <w:spacing w:before="79" w:after="79" w:line="276" w:lineRule="auto"/>
            </w:pPr>
            <w:r>
              <w:rPr>
                <w:rFonts w:ascii="Calibri" w:hAnsi="Calibri"/>
                <w:sz w:val="20"/>
              </w:rPr>
              <w:t>Plan de gestion</w:t>
            </w:r>
          </w:p>
        </w:tc>
        <w:tc>
          <w:tcPr>
            <w:tcW w:type="dxa" w:w="3902"/>
            <w:vAlign w:val="center"/>
          </w:tcPr>
          <w:p>
            <w:pPr>
              <w:keepNext/>
              <w:spacing w:before="79" w:after="79" w:line="276" w:lineRule="auto"/>
            </w:pPr>
            <w:r>
              <w:rPr>
                <w:rFonts w:ascii="Calibri" w:hAnsi="Calibri"/>
                <w:sz w:val="20"/>
              </w:rPr>
              <w:t>aucun : gestion courante dès la livraison</w:t>
            </w:r>
          </w:p>
        </w:tc>
        <w:tc>
          <w:tcPr>
            <w:tcW w:type="dxa" w:w="1973"/>
            <w:vAlign w:val="center"/>
          </w:tcPr>
          <w:p>
            <w:pPr>
              <w:keepNext/>
              <w:spacing w:before="79" w:after="79" w:line="276" w:lineRule="auto"/>
            </w:pPr>
            <w:r>
              <w:rPr>
                <w:rFonts w:ascii="Calibri" w:hAnsi="Calibri"/>
                <w:sz w:val="20"/>
              </w:rPr>
              <w:t>C-M3</w:t>
            </w:r>
          </w:p>
        </w:tc>
      </w:tr>
      <w:tr>
        <w:trPr>
          <w:cantSplit/>
        </w:trPr>
        <w:tc>
          <w:tcPr>
            <w:tcW w:type="dxa" w:w="3763"/>
            <w:vAlign w:val="center"/>
          </w:tcPr>
          <w:p>
            <w:pPr>
              <w:keepNext/>
              <w:spacing w:before="79" w:after="79" w:line="276" w:lineRule="auto"/>
            </w:pPr>
            <w:r>
              <w:rPr>
                <w:rFonts w:ascii="Calibri" w:hAnsi="Calibri"/>
                <w:sz w:val="20"/>
              </w:rPr>
              <w:t>Bois sans pièce justificative</w:t>
            </w:r>
          </w:p>
        </w:tc>
        <w:tc>
          <w:tcPr>
            <w:tcW w:type="dxa" w:w="3902"/>
            <w:vAlign w:val="center"/>
          </w:tcPr>
          <w:p>
            <w:pPr>
              <w:keepNext/>
              <w:spacing w:before="79" w:after="79" w:line="276" w:lineRule="auto"/>
            </w:pPr>
            <w:r>
              <w:rPr>
                <w:rFonts w:ascii="Calibri" w:hAnsi="Calibri"/>
                <w:sz w:val="20"/>
              </w:rPr>
              <w:t>coupe rase, quel que soit le régime déclaré</w:t>
            </w:r>
          </w:p>
        </w:tc>
        <w:tc>
          <w:tcPr>
            <w:tcW w:type="dxa" w:w="1973"/>
            <w:vAlign w:val="center"/>
          </w:tcPr>
          <w:p>
            <w:pPr>
              <w:keepNext/>
              <w:spacing w:before="79" w:after="79" w:line="276" w:lineRule="auto"/>
            </w:pPr>
            <w:r>
              <w:rPr>
                <w:rFonts w:ascii="Calibri" w:hAnsi="Calibri"/>
                <w:sz w:val="20"/>
              </w:rPr>
              <w:t>C-G5</w:t>
            </w:r>
          </w:p>
        </w:tc>
      </w:tr>
      <w:tr>
        <w:trPr>
          <w:cantSplit/>
        </w:trPr>
        <w:tc>
          <w:tcPr>
            <w:tcW w:type="dxa" w:w="3763"/>
            <w:vAlign w:val="center"/>
          </w:tcPr>
          <w:p>
            <w:pPr>
              <w:keepNext/>
              <w:spacing w:before="79" w:after="79" w:line="276" w:lineRule="auto"/>
            </w:pPr>
            <w:r>
              <w:rPr>
                <w:rFonts w:ascii="Calibri" w:hAnsi="Calibri"/>
                <w:sz w:val="20"/>
              </w:rPr>
              <w:t>Houppier d'un arbre sans surface relevée</w:t>
            </w:r>
          </w:p>
        </w:tc>
        <w:tc>
          <w:tcPr>
            <w:tcW w:type="dxa" w:w="3902"/>
            <w:vAlign w:val="center"/>
          </w:tcPr>
          <w:p>
            <w:pPr>
              <w:keepNext/>
              <w:spacing w:before="79" w:after="79" w:line="276" w:lineRule="auto"/>
            </w:pPr>
            <w:r>
              <w:rPr>
                <w:rFonts w:ascii="Calibri" w:hAnsi="Calibri"/>
                <w:sz w:val="20"/>
              </w:rPr>
              <w:t>surface de sa classe de diamètre</w:t>
            </w:r>
          </w:p>
        </w:tc>
        <w:tc>
          <w:tcPr>
            <w:tcW w:type="dxa" w:w="1973"/>
            <w:vAlign w:val="center"/>
          </w:tcPr>
          <w:p>
            <w:pPr>
              <w:keepNext/>
              <w:spacing w:before="79" w:after="79" w:line="276" w:lineRule="auto"/>
            </w:pPr>
            <w:r>
              <w:rPr>
                <w:rFonts w:ascii="Calibri" w:hAnsi="Calibri"/>
                <w:sz w:val="20"/>
              </w:rPr>
              <w:t>fiche A14</w:t>
            </w:r>
          </w:p>
        </w:tc>
      </w:tr>
      <w:tr>
        <w:trPr>
          <w:cantSplit/>
        </w:trPr>
        <w:tc>
          <w:tcPr>
            <w:tcW w:type="dxa" w:w="3763"/>
            <w:vAlign w:val="center"/>
          </w:tcPr>
          <w:p>
            <w:pPr>
              <w:spacing w:before="79" w:after="79" w:line="276" w:lineRule="auto"/>
            </w:pPr>
            <w:r>
              <w:rPr>
                <w:rFonts w:ascii="Calibri" w:hAnsi="Calibri"/>
                <w:sz w:val="20"/>
              </w:rPr>
              <w:t>Haie trop étroite</w:t>
            </w:r>
          </w:p>
        </w:tc>
        <w:tc>
          <w:tcPr>
            <w:tcW w:type="dxa" w:w="3902"/>
            <w:vAlign w:val="center"/>
          </w:tcPr>
          <w:p>
            <w:pPr>
              <w:spacing w:before="79" w:after="79" w:line="276" w:lineRule="auto"/>
            </w:pPr>
            <w:r>
              <w:rPr>
                <w:rFonts w:ascii="Calibri" w:hAnsi="Calibri"/>
                <w:sz w:val="20"/>
              </w:rPr>
              <w:t>largeur minimale</w:t>
            </w:r>
          </w:p>
        </w:tc>
        <w:tc>
          <w:tcPr>
            <w:tcW w:type="dxa" w:w="1973"/>
            <w:vAlign w:val="center"/>
          </w:tcPr>
          <w:p>
            <w:pPr>
              <w:spacing w:before="79" w:after="79" w:line="276" w:lineRule="auto"/>
            </w:pPr>
            <w:r>
              <w:rPr>
                <w:rFonts w:ascii="Calibri" w:hAnsi="Calibri"/>
                <w:sz w:val="20"/>
              </w:rPr>
              <w:t>fiche A15</w:t>
            </w:r>
          </w:p>
        </w:tc>
      </w:tr>
    </w:tbl>
    <w:p>
      <w:pPr>
        <w:pStyle w:val="Heading1"/>
        <w:keepNext/>
        <w:pageBreakBefore/>
        <w:spacing w:before="397" w:after="170"/>
      </w:pPr>
      <w:r>
        <w:rPr>
          <w:rFonts w:ascii="Poppins" w:hAnsi="Poppins" w:cs="Poppins" w:eastAsia="Poppins"/>
          <w:color w:val="0C3342"/>
        </w:rPr>
        <w:t>Messages fréquents</w:t>
      </w:r>
    </w:p>
    <w:p>
      <w:pPr>
        <w:pStyle w:val="ListBullet"/>
        <w:keepNext/>
        <w:spacing w:before="45" w:after="79" w:line="288" w:lineRule="auto"/>
        <w:jc w:val="both"/>
      </w:pPr>
      <w:r>
        <w:rPr>
          <w:rFonts w:ascii="Calibri" w:hAnsi="Calibri"/>
          <w:sz w:val="20"/>
        </w:rPr>
        <w:t>« fermeture des surfaces de l'état initial (ou projet) » : les surfaces au sol de cet état ne font pas la parcelle. Corriger les surfaces ; les toitures, les façades et les houppiers ne comptent pas dans la fermeture.</w:t>
      </w:r>
    </w:p>
    <w:p>
      <w:pPr>
        <w:pStyle w:val="ListBullet"/>
        <w:keepNext/>
        <w:spacing w:before="45" w:after="79" w:line="288" w:lineRule="auto"/>
        <w:jc w:val="both"/>
      </w:pPr>
      <w:r>
        <w:rPr>
          <w:rFonts w:ascii="Calibri" w:hAnsi="Calibri"/>
          <w:sz w:val="20"/>
        </w:rPr>
        <w:t>« code d'habitat inconnu » : le type d'habitat n'est pas dans la nomenclature. Le code EUNIS ou un alias est accepté ; à défaut, choisir le type le plus proche dans la liste.</w:t>
      </w:r>
    </w:p>
    <w:p>
      <w:pPr>
        <w:pStyle w:val="ListBullet"/>
        <w:keepNext/>
        <w:spacing w:before="45" w:after="79" w:line="288" w:lineRule="auto"/>
        <w:jc w:val="both"/>
      </w:pPr>
      <w:r>
        <w:rPr>
          <w:rFonts w:ascii="Calibri" w:hAnsi="Calibri"/>
          <w:sz w:val="20"/>
        </w:rPr>
        <w:t>« reprise refusée » : le projet ou les tables ont changé depuis le calcul interrompu. Relancer un calcul neuf.</w:t>
      </w:r>
    </w:p>
    <w:p>
      <w:pPr>
        <w:pStyle w:val="ListBullet"/>
        <w:keepNext w:val="0"/>
        <w:spacing w:before="45" w:after="79" w:line="288" w:lineRule="auto"/>
        <w:jc w:val="both"/>
      </w:pPr>
      <w:r>
        <w:rPr>
          <w:rFonts w:ascii="Calibri" w:hAnsi="Calibri"/>
          <w:sz w:val="20"/>
        </w:rPr>
        <w:t>« RSNat non conforme » : un champ sort de son schéma ; le journal dit lequel. C'est une anomalie du moteur, à signaler.</w:t>
      </w:r>
    </w:p>
    <w:p>
      <w:pPr>
        <w:pStyle w:val="Heading1"/>
        <w:keepNext/>
        <w:spacing w:before="397" w:after="170"/>
      </w:pPr>
      <w:r>
        <w:rPr>
          <w:rFonts w:ascii="Poppins" w:hAnsi="Poppins" w:cs="Poppins" w:eastAsia="Poppins"/>
          <w:color w:val="0C3342"/>
        </w:rPr>
        <w:t>Limites de la version 1</w:t>
      </w:r>
    </w:p>
    <w:p>
      <w:pPr>
        <w:pStyle w:val="ListBullet"/>
        <w:keepNext/>
        <w:spacing w:before="45" w:after="79" w:line="288" w:lineRule="auto"/>
        <w:jc w:val="both"/>
      </w:pPr>
      <w:r>
        <w:rPr>
          <w:rFonts w:ascii="Calibri" w:hAnsi="Calibri"/>
          <w:sz w:val="20"/>
        </w:rPr>
        <w:t>La biodiversité grise ne compte pas encore la pollution : les cinq indicateurs du RSEE sont affichés sans conversion (convention C-G8). Convertis par des facteurs ouverts, ils pèseraient de 4 à 13 % du climat ; leur ajout à Inat est proposé au Biodiversity Standard Council (note « Pollution et biodiversité grise »). L'étude Carbone 4, avec un autre modèle de l'écotoxicité des métaux, trouve une part bien plus forte.</w:t>
      </w:r>
    </w:p>
    <w:p>
      <w:pPr>
        <w:pStyle w:val="ListBullet"/>
        <w:keepNext/>
        <w:spacing w:before="45" w:after="79" w:line="288" w:lineRule="auto"/>
        <w:jc w:val="both"/>
      </w:pPr>
      <w:r>
        <w:rPr>
          <w:rFonts w:ascii="Calibri" w:hAnsi="Calibri"/>
          <w:sz w:val="20"/>
        </w:rPr>
        <w:t>Le bois est fortement pénalisé par les conventions C-G4 et C-G5, premières à recalibrer.</w:t>
      </w:r>
    </w:p>
    <w:p>
      <w:pPr>
        <w:pStyle w:val="ListBullet"/>
        <w:keepNext/>
        <w:spacing w:before="45" w:after="79" w:line="288" w:lineRule="auto"/>
        <w:jc w:val="both"/>
      </w:pPr>
      <w:r>
        <w:rPr>
          <w:rFonts w:ascii="Calibri" w:hAnsi="Calibri"/>
          <w:sz w:val="20"/>
        </w:rPr>
        <w:t>La biodiversité grise n'est pas donnée par lot de la RE2020.</w:t>
      </w:r>
    </w:p>
    <w:p>
      <w:pPr>
        <w:pStyle w:val="ListBullet"/>
        <w:keepNext/>
        <w:spacing w:before="45" w:after="79" w:line="288" w:lineRule="auto"/>
        <w:jc w:val="both"/>
      </w:pPr>
      <w:r>
        <w:rPr>
          <w:rFonts w:ascii="Calibri" w:hAnsi="Calibri"/>
          <w:sz w:val="20"/>
        </w:rPr>
        <w:t>La zone climatique n'est pas déduite du département : la saisir ou la reprendre du RSEE.</w:t>
      </w:r>
    </w:p>
    <w:p>
      <w:pPr>
        <w:pStyle w:val="ListBullet"/>
        <w:keepNext w:val="0"/>
        <w:spacing w:before="45" w:after="79" w:line="288" w:lineRule="auto"/>
        <w:jc w:val="both"/>
      </w:pPr>
      <w:r>
        <w:rPr>
          <w:rFonts w:ascii="Calibri" w:hAnsi="Calibri"/>
          <w:sz w:val="20"/>
        </w:rPr>
        <w:t>Les seuils de Bnat, de pleine terre et de niveau sont en attente de validation du Biodiversity Standard Council ; Inat et Snat n'ont pas de seuil.</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0C3342"/>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0C3342"/>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0C33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0C3342"/>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d'OpenNAT</dc:title>
  <dc:subject/>
  <dc:creator>IRICE</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