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7" w:after="340"/>
      </w:pPr>
      <w:r>
        <w:rPr>
          <w:rFonts w:ascii="Poppins" w:hAnsi="Poppins" w:cs="Poppins" w:eastAsia="Poppins"/>
          <w:color w:val="1A4F9C"/>
        </w:rPr>
        <w:t>Relecture écologique de la méthode OpenNAT</w:t>
      </w:r>
    </w:p>
    <w:p>
      <w:pPr>
        <w:spacing w:before="57" w:after="227" w:line="288" w:lineRule="auto"/>
      </w:pPr>
      <w:r>
        <w:rPr>
          <w:rFonts w:ascii="Calibri" w:hAnsi="Calibri"/>
          <w:sz w:val="20"/>
        </w:rPr>
        <w:t>Notice pour l'écologue relecteur. NORMATYS, éditeur de la méthode, 19 octobre 2026. Méthode en attente de validation du Biodiversity Standard Council ; document de travail, non public.</w:t>
      </w:r>
    </w:p>
    <w:p>
      <w:pPr>
        <w:pStyle w:val="Heading1"/>
        <w:keepNext/>
        <w:spacing w:before="397" w:after="170"/>
      </w:pPr>
      <w:r>
        <w:rPr>
          <w:rFonts w:ascii="Poppins" w:hAnsi="Poppins" w:cs="Poppins" w:eastAsia="Poppins"/>
          <w:color w:val="1A4F9C"/>
        </w:rPr>
        <w:t>Pourquoi cette relecture</w:t>
      </w:r>
    </w:p>
    <w:p>
      <w:pPr>
        <w:spacing w:before="57" w:after="227" w:line="288" w:lineRule="auto"/>
      </w:pPr>
      <w:r>
        <w:rPr>
          <w:rFonts w:ascii="Calibri" w:hAnsi="Calibri"/>
          <w:sz w:val="20"/>
        </w:rPr>
        <w:t>OpenNAT mesure la nature qu'un projet de construction consomme sur son site et ailleurs, en mètres carrés d'habitat équivalent. Les valeurs de ses 191 types d'habitat viennent de deux sources étrangères : la valeur de biotope de l'ordonnance fédérale allemande de compensation (BKompV) et la métrique statutaire anglaise, avec ses grilles d'état et ses délais. La transposition à des opérations immobilières en France n'a pas encore été relue par un écologue. Le Biodiversity Standard Council en fait une condition de sa validation (décision D6 du dossier de soumission).</w:t>
      </w:r>
    </w:p>
    <w:p>
      <w:pPr>
        <w:pStyle w:val="Heading1"/>
        <w:keepNext/>
        <w:spacing w:before="397" w:after="170"/>
      </w:pPr>
      <w:r>
        <w:rPr>
          <w:rFonts w:ascii="Poppins" w:hAnsi="Poppins" w:cs="Poppins" w:eastAsia="Poppins"/>
          <w:color w:val="1A4F9C"/>
        </w:rPr>
        <w:t>Ce que nous vous demandons</w:t>
      </w:r>
    </w:p>
    <w:p>
      <w:pPr>
        <w:keepNext/>
        <w:spacing w:before="57" w:after="227" w:line="288" w:lineRule="auto"/>
      </w:pPr>
      <w:r>
        <w:rPr>
          <w:rFonts w:ascii="Calibri" w:hAnsi="Calibri"/>
          <w:sz w:val="20"/>
        </w:rPr>
        <w:t>Pour chaque ligne du classeur, dire si la valeur ou le texte retenu vous paraît juste pour des opérations en France, et le cas échéant ce qu'il faudrait retenir et sur quelle source. Le classeur compte trois feuilles :</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2733"/>
        <w:gridCol w:w="5114"/>
        <w:gridCol w:w="1789"/>
      </w:tblGrid>
      <w:tr>
        <w:trPr>
          <w:tblHeader/>
          <w:cantSplit/>
        </w:trPr>
        <w:tc>
          <w:tcPr>
            <w:tcW w:type="dxa" w:w="2734"/>
            <w:vAlign w:val="center"/>
            <w:shd w:val="clear" w:color="auto" w:fill="202335"/>
          </w:tcPr>
          <w:p>
            <w:pPr>
              <w:keepNext/>
              <w:spacing w:before="79" w:after="79" w:line="276" w:lineRule="auto"/>
            </w:pPr>
            <w:r>
              <w:rPr>
                <w:rFonts w:ascii="Calibri" w:hAnsi="Calibri"/>
                <w:b/>
                <w:color w:val="FFFFFF"/>
                <w:sz w:val="20"/>
              </w:rPr>
              <w:t>Feuille</w:t>
            </w:r>
          </w:p>
        </w:tc>
        <w:tc>
          <w:tcPr>
            <w:tcW w:type="dxa" w:w="5114"/>
            <w:vAlign w:val="center"/>
            <w:shd w:val="clear" w:color="auto" w:fill="202335"/>
          </w:tcPr>
          <w:p>
            <w:pPr>
              <w:keepNext/>
              <w:spacing w:before="79" w:after="79" w:line="276" w:lineRule="auto"/>
            </w:pPr>
            <w:r>
              <w:rPr>
                <w:rFonts w:ascii="Calibri" w:hAnsi="Calibri"/>
                <w:b/>
                <w:color w:val="FFFFFF"/>
                <w:sz w:val="20"/>
              </w:rPr>
              <w:t>Contenu</w:t>
            </w:r>
          </w:p>
        </w:tc>
        <w:tc>
          <w:tcPr>
            <w:tcW w:type="dxa" w:w="1790"/>
            <w:vAlign w:val="center"/>
            <w:shd w:val="clear" w:color="auto" w:fill="202335"/>
          </w:tcPr>
          <w:p>
            <w:pPr>
              <w:keepNext/>
              <w:spacing w:before="79" w:after="79" w:line="276" w:lineRule="auto"/>
              <w:jc w:val="center"/>
            </w:pPr>
            <w:r>
              <w:rPr>
                <w:rFonts w:ascii="Calibri" w:hAnsi="Calibri"/>
                <w:b/>
                <w:color w:val="FFFFFF"/>
                <w:sz w:val="20"/>
              </w:rPr>
              <w:t>Lignes</w:t>
            </w:r>
          </w:p>
        </w:tc>
      </w:tr>
      <w:tr>
        <w:trPr>
          <w:cantSplit/>
        </w:trPr>
        <w:tc>
          <w:tcPr>
            <w:tcW w:type="dxa" w:w="2734"/>
            <w:vAlign w:val="center"/>
          </w:tcPr>
          <w:p>
            <w:pPr>
              <w:keepNext/>
              <w:spacing w:before="79" w:after="79" w:line="276" w:lineRule="auto"/>
            </w:pPr>
            <w:r>
              <w:rPr>
                <w:rFonts w:ascii="Calibri" w:hAnsi="Calibri"/>
                <w:sz w:val="20"/>
              </w:rPr>
              <w:t>Habitats</w:t>
            </w:r>
          </w:p>
        </w:tc>
        <w:tc>
          <w:tcPr>
            <w:tcW w:type="dxa" w:w="5114"/>
            <w:vAlign w:val="center"/>
          </w:tcPr>
          <w:p>
            <w:pPr>
              <w:keepNext/>
              <w:spacing w:before="79" w:after="79" w:line="276" w:lineRule="auto"/>
            </w:pPr>
            <w:r>
              <w:rPr>
                <w:rFonts w:ascii="Calibri" w:hAnsi="Calibri"/>
                <w:sz w:val="20"/>
              </w:rPr>
              <w:t>type OpenNAT, correspondances EUNIS, BKompV et métrique anglaise, valeur intrinsèque et sa plage, valeurs des stades jeune, moyen et âgé des ligneux, délais pour atteindre chaque état, difficulté de création</w:t>
            </w:r>
          </w:p>
        </w:tc>
        <w:tc>
          <w:tcPr>
            <w:tcW w:type="dxa" w:w="1790"/>
            <w:vAlign w:val="center"/>
          </w:tcPr>
          <w:p>
            <w:pPr>
              <w:keepNext/>
              <w:spacing w:before="79" w:after="79" w:line="276" w:lineRule="auto"/>
              <w:jc w:val="center"/>
            </w:pPr>
            <w:r>
              <w:rPr>
                <w:rFonts w:ascii="Calibri" w:hAnsi="Calibri"/>
                <w:sz w:val="20"/>
              </w:rPr>
              <w:t>191</w:t>
            </w:r>
          </w:p>
        </w:tc>
      </w:tr>
      <w:tr>
        <w:trPr>
          <w:cantSplit/>
        </w:trPr>
        <w:tc>
          <w:tcPr>
            <w:tcW w:type="dxa" w:w="2734"/>
            <w:vAlign w:val="center"/>
          </w:tcPr>
          <w:p>
            <w:pPr>
              <w:keepNext/>
              <w:spacing w:before="79" w:after="79" w:line="276" w:lineRule="auto"/>
            </w:pPr>
            <w:r>
              <w:rPr>
                <w:rFonts w:ascii="Calibri" w:hAnsi="Calibri"/>
                <w:sz w:val="20"/>
              </w:rPr>
              <w:t>Grilles d'état</w:t>
            </w:r>
          </w:p>
        </w:tc>
        <w:tc>
          <w:tcPr>
            <w:tcW w:type="dxa" w:w="5114"/>
            <w:vAlign w:val="center"/>
          </w:tcPr>
          <w:p>
            <w:pPr>
              <w:keepNext/>
              <w:spacing w:before="79" w:after="79" w:line="276" w:lineRule="auto"/>
            </w:pPr>
            <w:r>
              <w:rPr>
                <w:rFonts w:ascii="Calibri" w:hAnsi="Calibri"/>
                <w:sz w:val="20"/>
              </w:rPr>
              <w:t>critères de chaque grille, critères dits essentiels, indicateurs notés de 1 à 3 de la grille des boisements, règles de notation</w:t>
            </w:r>
          </w:p>
        </w:tc>
        <w:tc>
          <w:tcPr>
            <w:tcW w:type="dxa" w:w="1790"/>
            <w:vAlign w:val="center"/>
          </w:tcPr>
          <w:p>
            <w:pPr>
              <w:keepNext/>
              <w:spacing w:before="79" w:after="79" w:line="276" w:lineRule="auto"/>
              <w:jc w:val="center"/>
            </w:pPr>
            <w:r>
              <w:rPr>
                <w:rFonts w:ascii="Calibri" w:hAnsi="Calibri"/>
                <w:sz w:val="20"/>
              </w:rPr>
              <w:t>100</w:t>
            </w:r>
          </w:p>
        </w:tc>
      </w:tr>
      <w:tr>
        <w:trPr>
          <w:cantSplit/>
        </w:trPr>
        <w:tc>
          <w:tcPr>
            <w:tcW w:type="dxa" w:w="2734"/>
            <w:vAlign w:val="center"/>
          </w:tcPr>
          <w:p>
            <w:pPr>
              <w:spacing w:before="79" w:after="79" w:line="276" w:lineRule="auto"/>
            </w:pPr>
            <w:r>
              <w:rPr>
                <w:rFonts w:ascii="Calibri" w:hAnsi="Calibri"/>
                <w:sz w:val="20"/>
              </w:rPr>
              <w:t>Conventions</w:t>
            </w:r>
          </w:p>
        </w:tc>
        <w:tc>
          <w:tcPr>
            <w:tcW w:type="dxa" w:w="5114"/>
            <w:vAlign w:val="center"/>
          </w:tcPr>
          <w:p>
            <w:pPr>
              <w:spacing w:before="79" w:after="79" w:line="276" w:lineRule="auto"/>
            </w:pPr>
            <w:r>
              <w:rPr>
                <w:rFonts w:ascii="Calibri" w:hAnsi="Calibri"/>
                <w:sz w:val="20"/>
              </w:rPr>
              <w:t>conventions de méthode sur les habitats, les sols, la connectivité, le temps, la gestion et les relevés</w:t>
            </w:r>
          </w:p>
        </w:tc>
        <w:tc>
          <w:tcPr>
            <w:tcW w:type="dxa" w:w="1790"/>
            <w:vAlign w:val="center"/>
          </w:tcPr>
          <w:p>
            <w:pPr>
              <w:spacing w:before="79" w:after="79" w:line="276" w:lineRule="auto"/>
              <w:jc w:val="center"/>
            </w:pPr>
            <w:r>
              <w:rPr>
                <w:rFonts w:ascii="Calibri" w:hAnsi="Calibri"/>
                <w:sz w:val="20"/>
              </w:rPr>
              <w:t>35</w:t>
            </w:r>
          </w:p>
        </w:tc>
      </w:tr>
    </w:tbl>
    <w:p>
      <w:pPr>
        <w:spacing w:before="57" w:after="227" w:line="288" w:lineRule="auto"/>
      </w:pPr>
      <w:r>
        <w:rPr>
          <w:rFonts w:ascii="Calibri" w:hAnsi="Calibri"/>
          <w:sz w:val="20"/>
        </w:rPr>
        <w:t>Les colonnes surlignées sont les vôtres : avis (conforme, à revoir, sans avis), valeur ou libellé proposé, source de la proposition, commentaire.</w:t>
      </w:r>
    </w:p>
    <w:p>
      <w:pPr>
        <w:pStyle w:val="Heading1"/>
        <w:keepNext/>
        <w:pageBreakBefore/>
        <w:spacing w:before="397" w:after="170"/>
      </w:pPr>
      <w:r>
        <w:rPr>
          <w:rFonts w:ascii="Poppins" w:hAnsi="Poppins" w:cs="Poppins" w:eastAsia="Poppins"/>
          <w:color w:val="1A4F9C"/>
        </w:rPr>
        <w:t>Par où commencer</w:t>
      </w:r>
    </w:p>
    <w:p>
      <w:pPr>
        <w:spacing w:before="57" w:after="227" w:line="288" w:lineRule="auto"/>
      </w:pPr>
      <w:r>
        <w:rPr>
          <w:rFonts w:ascii="Calibri" w:hAnsi="Calibri"/>
          <w:sz w:val="20"/>
        </w:rPr>
        <w:t>Toutes les lignes ne pèsent pas autant. Les opérations immobilières mobilisent surtout une vingtaine de types ; sur les cas de validation de la méthode, les plus fréquents sont la voirie et les surfaces scellées (VB.1, VB.2, VB.3), les arbres isolés (VB.18a), les haies (FA.3), les jardins (VB.7), la prairie urbaine (VB.26), les friches herbacées et arbustives (VB.8, VB.9), les toitures végétalisées (VB.11, VB.12), les cultures (I1.1), les boisements (G1.A) et les prairies de fauche (E2.2). Nous proposons de relire d'abord ces types, puis leurs grilles d'état, puis les conventions de maturation et de gestion (C-M1 à C-M3), qui pèsent le plus sur les résultats : la durée du plan de gestion change davantage la consommation de nature d'un projet que le choix des espèces plantées.</w:t>
      </w:r>
    </w:p>
    <w:p>
      <w:pPr>
        <w:pStyle w:val="Heading1"/>
        <w:keepNext/>
        <w:spacing w:before="397" w:after="170"/>
      </w:pPr>
      <w:r>
        <w:rPr>
          <w:rFonts w:ascii="Poppins" w:hAnsi="Poppins" w:cs="Poppins" w:eastAsia="Poppins"/>
          <w:color w:val="1A4F9C"/>
        </w:rPr>
        <w:t>Les sources recevables</w:t>
      </w:r>
    </w:p>
    <w:p>
      <w:pPr>
        <w:spacing w:before="57" w:after="227" w:line="288" w:lineRule="auto"/>
      </w:pPr>
      <w:r>
        <w:rPr>
          <w:rFonts w:ascii="Calibri" w:hAnsi="Calibri"/>
          <w:sz w:val="20"/>
        </w:rPr>
        <w:t>Une valeur proposée entre dans la méthode avec sa source, sur le format décrit par le guide du contributeur. Sont recevables les publications scientifiques, les référentiels publics, les textes réglementaires et des relevés documentés. Un avis sans source reste utile : il signale une ligne à reprendre, que NORMATYS instruira. Merci d'indiquer la licence de la source quand elle est connue : OpenNAT est publié sous licence libre, et une valeur dont la reprise est interdite ne peut pas y entrer.</w:t>
      </w:r>
    </w:p>
    <w:p>
      <w:pPr>
        <w:pStyle w:val="Heading1"/>
        <w:keepNext/>
        <w:spacing w:before="397" w:after="170"/>
      </w:pPr>
      <w:r>
        <w:rPr>
          <w:rFonts w:ascii="Poppins" w:hAnsi="Poppins" w:cs="Poppins" w:eastAsia="Poppins"/>
          <w:color w:val="1A4F9C"/>
        </w:rPr>
        <w:t>Ce que deviennent vos retours</w:t>
      </w:r>
    </w:p>
    <w:p>
      <w:pPr>
        <w:spacing w:before="57" w:after="227" w:line="288" w:lineRule="auto"/>
      </w:pPr>
      <w:r>
        <w:rPr>
          <w:rFonts w:ascii="Calibri" w:hAnsi="Calibri"/>
          <w:sz w:val="20"/>
        </w:rPr>
        <w:t>NORMATYS examine chaque proposition, la retient, la refuse ou la reporte, et soumet au Biodiversity Standard Council celles qui modifient une convention. Chaque valeur retenue est inscrite au journal des versions avec sa source et, si vous l'acceptez, votre nom. Le classeur et vos réponses restent confidentiels jusqu'à la publication de la méthode.</w:t>
      </w:r>
    </w:p>
    <w:p>
      <w:pPr>
        <w:pStyle w:val="Heading1"/>
        <w:keepNext/>
        <w:spacing w:before="397" w:after="170"/>
      </w:pPr>
      <w:r>
        <w:rPr>
          <w:rFonts w:ascii="Poppins" w:hAnsi="Poppins" w:cs="Poppins" w:eastAsia="Poppins"/>
          <w:color w:val="1A4F9C"/>
        </w:rPr>
        <w:t>Pièces utiles</w:t>
      </w:r>
    </w:p>
    <w:p>
      <w:pPr>
        <w:spacing w:before="57" w:after="227" w:line="288" w:lineRule="auto"/>
      </w:pPr>
      <w:r>
        <w:rPr>
          <w:rFonts w:ascii="Calibri" w:hAnsi="Calibri"/>
          <w:sz w:val="20"/>
        </w:rPr>
        <w:t>Le texte de la méthode et son édition complète (partie 4 : une fiche par habitat ; partie 6 : protocoles de relevé), le guide du contributeur (format d'une valeur et de sa source) et le dossier de soumission au Biodiversity Standard Council (décision D6).</w:t>
      </w:r>
    </w:p>
    <w:sectPr w:rsidR="00FC693F" w:rsidRPr="0006063C" w:rsidSect="00034616">
      <w:footerReference w:type="default" r:id="rId9"/>
      <w:headerReference w:type="first" r:id="rId10"/>
      <w:footerReference w:type="first" r:id="rId11"/>
      <w:headerReference w:type="default" r:id="rId12"/>
      <w:pgSz w:w="11906" w:h="16838"/>
      <w:pgMar w:top="1587" w:right="1134" w:bottom="1247" w:left="1134" w:header="283"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Page </w:t>
    </w:r>
    <w:r>
      <w:rPr>
        <w:rFonts w:ascii="Calibri" w:hAnsi="Calibri"/>
        <w:color w:val="595959"/>
        <w:sz w:val="16"/>
      </w:rPr>
      <w:fldChar w:fldCharType="begin"/>
    </w:r>
    <w:r>
      <w:rPr>
        <w:rFonts w:ascii="Calibri" w:hAnsi="Calibri"/>
        <w:color w:val="595959"/>
        <w:sz w:val="16"/>
      </w:rPr>
      <w:instrText xml:space="preserve"> PAGE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r>
      <w:rPr>
        <w:rFonts w:ascii="Calibri" w:hAnsi="Calibri"/>
        <w:color w:val="595959"/>
        <w:sz w:val="16"/>
      </w:rPr>
      <w:t xml:space="preserve"> sur </w:t>
    </w:r>
    <w:r>
      <w:rPr>
        <w:rFonts w:ascii="Calibri" w:hAnsi="Calibri"/>
        <w:color w:val="595959"/>
        <w:sz w:val="16"/>
      </w:rPr>
      <w:fldChar w:fldCharType="begin"/>
    </w:r>
    <w:r>
      <w:rPr>
        <w:rFonts w:ascii="Calibri" w:hAnsi="Calibri"/>
        <w:color w:val="595959"/>
        <w:sz w:val="16"/>
      </w:rPr>
      <w:instrText xml:space="preserve"> NUMPAGES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850" w:lineRule="exact"/>
    </w:pPr>
    <w:r>
      <w:drawing>
        <wp:anchor distT="0" distB="0" distL="0" distR="0" simplePos="0" relativeHeight="0" behindDoc="1" locked="1" layoutInCell="1" allowOverlap="1">
          <wp:simplePos x="0" y="0"/>
          <wp:positionH relativeFrom="page">
            <wp:posOffset>0</wp:posOffset>
          </wp:positionH>
          <wp:positionV relativeFrom="page">
            <wp:posOffset>9625065</wp:posOffset>
          </wp:positionV>
          <wp:extent cx="7560000" cy="1066935"/>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ied.png"/>
                  <pic:cNvPicPr/>
                </pic:nvPicPr>
                <pic:blipFill>
                  <a:blip r:embed="rId1"/>
                  <a:stretch>
                    <a:fillRect/>
                  </a:stretch>
                </pic:blipFill>
                <pic:spPr>
                  <a:xfrm>
                    <a:off x="0" y="0"/>
                    <a:ext cx="7560000" cy="1066935"/>
                  </a:xfrm>
                  <a:prstGeom prst="rect"/>
                </pic:spPr>
              </pic:pic>
            </a:graphicData>
          </a:graphic>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309" w:lineRule="exac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429694"/>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entete.png"/>
                  <pic:cNvPicPr/>
                </pic:nvPicPr>
                <pic:blipFill>
                  <a:blip r:embed="rId1"/>
                  <a:stretch>
                    <a:fillRect/>
                  </a:stretch>
                </pic:blipFill>
                <pic:spPr>
                  <a:xfrm>
                    <a:off x="0" y="0"/>
                    <a:ext cx="7560000" cy="1429694"/>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702887"/>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uite.png"/>
                  <pic:cNvPicPr/>
                </pic:nvPicPr>
                <pic:blipFill>
                  <a:blip r:embed="rId1"/>
                  <a:stretch>
                    <a:fillRect/>
                  </a:stretch>
                </pic:blipFill>
                <pic:spPr>
                  <a:xfrm>
                    <a:off x="0" y="0"/>
                    <a:ext cx="7560000" cy="10702887"/>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720" w:hanging="360"/>
      </w:pPr>
      <w:rPr>
        <w:rFonts w:ascii="OpenSymbol" w:hAnsi="OpenSymbol" w:cs="Open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13" w:after="113" w:line="240" w:lineRule="auto"/>
      <w:ind w:left="0" w:right="0" w:firstLine="0"/>
    </w:pPr>
    <w:rPr>
      <w:rFonts w:ascii="Calibri" w:hAnsi="Calibri" w:eastAsia="Calibri" w:cs="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Poppins" w:hAnsi="Poppins" w:eastAsia="Poppins" w:cs="Poppins"/>
      <w:b/>
      <w:bCs/>
      <w:i w:val="0"/>
      <w:color w:val="1A4F9C"/>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Poppins" w:hAnsi="Poppins" w:eastAsia="Poppins" w:cs="Poppins"/>
      <w:b/>
      <w:bCs/>
      <w:i w:val="0"/>
      <w:color w:val="1E7A4A"/>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Poppins" w:hAnsi="Poppins" w:eastAsia="Poppins" w:cs="Poppins"/>
      <w:b/>
      <w:bCs/>
      <w:i w:val="0"/>
      <w:color w:val="2023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jc w:val="center"/>
    </w:pPr>
    <w:rPr>
      <w:rFonts w:ascii="Poppins" w:hAnsi="Poppins" w:eastAsia="Poppins" w:cs="Poppins"/>
      <w:b/>
      <w:i w:val="0"/>
      <w:color w:val="1A4F9C"/>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pPr>
    <w:rPr>
      <w:rFonts w:ascii="Calibri" w:hAnsi="Calibri" w:eastAsia="Calibri" w:cs="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Relecture écologique de la méthode OpenNAT</dc:title>
  <dc:subject/>
  <dc:creator>NORMATYS</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