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FEUILLE DE PRÉSENCE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Assemblée Générale {type_ag_label}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(Article 338 de l’Acte Uniforme OHADA relatif au droit des sociétés commerciales et du GIE)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Société : {denomination}, {forme_juridique} au capital de {capital} {devise}.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Siège social : {siege_social}.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Date de l’Assemblée : {date_ag} à {heure_ag}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Lieu : {lieu_ag}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Nombre total de parts composant le capital social : {total_parts_capital}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{#has_associes_presents}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I. ASSOCIÉS PRÉSENTS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{#associes_presents}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{civilite} {prenom} {nom} — {parts} parts sociales — Signature : _______________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{/associes_presents}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Total des parts présentes : {total_parts_presentes}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{/has_associes_presents}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{#has_associes_representes}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II. ASSOCIÉS REPRÉSENTÉS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{#associes_representes}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{civilite} {prenom} {nom} — {parts} parts sociales — Représenté(e) par : {mandataire_nom}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{/associes_representes}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Total des parts représentées : {total_parts_representees}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{/has_associes_representes}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{#has_associes_absents}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III. ASSOCIÉS ABSENTS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{#associes_absents}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{civilite} {prenom} {nom} — {parts} parts sociales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{/associes_absents}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Total des parts absentes : {total_parts_absentes}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{/has_associes_absents}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RÉCAPITULATIF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Total des parts présentes et représentées : {total_parts_pres_repres}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Nombre total de parts composant le capital : {total_parts_capital}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Pourcentage de présence : {pourcentage_presents} %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quorum étant atteint, l’assemblée peut valablement délibérer.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Certifiée exacte et sincère par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Président de séance : {president_seance_nom}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{#has_secretaire}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Secrétaire de séance : {secretaire_nom}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{/has_secretaire}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Feuille de présence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