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Anonyme Unipersonnelle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 SOCIÉTÉ ANONYME UNIPERSONNELLE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soussigné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né(e) le {associe_date_naissance} à {associe_lieu_naissance}, de nationalité {associe_nationalite}, {associe_profession}, demeurant à {associe_adresse}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établi ainsi qu'il suit les statuts de la société anonyme unipersonnelle qui va exister sous la forme d'une société anonyme avec un actionnaire unique conformément aux dispositions de l'Acte Uniforme de l'OHADA relatif au droit des sociétés commerciales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par le soussigné une société anonyme unipersonnelle qui sera régie par l'Acte Uniforme de l'OHADA relatif au droit des sociétés commerciales et du GIE, et tous textes ultérieurs complémentaires ou modificatifs.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{#has_sigle}Son sigle est : « {sigle} ».{/has_sigle}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caractères lisibles, de l'indication de la forme de la société,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toutes opérations financières, commerciales, industrielles, mobilières et immobilières, pouvant se rattacher directement ou indirectement à l'objet ci-dessus ou à tous objets similaires ou connexes, de nature à favoriser son extension ou son développement.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en tout autre endroit par décision de l'actionnaire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une durée de {duree} ans (99 ans maximum),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exception, le premier exercice social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de la société, il a été apporté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L'apport en numéraire de FCFA {total_apports_numeraire} ({total_apports_numeraire_lettres}) correspond à {nombre_actions_numeraire} actions de FCFA {valeur_nominale} chacune, souscrites et libérées ({mode_liberation}) ainsi qu'il résulte du certificat du dépositaire établi le {date_certificat_depot} par {nom_depositaire}.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correspondantes ont été déposées, pour le compte de la société, à {lieu_depot}.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{#is_liberation_partielle}La libération du surplus interviendra dans les conditions prévues à l'article 11 ci-après, sur décision de l'actionnaire unique, dans un délai maximum de trois ans.{/is_liberation_partielle}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 Apports en nature et/ou stipulation d'avantages particuliers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en s'obligeant à toutes les garanties ordinaires et de droit, fait apport à la société de {description_apport_nature}.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cet apport, évalué à FCFA {montant_apport_nature}, {associe_civilite} {associe_prenom} {associe_nom} se voit attribuer {nombre_actions_nature}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évaluation a été faite au vu du rapport du commissaire aux apports, désigné par l'actionnaire unique, en date du {date_rapport_commissaire}, déposé au lieu du siège le {date_depot_rapport}, et dont un exemplaire est annexé aux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 Récapitulation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Apports en numéraire pour un montant total de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{#has_apports_nature}2. Apports en nature pour un montant total de FCFA {total_apports_nature}{/has_apports_nature}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Soit, au total : FCFA {total_apports} ({total_apports_lettres})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correspondant au montant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FCFA {capital} ({capital_lettres}), divisé en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{nombre_actions_numeraire} actions de numéraire de FCFA {valeur_nominale} chacune, attribuées à l'actionnaire unique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 {nombre_actions_nature} actions d'apport de FCFA {valeur_nominale} chacune, attribuées à l'actionnaire unique ;{/has_apports_nature}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soit au total {nombre_actions} actions, numérotées de 1 à {nombre_actions}, toutes détenues par l'actionnaire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réduit ou amorti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soit par émission d'actions nouvelles, soit par majoration du montant nominal des actions existantes.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nouvelles sont libérées soit en espèces, soit par compensation avec des créances certaines, liquides et exigibles sur la société, soit par incorporation de réserves, bénéfices ou primes d'émission, soit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L'augmentation du capital est décidée par l'actionnaire unique, sur le rapport de l'administrateur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réduit, soit par la diminution de la valeur nominale des actions, soit par la diminution du nombre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est décidée par l'actionnaire unique. Elle est réalisée dans le respect des droits des créanciers.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unique peut décider l'amortissement du capital par prélèvement sur les bénéfices ou sur les réserves, à l'exclusion de la réserve légale,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Comptes courants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unique peut mettre ou laisser à la disposition de la société, toutes sommes, produisant ou non intérêts, dont celle-ci peut avoir besoin.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modalités de ces prêts sont arrêtées par accord entre l'administrateur général et l'actionnaire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Libération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de numéraire émises à la suite d'une augmentation de capital résultant pour partie d'une incorporation de réserves, bénéfices ou primes d'émission et pour partie d'un versement en espèces, doivent être intégralement libérées lors de leur souscription. Toutes autres actions de numéraire peuvent être libérées, lors de leur souscription, du quart.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libération du surplus intervient en une ou plusieurs fois sur décision de l'administrateur général ou de l'actionnaire unique dans un délai maximum de trois ans à compter soit de l'immatriculation de la société, soit du jour où l'augmentation de capital est devenue définitive.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Forme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sont nominatives.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est habilité à tenir les registres de titres nominatifs émis par la société. Les registres contiennent les mentions relatives aux opérations de transfert, de conversion, de nantissement et de séquestre des titres, et notamment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date de l'opération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Les nom, prénoms et domicile de l'ancien et du nouveau titulaire des titres, en cas de transfert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La valeur nominale et le nombre de titres transférés ou convertis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Le cas échéant, si la société a émis des actions de différentes catégories, la catégorie et les caractéristiques des actions transférées ou converties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Un numéro d'ordre affecté à l'opération.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les écritures contenues dans les registres doivent être signées par l'actionnaire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Cession et transmission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ne sont négociables qu'après l'immatriculation de la société au registre du commerce et du crédit mobilier. En cas d'augmentation de capital, les actions sont négociables à compter de l'inscription de la mention modificative. Les actions de numéraire ne sont négociables qu'après avoir été entièrement libérées.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doit être constatée par écrit. Elle n'est rendue opposable à la société qu'après l'accomplissement de l'une des formalités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signification de la cession à la société par acte d'huissier ou notification par tout moyen permettant d'établir sa réception effective par le destinataire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acceptation de la cession par la société dans un acte authentique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dépôt d'un original de l'acte de cession au siège social contre remise par l'administrateur général d'une attestation de dépôt.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tant que société à actionnaire unique, les cessions d'actions sont libres après l'immatriculation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Droits et obligations attachés aux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chaque action est attaché un droit de vote proportionnel à la quotité du capital qu'elle représente et chaque action donne droit à une voix au moins.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chaque action est attaché un droit au dividende proportionnel à la quotité du capital qu'elle représente.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unique ne supporte les pertes qu'à concurrence de ses apports. Les droits et obligations attachés à l'action suivent le titre dans quelle que main qu'il passe. La propriété d'une action emporte de plein droit adhésion aux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Administration et direction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Nomination de l'administrateur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administrée par un administrateur général qui en assume la direction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premier administrateur général est désigné dans les statuts pour une durée de deux (2) ans (au plus).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Est nommé premier administrateur général : {ag_civilite} {ag_prenom} {ag_nom}, né(e) le {ag_date_naissance} à {ag_lieu_naissance}, de nationalité {ag_nationalite}, demeurant à {ag_adresse}.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cours de vie sociale, l'administrateur général est nommé par décision de l'actionnaire unique, pour un mandat ne pouvant excéder six (6) ans.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choisi parmi les actionnaires ou en dehors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 mandat est renouvelable.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Responsabilité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interdit à l'administrateur général et à l'administrateur général adjoint, ainsi qu'à leurs conjoints, ascendants, descendants et aux personnes interposées, de contracter, sous quelque forme que ce soit, des emprunts auprès de la société, de se faire consentir par elle un découvert en compte courant ou autrement, ainsi que de faire cautionner ou avaliser par elle leurs engagements envers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Attributions de l'administrateur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est investi des pouvoirs les plus étendus pour agir en toutes circonstances au nom de la société et les exerce dans la limite de l'objet social et sous réserve de ceux expressément attribués à l'actionnaire unique par la loi et les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arrête les comptes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représente la société dans ses rapports avec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ses rapports avec les tiers, la société est engagée par les actes de l'administrateur général qui ne relèvent pas de l'objet social, à moins qu'elle ne prouve que les tiers savaient que l'acte dépassait cet objet ou qu'ils ne pouvaient l'ignorer compte tenu des circonstances, sans que la seule publication des statuts suffise à constituer cette preuve.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Conventions réglementées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 respect des dispositions légales relatives aux conventions réglementées, l'administrateur général présente à l'actionnaire unique un rapport sur les conventions qu'il a conclues avec la société, directement ou indirectement, ou par personne interposée.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unique approuve ou désapprouve lesdites conventions et consigne sa décision dans le registre prévu à cet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interdit à l'administrateur général et à l'administrateur général adjoint, ainsi qu'à leurs conjoints, ascendants, descendants et aux personnes interposées, de contracter, sous quelque forme que ce soit, des emprunts auprès de la société, de se faire consentir par elle un découvert en compte courant ou autrement, ainsi que de faire cautionner ou avaliser par elle leurs engagements envers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Décisions de l'actionnaire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unique exerce les pouvoirs dévolus aux assemblées générales ordinaires et extraordinaires.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Ses décisions sont consignées dans un registre spécial tenu au siège social, coté et paraphé par le greffier du tribunal compétent.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unique ne peut déléguer ses pouvoirs. Toute clause statutaire contraire est réputée non écrite.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Commissaires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contrôle est exercé par un ou plusieurs commissaires aux comptes titulaires et exerçant leur mission conformément à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ou plusieurs commissaires aux comptes suppléants appelés à remplacer les titulaires en cas de refus, d'empêchement, de démission ou de décès, sont désignés en même temps que le ou les titulaires et pour la même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nommés comme premiers commissaires aux comptes, pour une durée de deux exercices sociaux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titulaire, {cac_titulaire_civilite} {cac_titulaire_prenom} {cac_titulaire_nom}, demeurant à {cac_titulaire_adresse}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suppléant, {cac_suppleant_civilite} {cac_suppleant_prenom} {cac_suppleant_nom}, demeurant à {cac_suppleant_adresse}.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Leur mandat arrivera à expiration à l'issue de la décision de l'actionnaire unique qui statue sur les comptes du deuxième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du mandat des commissaires aux comptes désignés en cours de vie sociale est de six exercices.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l'administrateur général établit et arrête les états financiers de synthèse.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établit un rapport de gestion dans lequel il expose la situation de la société durant l'exercice écoulé, son évolution prévisible et les perspectives de continuation de l'activité, l'évolution de la situation de trésorerie et le plan de financement.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comptes annuels et le rapport de gestion sont communiqués au commissaire aux comptes et à l'actionnaire unique dans les six mois suivant la clôture de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sur le bénéfice de l'exercice diminué, le cas échéant, des pertes antérieures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une dotation à la réserve légale égale à un dixième au moins. Cette dotation cesse d'être obligatoire lorsque la réserve atteint le cinquième du montant du capital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les dotations nécessaires aux réserves statutaires.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unique peut décider la distribution de tout ou partie des réserves à l'exception de celles déclarées indisponibles par la loi ou par les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mise en paiement des dividendes doit avoir lieu dans un délai maximum de neuf mois après la clôture de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23 : Dissolution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 la société deviennent inférieurs à la moitié du capital social, l'administrateur général est tenu, dans les quatre mois qui suivent l'approbation des comptes ayant fait apparaître cette perte, de consulter l'actionnaire unique à l'effet de décider si la dissolution anticipée de la société a lieu.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dissolution n'est pas prononcée, la société est tenue, au plus tard à la clôture du deuxième exercice suivant celui au cours duquel la constatation des pertes est intervenue, de réduire son capital, d'un montant au moins égal à celui des pertes qui n'ont pu être imputées sur les réserves si, dans ce délai, les capitaux propres n'ont pas été reconstitués à concurrence d'une valeur au moins égale à la moitié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Dissolution volontaire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peut être dissoute par l'arrivée du terme ou par la volonté de l'actionnaire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Effets de la 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entraîne sa mise en liquidation. Un liquidateur est nommé par l'actionnaire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représente la société qu'il engage pour tous les actes de la liquidation. Il est investi des pouvoirs les plus étendus pour réaliser l'actif, même à l'amiable. Il est habilité à payer les créanciers et à répartir le solde disponible.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24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un original.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w:t>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(nom et 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 : _____</w:t>
    </w:r>
    <w:r>
      <w:rPr>
        <w:sz w:val="18"/>
      </w:rPr>
      <w:tab/>
    </w:r>
    <w:r>
      <w:rPr>
        <w:rFonts w:ascii="Times New Roman" w:hAnsi="Times New Roman"/>
        <w:sz w:val="18"/>
      </w:rPr>
      <w:t xml:space="preserve">Statuts SA UNI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SA Unipersonnelle au capital de {capital} {devise}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