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Anonyme avec Conseil d’Administration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ANONYME AVEC CONSEIL D’ADMINISTRATION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anonyme avec conseil d’administration qui va exister entre eux et tous autres propriétaires d’actions qui pourraient entrer dans la société ultérieurement.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anonyme avec conseil d’administration qui sera régie par l’Acte Uniforme de l’OHADA relatif au droit des sociétés commerciales et du GIE, et tous textes ultérieurs complémentaires ou modificatifs.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{#has_sigle}Éventuellement : 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toutes opérations financières, commerciales, industrielles, mobilières et immobilières, pouvant se rattacher directement ou indirectement à l’objet ci-dessus ou à tous objets similaires ou connexes, de nature à favoriser son extension ou son développement.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dans les limites du territoire d’un même État partie par décision du conseil d’administration qui modifie les statuts en conséquence, sous réserve de la ratification de cette décision par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une durée de {duree} ans (99 ans maximum),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de la société, il a été apporté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 l’apport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numéraire de FCFA {total_apports_numeraire} ({total_apports_numeraire_lettres}) correspondent à {nombre_actions_numeraire} actions de FCFA {valeur_nominale} chacune, souscrites et libérées ({mode_liberation})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soit FCFA {montant_surplus} par action interviendra dans les conditions prévues à l’article 11 ci-après.{/is_liberation_partielle}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 et/ou stipulation d’avantages particuliers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cet apport, évalué à FCFA {montant_apport_nature}, {civilite} {prenom} {nom} se voit attribuer {actions_nature}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évaluation a été faite au vu du rapport de {commissaire_apports_nom}, commissaire aux apports, désigné à l’unanimité des futurs associés, en date du {date_rapport_commissaire}, déposé au lieu du futur siège le {date_depot_rapport}, et dont un exemplaire est annexé aux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Apports en numéraire pour un montant total de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{#has_apports_nature}2. Apports en nature pour un montant total de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Soit, au total : FCFA {total_apports} ({total_apports_lettres})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correspondant au montant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divisé 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{nombre_actions_numeraire} actions de numéraire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 actions numérotées de {numero_debut} à {numero_fin}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{nombre_actions_nature} actions d’apport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{actions_nature} actions numérotées de {numero_debut_nature} à {numero_fin_nature}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réduit ou amorti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soit par émission d’actions nouvelles, soit par majoration du montant nominal des actions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sont libérées soit en espèces, soit par compensation avec des créances certaines, liquides et exigibles sur la société, soit par incorporation de réserves, bénéfices ou primes d’émission,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compétente pour décider, sur le rapport du conseil d’administration, une augmentation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ont, proportionnellement au montant de leurs actions, un droit de préférence à la souscription des actions de numéraire émises pour réaliser une augmentation de capital, droit auquel ils peuvent renoncer à titre individuel. Ils disposent, en outre, d’un droit de souscription à titre réductible si l’assemblée générale l’a décidé expressément.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droit à l’attribution d’actions nouvelles, à la suite de l’incorporation au capital de réserves, bénéfices ou primes d’émission, appartient au nu-propriétaire, sous réserve des droits de l’usufruitier.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droits sont négociables ou cessibles comme les actions auxquelles ils sont attachés.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actions, soit par la diminution du nombre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autorisée ou décidée par l’assemblée générale extraordinaire, qui peut déléguer au conseil d’administration tous les pouvoirs pour la réaliser.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Mais en aucun cas la réduction du capital ne peut porter atteinte à l’égalité des actionnaires sauf consentement exprès de ceux-ci. Elle est décidée dans le respect des droits des créanciers.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peut décider l’amortissement du capital par prélèvement sur les bénéfices ou sur les réserves, à l’exclusion de la réserve légale et sauf autorisation de l’assemblée générale extraordinaire, des réserves statutaires,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peuvent mettre ou laisser à la disposition de la société, toutes sommes, produisant ou non intérêts, dont celle-ci peut avoir besoin.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modalités de ces prêts sont arrêtées par le conseil d’administration et l’intéressé.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Lorsque le prêt est consenti par un administrateur ou le directeur général, il constitue une convention réglementée soumise aux dispositions de l’article 20 ci-après.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Libération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de numéraire émises à la suite d’une augmentation de capital résultant pour partie d’une incorporation de réserves, bénéfices ou primes d’émission et pour partie d’un versement en espèces, doivent être intégralement libérées lors de leur souscription. Toutes autres actions de numéraire peuvent être libérées, lors de leur souscription, du quart au moins de leur valeur nominale.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libération du surplus intervient en une ou plusieurs fois sur décision du conseil d’administration dans un délai maximum de trois ans à compter soit de l’immatriculation de la société, soit du jour où l’augmentation de capital est devenue définitive.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qui le souhaitent peuvent procéder à des versements anticipés.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appels de fonds sont portés à la connaissance des souscripteurs {jours_appel_fonds} jours au moins avant la date fixée pour chaque versement, par lettre au porteur contre récépissé ou par lettre recommandée avec demande d’avis de réception, adressée à chaque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défaut par l’actionnaire de se libérer aux époques fixées par le conseil d’administration, les sommes dues sont, de plein droit, productives d’intérêt au taux de l’intérêt légal, à compter de la date d’exigibilité, sans préjudice des autres recours et sanctions prévus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Forme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sont nominatives.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du conseil d’administration est habilité à tenir les registres de titres nominatifs émis par la société. Les registres contiennent les mentions relatives aux opérations de transfert, de conversion, de nantissement et de séquestre des titres, et notamment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date de l’opération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nom, prénoms et domicile de l’ancien et du nouveau titulaire des titres, en cas de transfert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 valeur nominale et le nombre de titres transférés ou convertis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Le cas échéant, si la société a émis des actions de différentes catégories, la catégorie et les caractéristiques des actions transférées ou converties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Un numéro d’ordre affecté à l’opération.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les écritures contenues dans les registres doivent être signées par le président du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titres nominatifs sont représentés par des certificats indiquant les nom, prénoms et domicile du titulaire, le nombre d’actions, la valeur nominale, le numéro des actions possédées par le titulaire et la date de jouissance.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Cession et transmission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ne sont négociables qu’après l’immatriculation de la société au registre du commerce et du crédit mobilier. En cas d’augmentation de capital, les actions sont négociables à compter de l’inscription de la mention modificative. Les actions de numéraire ne sont négociables qu’après avoir été entièrement libérées. Elles demeurent négociables après la dissolution de la société et jusqu’à la clôture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doit être constatée par écrit. Elle n’est rendue opposable à la société qu’après l’accomplissement de l’une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signification de la cession à la société par acte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dépôt d’un original de l’acte de cession au siège social contre remise par le président du conseil d’administration d’une attestation de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n’est opposable aux tiers qu’après accomplissement de l’une des formalités ci-dessus et publicité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de transfert des actions sont à la charge des cessionnaires, sauf convention contraire entre cédants et cessionnaires.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cessions entre actionnaires, ou au profit des héritiers, des conjoints, des ascendants et descendants ou encore la liquidation de la communauté des biens entre époux sont libres.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 à des tiers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d’agrément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transmission d’actions à un tiers étranger, soit à titre onéreux, soit à titre gratuit, sauf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transmission au profit des héritiers en cas de succession ou aux époux en cas de liquidation de la communauté des biens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cession à un conjoint, ascendant, descendant, est soumise à l’agrément de l’assemblée générale ordinaire des actionnaires dans les conditions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joint à sa demande d’agrément adressée à la société par lettre au porteur contre récépissé ou par lettre recommandée avec demande d’avis de réception, ou par télécopie, les nom, prénoms, qualité et adresse du cessionnaire proposé, le nombre d’actions dont la transmission est envisagée et le prix offert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L’agrément résulte soit d’une notification, soit du défaut de réponse dans le délai de trois (3) mois à compter de la demande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la société n’agrée pas le cessionnaire proposé, le conseil d’administration est tenu dans le délai de trois (3) mois à compter de la notification de refus, de faire acquérir les actions soit par un ou plusieurs actionnaire(s), soit par un tiers, soit par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À défaut d’accord entre les parties, le prix de cession est déterminé à dire d’expert désigné, soit par les parties, soit à défaut d’accord entre elles, par la juridiction compétente à la demande de la partie la plus diligente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à l’expiration du délai de trois (3) mois à compter du refus d’agrément, l’achat n’est pas réalisé, l’agrément est considéré comme donné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peut, à tout moment, renoncer à la cession de ses actions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Toute cession d’actions réalisée en violation de la clause d’agrément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de préemption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qui entend céder tout ou partie de ses actions est tenu de le notifier à tous les actionnaires, qui peuvent faire connaître au cédant qu’ils exercent un droit de préemption aux prix et conditions qui lui ont été notifiés.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notification doit être effectuée par lettre au porteur contre récépissé ou par lettre recommandée avec demande d’avis de réception, ou par télécopie les nom, prénoms, qualité et adresse du cessionnaire proposé, le nombre d’actions dont la transmission est envisagée et le prix offert.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l’expiration du délai de {delai_preemption} mois à compter de la réception de la notification, si les droits de préemption n’ont pas été exercés en totalité sur les actions concernées, le cédant pourra réaliser librement la cession.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cession d’actions réalisée en violation du droit de préemption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d’inaliénabilité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Pendant une durée de {duree_inalienabilite} années (cette durée ne peut dépasser 10 ans) à compter de {date_debut_inalienabilite}, les actionnaires ne pourront céder les actions ainsi que les droits de souscription et d’attribution en cas d’augmentation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Droits et obligations attachés aux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chaque action est attaché un droit de vote proportionnel à la quotité du capital qu’elle représente et chaque action donne droit à une voix au moins. En outre, elle donne droit au vote et à la représentation dans les assemblées générales, dans les conditions légales et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droit de vote double de celui conféré aux autres actions, eu égard à la quotité du capital qu’elles représentent, peut être conféré par l’assemblée générale extraordinaire aux actions nominatives entièrement libérées pour lesquelles il est justifié d’une inscription nominative depuis au moins deux (2) ans au nom d’un même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chaque action est attaché un droit au dividende proportionnel à la quotité du capital qu’elle représente.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peut décider la création d’actions de préférence jouissant d’avantages particuliers par rapport à toutes les autres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ne supportent les pertes qu’à concurrence de leurs apports. Les droits et obligations attachés à l’action suivent le titre dans quelle que main qu’il passe. La propriété d’une action emporte de plein droit adhésion aux statuts et aux décisions de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Composition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administrée par un conseil d’administration composé de trois (3) membres au moins et de douze (12) membres au plus.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administrateurs sont nommés par l’assemblée générale ordinaire pour une durée de {duree_mandat_admin}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premiers administrateurs sont désignés dans les statuts pour une durée de six (6) ans au plus, et en cours de vie sociale pour une durée de six (6) ans au plus. Leur mandat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premiers administrateurs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{/administrateurs}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Cooptation et vacances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vacance par décès ou par démission d’un ou plusieurs sièges d’administrateur, le conseil d’administration peut, entre deux assemblées générales, procéder à des nominations à titre provisoire. Les nominations ainsi faites par le conseil d’administration sont soumises à ratification de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nommé en remplacement d’un autre ne demeure en fonction que pendant la durée restant à courir du mandat de son prédécesseur.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Cumul de mandats et qualité de salarié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Une même personne physique ne peut appartenir simultanément à plus de cinq (5) conseils d’administration de sociétés anonymes ayant leur siège social sur le territoire d’un même État partie.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salarié de la société peut être nommé administrateur. Toutefois, son contrat de travail doit correspondre à un emploi effectif. Le nombre des administrateurs liés à la société par un contrat de travail ne peut dépasser le tiers des membres du conseil.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Présidence et délibérations du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Présidence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élit parmi ses membres personnes physiques un président. Il détermine la durée de son mandat qui ne peut excéder celle de son mandat d’administrateur. Le président est rééligible.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Une même personne physique ne peut exercer simultanément plus de trois (3) mandats de président de conseil d’administration de sociétés anonymes ayant leur siège social sur le territoire d’un même État partie.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Convocation et lieu de réunion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est convoqué par le président, par lettre au porteur contre récépissé ou lettre recommandée avec demande d’avis de réception, télécopie ou courrier électronique, {jours_convocation_ca} jours au moins avant la date de la réunion. Toutefois, ce délai peut être réduit ou la convocation verbale en cas d’urgence.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se réunit au siège social ou en tout autre lieu indiqué dans la convocation, sur le territoire de l’État partie du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Quorum et majorité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ne délibère valablement que si la moitié au moins de ses membres sont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sont prises à la majorité des membres présents ou représentés. {#voix_preponderante}En cas de partage des voix, la voix du président de séance est prépondérante.{/voix_preponderante}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Représentation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{#representation_ca_libre}Un administrateur peut se faire représenter par un mandataire de son choix.{/representation_ca_libre}{#representation_ca_administrateur}Un administrateur ne peut se faire représenter que par un autre administrateur.{/representation_ca_administrateur} Chaque administrateur ne peut disposer, au cours d’une même séance, que d’une seule procuration.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Visioconférence et procès-verbaux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administrateurs peuvent participer aux réunions du conseil d’administration par visioconférence ou par tout autre moyen de télécommunication permettant leur identification et garantissant leur participation effective, sauf pour l’adoption des décisions relatives à l’établissement des comptes annuels et du rapport de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délibérations du conseil d’administration sont constatées par des procès-verbaux établis sur un registre spécial tenu au siège social, côté et paraphé par le juge de la juridiction compétente. Les procès-verbaux sont signés par le président de séance et par au moins un administrateur.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Pouvoirs du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détermine les orientations de l’activité de la société et veille à leur mise en œuvre. Sous réserve des pouvoirs expressément attribués aux assemblées d’actionnaires et dans la limite de l’objet social, il se saisit de toute question intéressant la bonne marche de la société et règle par ses délibérations les affaires qui la concernent.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procède aux contrôles et vérifications qu’il juge opportuns. Il peut confier à un ou plusieurs de ses membres ou à des tiers, actionnaires ou non, tous mandats spéciaux pour un ou plusieurs objets déterminés.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décider la création de comités chargés d’étudier les questions que lui-même ou son président soumet, pour avis, à leur examen.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Direction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{#variante_pca_dg}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Variante : Président du conseil d’administration et directeur général séparés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Président du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du conseil d’administration préside les réunions du conseil d’administration. Il veille au bon fonctionnement des organes de la société et s’assure que les administrateurs sont en mesure de remplir leur mission. Il organise et dirige les travaux du conseil d’administration dont il rend compte à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du conseil d’administration représente le conseil d’administration. Il est le garant du bon fonctionnement du conseil.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direction générale de la société est assumée, sous sa responsabilité, par une personne physique nommée par le conseil d’administration, qui fixe sa rémunération et la durée de son mandat. Le directeur général est révocable à tout moment par le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directeur général est investi des pouvoirs les plus étendus pour agir en toute circonstance au nom de la société. Il exerce ses pouvoirs dans la limite de l’objet social et sous réserve de ceux que la loi attribue expressément aux assemblées d’actionnaires et au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dans ses rapports avec les tiers. La société est engagée même par les actes du directeur général qui ne relèvent pas de l’objet social, à moins qu’elle ne prouve que le tiers savait que l’acte dépassait cet objet ou qu’il ne pouvait l’ignorer compte tenu des circonstances.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directeur général peut être lié à la société par un contrat de travail à condition que celui-ci corresponde à un emploi effectif.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d’empêchement temporaire du directeur général, le conseil d’administration peut déléguer un administrateur dans les fonctions de directeur général pour une durée limitée.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directeur général est révocable à tout moment par le conseil d’administration. Si la révocation est décidée sans juste motif, elle peut donner lieu à dommages et intérêts.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{/variante_pca_dg}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{#variante_pdg}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Variante : Président-directeur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du conseil d’administration assume, sous sa responsabilité, la direction générale de la société. Il prend le titre de président-directeur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président-directeur général est investi des pouvoirs les plus étendus pour agir en toute circonstance au nom de la société. Il exerce ses pouvoirs dans la limite de l’objet social et sous réserve de ceux que la loi attribue expressément aux assemblées d’actionnaires et au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dans ses rapports avec les tiers. La société est engagée même par les actes du président-directeur général qui ne relèvent pas de l’objet social, à moins qu’elle ne prouve que le tiers savait que l’acte dépassait cet objet ou qu’il ne pouvait l’ignorer compte tenu des circonstances.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président-directeur général peut être lié à la société par un contrat de travail à condition que celui-ci corresponde à un emploi effectif.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de directeur général a la même durée que son mandat de président du conseil d’administration. Il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d’empêchement temporaire du président-directeur général, le conseil d’administration peut déléguer un administrateur dans les fonctions de directeur général pour une durée limitée.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président-directeur général est révocable à tout moment par le conseil d’administration de ses fonctions de directeur général et de président. Si la révocation est décidée sans juste motif, elle peut donner lieu à dommages et intérêts.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{/variante_pdg}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Rémunération des dirigeants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Indemnités des administrateurs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peut allouer aux administrateurs, en rémunération de leur activité, une somme fixe annuelle à titre d’indemnité de fonction. Le montant de cette indemnité est porté aux charges d’exploitation.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répartition de la rémunération entre les administrateurs est déterminée par le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Rémunérations exceptionnelles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peut allouer à certains de ses membres des rémunérations exceptionnelles pour des missions ou mandats qui leur sont confiés.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Rémunération du directeur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rémunération du directeur général est fixée par le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Avantages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peut également autoriser le remboursement des frais de voyage, déplacements et dépenses engagés dans l’intérêt de la société par les administrateurs et le directeur général, ainsi que leur allouer des avantages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Conventions réglementées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Conventions soumises à autorisation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convention intervenant entre la société et l’un de ses administrateurs, son directeur général ou son directeur général adjoint, doit être soumise à l’autorisation préalable du conseil d’administration.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en est de même des conventions auxquelles un administrateur, le directeur général ou le directeur général adjoint est indirectement intéressé ou dans lesquelles il traite avec la société par personne interposée.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également soumises à autorisation préalable du conseil d’administration les conventions intervenant entre la société et une entreprise ou une personne morale, si l’un des administrateurs, le directeur général ou le directeur général adjoint de la société est propriétaire, associé indéfiniment responsable, gérant, administrateur, directeur général, directeur général adjoint ou administrateur général de l’entreprise ou de la personne morale contractante.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Rapport au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L’administrateur, le directeur général ou le directeur général adjoint intéressé est tenu d’informer le conseil d’administration dès qu’il a connaissance d’une convention à laquelle les dispositions ci-dessus sont applicables. Le président du conseil d’administration avise le commissaire aux comptes de toutes les conventions autorisées dans le délai d’un mois à compter de leur conclusion.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commissaire aux comptes présente, sur ces conventions, un rapport spécial à l’assemblée générale qui statue sur ce rapport.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Conventions interdites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peine de nullité du contrat, il est interdit aux administrateurs, au directeur général et au directeur général adjoint, ainsi qu’à leurs conjoints, ascendants, descendants et aux personnes interposées, de contracter, sous quelque forme que ce soit, des emprunts auprès de la société, de se faire consentir par elle un découvert en compte courant ou autrement, ainsi que de faire cautionner ou avaliser par elle leurs engagements envers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convoquées par le conseil d’administration, ou à défaut par le commissaire aux comptes ou par toute personne habilitée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convocation est faite quinze (15) jours au moins avant la date de l’assemblée, soit par avis inséré dans un journal d’annonces légales, soit par lettre au porteur contre récépissé ou lettre recommandée avec demande d’avis de réception, télécopie ou courrier électronique. Les convocations par télécopie et courrier électronique ne sont valables que si l’actionnaire a préalablement donné son accord écrit et communiqué son numéro de télécopie ou son adresse électronique, selon le cas.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Lieu de réunion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réunies au siège social ou en tout autre endroit du territoire de l’État partie où se situe le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Participation et représentation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actionnaire a le droit de participer aux assemblées sur justification de son identité, et de l’inscription préalable des actions au nom de l’actionnaire le jour de l’assemblée générale dans les registres de titres nominatifs tenus par la société, ou de la production d’un certificat de dépôt des actions au porteur délivré par l’établissement bancaire ou financier dépositaire de ces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{#representation_ag_libre}Un actionnaire peut se faire représenter par un mandataire de son choix, qu’il soit actionnaire ou un tiers.{/representation_ag_libre}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{#representation_ag_actionnaire}Un actionnaire ne peut se faire représenter que par un actionnaire.{/representation_ag_actionnaire}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Feuille de présence et bureau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chaque assemblée générale, il est tenu une feuille de présence émargée par les actionnaires présents et par les mandataires au moment de l’entrée en séance.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procurations sont annexées à la feuille de présence à la fin de l’assemblée.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feuille de présence est certifiée sincère et véritable, sous leur responsabilité, par les scrutateurs.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bureau de l’assemblée comprend un président et deux scrutateurs qui sont les deux actionnaires représentant le plus grand nombre d’actions par eux-mêmes ou comme mandataires, sous réserve de leur acceptation.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secrétaire qui peut ou non être actionnaire est nommé pour établir le procès-verbal des débats.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procès-verbal de l’assemblée est signé des membres du bureau et archivé au siège de la société avec la feuille de présence et ses annexes.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prend toutes les décisions autres que celles qui sont expressément réservées aux Assemblées Générales Extraordinaires et aux assemblées spéciales.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est réunie au moins une fois par an, dans les six mois de la clôture de l’exercice, sous réserve de la prorogation de ce délai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ne délibère valablement, sur première convocation, que si les actionnaires présents ou représentés possèdent au moins le quart des actions ayant le droit de vote. Sur deuxième convocation, aucun quorum n’est requis.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statue à la majorité des voix exprimées. Dans le cas où il est procédé à un scrutin, il n’est pas tenu compte des bulletins blancs dont disposent les actionnaires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habilitée à modifier les statuts dans toutes leurs dispositions. Tout actionnaire peut participer aux assemblées générales extraordinaires sans qu’une limitation de voix puisse lui être opposée.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ne délibère valablement que si les actionnaires présents ou représentés possèdent au moins la moitié des actions, sur première convocation, et le quart des actions, sur deuxième et troisième convocations.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statue à la majorité des deux tiers des voix exprimées. Lorsqu’il est procédé à un scrutin, il n’est pas tenu compte des bulletins blancs. Cependant, la décision de transfert du siège social sur le territoire d’un autre État est prise à l’unanimité des membres présents ou représentés.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spéciale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réunit les titulaires d’actions d’une catégorie déterminée. Elle approuve ou désapprouve les décisions des assemblées générales lorsque ces décisions modifient les droits de ses membres.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ne délibère valablement que si les actionnaires présents ou représentés possèdent au moins la moitié des actions, sur première convocation, et le quart des actions, sur deuxième et troisième convocations.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spéciale statue à la majorité des deux tiers des voix exprimées. Il n’est pas tenu compte des bulletins blancs.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est exercé par un ou plusieurs commissaires aux comptes titulaires et exerçant leur mission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ou plusieurs commissaires aux comptes suppléants appelés à remplacer les titulaires en cas de refus, d’empêchement, de démission ou de décès, sont désignés en même temps que le ou les titulaires et pour la même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comme premiers commissaires aux comptes, pour une durée de deux exercices sociaux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titulaire, {cac_titulaire_civilite} {cac_titulaire_prenom} {cac_titulaire_nom}, demeurant à {cac_titulaire_adresse}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suppléant, {cac_suppleant_civilite} {cac_suppleant_prenom} {cac_suppleant_nom}, demeurant à {cac_suppleant_adresse}.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Leur mandat arrivera à expiration à l’issue de l’assemblée générale qui statue sur les comptes du deuxième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du mandat des commissaires aux comptes désignés en cours de vie sociale est de six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la clôture de chaque exercice, le conseil d’administration établit et arrête les états financiers de synthèse conformément aux dispositions de l’Acte Uniforme relatif au droit comptable et à l’information financière.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conseil d’administration établit un rapport de gestion dans lequel il expose la situation de la société durant l’exercice écoulé, son évolution prévisible et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annuels et le rapport de gestion sont communiqués au commissaire aux comptes et présentés à l’assemblée générale ordinaire annuelle dans les conditions prévues par les dispositions de l’Acte Uniforme relatif au droit des sociétés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24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dotation à la réserve légale égale à un dixième au moins. Cette dotation cesse d’être obligatoire lorsque la réserve atteint le cinquième du montant du capital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dotations nécessaires aux réserves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peut également décider la distribution de tout ou partie des réserves à l’exception de celles déclarées indisponibles par la loi ou par les statuts. Dans ce cas, elle indique expressément les postes de réserve sur lesquels les prélèvements sont effectués.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mise en paiement des dividendes doit avoir lieu dans un délai maximum de neuf mois après la clôture de l’exercice. Ce délai peut être prorogé par le président de la juridiction compétente.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25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le conseil d’administration est tenu, dans les quatre mois qui suivent l’approbation des comptes ayant fait apparaître cette perte, de convoquer l’assemblée générale extraordinaire à l’effet de décider si la dissolution anticipée de la société a lieu.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n’est pas prononcée, la société est tenue, au plus tard à la clôture du deuxième exercice suivant celui au cours duquel la constatation des pertes est intervenue, de réduire son capital, d’un montant au moins égal à celui des pertes qui n’ont pu être imputées sur les réserves si, dans ce délai, les capitaux propres n’ont pas été reconstitués à concurrence d’une valeur au moins égale à la moitié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décision de l’assemblée générale extraordinaire est déposée au greffe du tribunal chargé des affaires commerciales du lieu du siège social et inscrite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est publiée dans un journal d’annonces légales.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Dissolution non motivée par des pertes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peut être dissoute par l’arrivée du terme ou par la volonté des actionnaires réunis en 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Effets de la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Un ou plusieurs liquidateurs sont nommés parmi les actionnaires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représente la société qu’il engage pour tous les actes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investi des pouvoirs les plus étendus pour réaliser l’actif, même à l’amiable. Il est habilité à payer les créanciers et à répartir entre les associés le solde disponible. Il ne peut continuer les affaires en cours ou en engager de nouvelles, pour les besoins de la liquidation, que s’il y a été autorisé par l’organe qui l’a désigné.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26 : Contestation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contestations relatives aux affaires de la société qui peuvent survenir en cours de vie sociale ou lors de la liquidation, soit entre actionnaires, soit entre un ou des actionnaires et la société, sont soumises au tribunal chargé des affaires commerciales compétent.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27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{nombre_associes}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Signatures</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(noms et signatures)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SA CA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Société Anonyme avec Conseil d’Administration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