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DÉROULEMENT DE L’ASSEMBLÉE GÉNÉRALE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MÉMO DU PRÉSIDENT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Le déroulement d’une assemblée générale obéit à un rituel auquel doit se conformer, dans la pratique, le président de séance qui a la charge de conduire les débats.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 mémo formalise les propos que tient le président, en général, dans les différentes phases de la réunion.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Mot introductif (éventuellement) et ouverture de la séance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Mesdames, Messieurs les associés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Je déclare la séance ouverte.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Il est {heure_reunion} heures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Je préside l’assemblée générale en ma qualité de {president_qualite} conformément à l’article 341 de l’AUSCGIE.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Mise en place du bureau (§1388)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L’Acte Uniforme ne prévoit ni scrutateur, ni secrétaire de séance.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Rappel de l’objet de la réunion et de l’ordre du jour (§1381)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D’après la feuille de présence, {nombre_parts_presentes} parts sociales sont présentes ou représentées, soit {pourcentage_capital}% du capital réunissant ainsi le quorum ({quorum_type}).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peut valablement délibérer.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Dépôt documents légaux et respect des dispositions légales (§1384)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Je dépose sur le Bureau les documents légaux suivants visés par la loi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{documents_deposes}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Je rappelle que les documents suivants ont été tenus à la disposition des associés pendant les 15 jours prévus par la loi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{documents_15_jours}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Présentation des rapports (§1973)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• lecture rapport de la Gérance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Je vous donne lecture du rapport de la gérance.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• prise de connaissance des rapports du commissaire aux comptes (s’il en existe §1464)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Je vous remercie de votre attention et vous propose de prendre connaissance du (ou des) rapport(s) du commissaire aux comptes.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Fin de la lecture du rapport du commissaire aux comptes s’il en existe (§1464) et ouverture des débats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 discussion est ouverte.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Vote des résolutions (§1400)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Personne ne demandant plus la parole, je mets aux voix les résolutions suivantes inscrites à l’ordre du jour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{ordre_du_jour}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Questions diverses (§1400)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Je vous soumets les questions diverses suivantes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{questions_diverses}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Clôture de la séance (§1400)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L’ordre du jour étant épuisé à {heure_levee} heures, je lève la séance.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Déroulement AG SARL — Mémo du Président — Modèle 18bis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SARL au capital de {capital} FCFA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